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line="360" w:after="180"/>
        <w:jc w:val="right"/>
      </w:pPr>
      <w:r>
        <w:rPr>
          <w:b/>
          <w:bCs/>
          <w:sz w:val="30"/>
          <w:szCs w:val="30"/>
          <w:rtl/>
          <w:rFonts w:ascii="David" w:cs="David" w:eastAsia="David" w:hAnsi="David"/>
        </w:rPr>
        <w:t xml:space="preserve">חלק א' — רב־תרבותיות: תפילות יום הכיפורים בכיכר דיזנגוף והמשל "השועל והחסידה"</w:t>
      </w:r>
    </w:p>
    <w:p>
      <w:pPr>
        <w:bidi/>
        <w:spacing w:line="360" w:after="120"/>
        <w:jc w:val="both"/>
      </w:pPr>
      <w:r>
        <w:rPr>
          <w:sz w:val="24"/>
          <w:szCs w:val="24"/>
          <w:rtl/>
          <w:rFonts w:ascii="David" w:cs="David" w:eastAsia="David" w:hAnsi="David"/>
        </w:rPr>
        <w:t xml:space="preserve">בערב יום הכיפורים ביקשה עמותת "ראש יהודי" לקיים תפילה בהפרדה מגדרית בכיכר דיזנגוף. עיריית תל אביב–יפו סירבה, מכוח נוהל האוסר הפרדה מגדרית באמצעים פיזיים במרחב הציבורי.</w:t>
      </w:r>
      <w:r>
        <w:rPr>
          <w:rStyle w:val="FootnoteReference"/>
        </w:rPr>
        <w:footnoteReference w:id="1"/>
      </w:r>
      <w:r>
        <w:rPr>
          <w:sz w:val="24"/>
          <w:szCs w:val="24"/>
          <w:rtl/>
          <w:rFonts w:ascii="David" w:cs="David" w:eastAsia="David" w:hAnsi="David"/>
        </w:rPr>
        <w:t xml:space="preserve"> בית המשפט לעניינים מנהליים פסל את האיסור הגורף על עצם התפילה, אך אישר את איסור ההפרדה.</w:t>
      </w:r>
      <w:r>
        <w:rPr>
          <w:rStyle w:val="FootnoteReference"/>
        </w:rPr>
        <w:footnoteReference w:id="2"/>
      </w:r>
      <w:r>
        <w:rPr>
          <w:sz w:val="24"/>
          <w:szCs w:val="24"/>
          <w:rtl/>
          <w:rFonts w:ascii="David" w:cs="David" w:eastAsia="David" w:hAnsi="David"/>
        </w:rPr>
        <w:t xml:space="preserve"> בית המשפט העליון הפך קביעה זו וקיבל את שני הערעורים. נפסק כי הרשות רשאית למנוע תפילה במרחב "אינטנסיבי", אך אינה רשאית לאסור באופן גורף תפילה הנערכת בהפרדה.</w:t>
      </w:r>
      <w:r>
        <w:rPr>
          <w:rStyle w:val="FootnoteReference"/>
        </w:rPr>
        <w:footnoteReference w:id="3"/>
      </w:r>
    </w:p>
    <w:p>
      <w:pPr>
        <w:bidi/>
        <w:spacing w:line="360" w:after="120"/>
        <w:jc w:val="both"/>
      </w:pPr>
      <w:r>
        <w:rPr>
          <w:sz w:val="24"/>
          <w:szCs w:val="24"/>
          <w:rtl/>
          <w:rFonts w:ascii="David" w:cs="David" w:eastAsia="David" w:hAnsi="David"/>
        </w:rPr>
        <w:t xml:space="preserve">מאחורי המחלוקת המשפטית ניצבת שאלה עמוקה יותר, שהגישה הרב־תרבותית מיטיבה לחדד. בעקבות ויל קימליקה גורסת הגישה כי חירות הפרט אינה מתקיימת בחלל ריק. היא תלויה בהקשר התרבותי של הקבוצה שאליה משתייך הפרט, ולכן צדק מחייב הכרה בזהות הקבוצתית ולא רק בפרט המופשט.</w:t>
      </w:r>
      <w:r>
        <w:rPr>
          <w:rStyle w:val="FootnoteReference"/>
        </w:rPr>
        <w:footnoteReference w:id="4"/>
      </w:r>
      <w:r>
        <w:rPr>
          <w:sz w:val="24"/>
          <w:szCs w:val="24"/>
          <w:rtl/>
          <w:rFonts w:ascii="David" w:cs="David" w:eastAsia="David" w:hAnsi="David"/>
        </w:rPr>
        <w:t xml:space="preserve"> מכאן מתחדדת הביקורת על "ניטרליות תרבותית", שכן כלל הנחזה אוניברסלי משקף פעמים רבות את נורמות הרוב. השוויון המהותי נמדד ביכולת ההשתתפות בפועל, ולא באחידות פורמלית בלבד.</w:t>
      </w:r>
      <w:r>
        <w:rPr>
          <w:rStyle w:val="FootnoteReference"/>
        </w:rPr>
        <w:footnoteReference w:id="5"/>
      </w:r>
    </w:p>
    <w:p>
      <w:pPr>
        <w:bidi/>
        <w:spacing w:line="360" w:after="120"/>
        <w:jc w:val="both"/>
      </w:pPr>
      <w:r>
        <w:rPr>
          <w:sz w:val="24"/>
          <w:szCs w:val="24"/>
          <w:rtl/>
          <w:rFonts w:ascii="David" w:cs="David" w:eastAsia="David" w:hAnsi="David"/>
        </w:rPr>
        <w:t xml:space="preserve">דווקא בנקודה זו נוגע פסק הדין בליבה של הגישה. נוהל העירייה נראה ניטרלי לחלוטין, שהרי הוא חל על כל המבקשים כאחד, אך בית המשפט חשף שהאחידות הזו מדומה. השופט כשר קבע כי המדיניות מגלמת הבחנה בהקצאת משאבים ציבוריים, המבוססת על השתייכות דתית. העירייה נעתרת לקבוצות שההפרדה אינה במרכז פולחנן, כגון הזרם הרפורמי והקהילות הנוצריות, ומסרבת לקבוצות שההפרדה מגדירה את תפילתן, כגון הזרם האורתודוקסי והקהילה המוסלמית.</w:t>
      </w:r>
      <w:r>
        <w:rPr>
          <w:rStyle w:val="FootnoteReference"/>
        </w:rPr>
        <w:footnoteReference w:id="6"/>
      </w:r>
      <w:r>
        <w:rPr>
          <w:sz w:val="24"/>
          <w:szCs w:val="24"/>
          <w:rtl/>
          <w:rFonts w:ascii="David" w:cs="David" w:eastAsia="David" w:hAnsi="David"/>
        </w:rPr>
        <w:t xml:space="preserve"> הכלל אמנם אחד, אך פירותיו מחולקים באופן בלתי שווה, וכך מתגלה כשל השוויון הפורמלי עצמו.</w:t>
      </w:r>
    </w:p>
    <w:p>
      <w:pPr>
        <w:bidi/>
        <w:spacing w:line="360" w:after="120"/>
        <w:jc w:val="both"/>
      </w:pPr>
      <w:r>
        <w:rPr>
          <w:sz w:val="24"/>
          <w:szCs w:val="24"/>
          <w:rtl/>
          <w:rFonts w:ascii="David" w:cs="David" w:eastAsia="David" w:hAnsi="David"/>
        </w:rPr>
        <w:t xml:space="preserve">לב הניתוח מצוי במושג "השוני הרלוונטי". השופט כשר קבע כי התעלמות העירייה מן השוני של המבקשים אינה מתיישבת עם חובתה לחלק את משאביה בשוויון.</w:t>
      </w:r>
      <w:r>
        <w:rPr>
          <w:rStyle w:val="FootnoteReference"/>
        </w:rPr>
        <w:footnoteReference w:id="7"/>
      </w:r>
      <w:r>
        <w:rPr>
          <w:sz w:val="24"/>
          <w:szCs w:val="24"/>
          <w:rtl/>
          <w:rFonts w:ascii="David" w:cs="David" w:eastAsia="David" w:hAnsi="David"/>
        </w:rPr>
        <w:t xml:space="preserve"> בכך הוא עובר משוויון פורמלי לשוויון מהותי, שהוא ליבת הביקורת הרב־תרבותית. לצד זאת עומד ממד ההכרה, משום שהמדיניות מעבירה מסר קשה, ולפיו אופן התפילה המסורתי של קהילות שלמות פסול, ואילו דרכן של אחרות ראויה.</w:t>
      </w:r>
      <w:r>
        <w:rPr>
          <w:rStyle w:val="FootnoteReference"/>
        </w:rPr>
        <w:footnoteReference w:id="8"/>
      </w:r>
      <w:r>
        <w:rPr>
          <w:sz w:val="24"/>
          <w:szCs w:val="24"/>
          <w:rtl/>
          <w:rFonts w:ascii="David" w:cs="David" w:eastAsia="David" w:hAnsi="David"/>
        </w:rPr>
        <w:t xml:space="preserve"> שלילה זו אינה מניעת שירות בלבד, אלא פגיעה בזהות הקבוצתית ובאותה הכרה שהגישה מציבה במרכזה. השופט מינץ חידד כי פגיעה בשוויון בין נשים לגברים אינה יכולה לשמש הצדקה יחידה לפגיעה בשוויון אחר, זה שבין זרם דתי למשנהו.</w:t>
      </w:r>
      <w:r>
        <w:rPr>
          <w:rStyle w:val="FootnoteReference"/>
        </w:rPr>
        <w:footnoteReference w:id="9"/>
      </w:r>
    </w:p>
    <w:p>
      <w:pPr>
        <w:bidi/>
        <w:spacing w:line="360" w:after="120"/>
        <w:jc w:val="both"/>
      </w:pPr>
      <w:r>
        <w:rPr>
          <w:sz w:val="24"/>
          <w:szCs w:val="24"/>
          <w:rtl/>
          <w:rFonts w:ascii="David" w:cs="David" w:eastAsia="David" w:hAnsi="David"/>
        </w:rPr>
        <w:t xml:space="preserve">כאן ראוי להעז ולהרחיק מבט. הרטוריקה הרווחת מציגה את החילוניות הליברלית כעמדה נייטרלית, ואת הדתיות כעמדה פרטיקולרית התובעת חריגה. פסק הדין הופך את היוצרות, שכן הוא חושף כי גם "הניטרליות" של תל אביב היא תרבות בעלת נורמות משלה. נוהל אי־ההפרדה מתפקד אפוא ככור היתוך רך, המזמין את המיעוט אל המרחב הציבורי, אך גובה ממנו ויתור על סימני זהותו. הגישה הרב־תרבותית נולדה כתגובה לאותו כור היתוך, ומשום כך פסק הדין מיישם אותה כמעט הלכה למעשה.</w:t>
      </w:r>
    </w:p>
    <w:p>
      <w:pPr>
        <w:bidi/>
        <w:spacing w:line="360" w:after="120"/>
        <w:jc w:val="both"/>
      </w:pPr>
      <w:r>
        <w:rPr>
          <w:sz w:val="24"/>
          <w:szCs w:val="24"/>
          <w:rtl/>
          <w:rFonts w:ascii="David" w:cs="David" w:eastAsia="David" w:hAnsi="David"/>
        </w:rPr>
        <w:t xml:space="preserve">את אותה תובנה עצמה לוכד המשל של איזופוס על השועל והחסידה. השועל מזמין את החסידה ומגיש לה מרק בצלחת שטוחה. הוא ליקק את מנתו בנקל, בעוד מקורה הארוך של החסידה נותר ריק מול הצלחת המלאה.</w:t>
      </w:r>
      <w:r>
        <w:rPr>
          <w:rStyle w:val="FootnoteReference"/>
        </w:rPr>
        <w:footnoteReference w:id="10"/>
      </w:r>
      <w:r>
        <w:rPr>
          <w:sz w:val="24"/>
          <w:szCs w:val="24"/>
          <w:rtl/>
          <w:rFonts w:ascii="David" w:cs="David" w:eastAsia="David" w:hAnsi="David"/>
        </w:rPr>
        <w:t xml:space="preserve"> הזווית המחברת את המשל לפסק הדין אינה תוכן הארוחה, אלא צורת הכלי. השועל מעניק "יחס זהה" לכאורה, אך מעצב את ההגשה לפי גופו שלו, וכך האחידות הפורמלית מולידה הדרה מהותית. באופן דומה מציב נוהל העירייה כלי אחד ואחיד, מרחב ללא הפרדה, המתאים לקבוצות שתפילתן מעורבת ומותיר את האחרות מבחוץ.</w:t>
      </w:r>
    </w:p>
    <w:p>
      <w:pPr>
        <w:bidi/>
        <w:spacing w:line="360" w:after="120"/>
        <w:jc w:val="both"/>
      </w:pPr>
      <w:r>
        <w:rPr>
          <w:sz w:val="24"/>
          <w:szCs w:val="24"/>
          <w:rtl/>
          <w:rFonts w:ascii="David" w:cs="David" w:eastAsia="David" w:hAnsi="David"/>
        </w:rPr>
        <w:t xml:space="preserve">המשל אף מרחיק לכת מן הפסיקה ומוסיף אזהרה משלו. בחלקו השני משיבה החסידה לשועל כגמולו, ומגישה לו מזון בכד צר שרק מקורה מגיע אליו. ההדרה החד־צדדית הופכת כך למעגל של נקמה, שבו כל צד מרעיב את רעהו בתורו. תמונה זו ממחישה את הסכנה שמפניה הזהיר השופט כשר, בקובעו כי המאבק על אופיו של המרחב הציבורי אינו צריך להיות משחק סכום אפס.</w:t>
      </w:r>
      <w:r>
        <w:rPr>
          <w:rStyle w:val="FootnoteReference"/>
        </w:rPr>
        <w:footnoteReference w:id="11"/>
      </w:r>
      <w:r>
        <w:rPr>
          <w:sz w:val="24"/>
          <w:szCs w:val="24"/>
          <w:rtl/>
          <w:rFonts w:ascii="David" w:cs="David" w:eastAsia="David" w:hAnsi="David"/>
        </w:rPr>
        <w:t xml:space="preserve"> המשל מלמד את הלקח דרך השלילה, ומראה כי מרחב שאינו מכיר בשוני נידון להתגלגל מהדרה הדדית לעוינות.</w:t>
      </w:r>
    </w:p>
    <w:p>
      <w:pPr>
        <w:bidi/>
        <w:spacing w:line="360" w:after="120"/>
        <w:jc w:val="both"/>
      </w:pPr>
      <w:r>
        <w:rPr>
          <w:sz w:val="24"/>
          <w:szCs w:val="24"/>
          <w:rtl/>
          <w:rFonts w:ascii="David" w:cs="David" w:eastAsia="David" w:hAnsi="David"/>
        </w:rPr>
        <w:t xml:space="preserve">לדעתי, הניתוח כולו מלמד ששפת הניטרליות אינה תמימה. כל כלל "אובייקטיבי" נכתב מתוך נקודת מבט מסוימת, ונושא עמו את טעמו של מנסחו. אני סבורה כי צדק במרחב משותף מחייב הכרה בשוני, ולא היתממות של אחידות הכופה על האחר להידמות לרוב. עם זאת, איני רואה בהכרה זכות בלתי מוגבלת. דווקא משום שההסדר שבמחלוקת הוא הפרדה מגדרית, יש לשקול גם את הפגיעה בנשים ואת חופש היציאה מן הקבוצה. לפיכך האיזון שהתווה בית המשפט נראה בעיניי מידתי, שכן הוא מתיר את התפילה במרחב שאינו מרכזי בלי להפוך את ההכרה לזכות מוחלטת. יתרה מזו, המשל חושף את מה שהמשפט מתקשה לומר במפורש. הוא מזכיר שגם המארח הנדיב עלול להדיר, כאשר הוא מודד את האחר באמות המידה של עצמו בלבד.</w:t>
      </w:r>
    </w:p>
    <w:p>
      <w:pPr>
        <w:pageBreakBefore/>
        <w:bidi/>
        <w:spacing w:line="360" w:after="180"/>
        <w:jc w:val="right"/>
      </w:pPr>
      <w:r>
        <w:rPr>
          <w:b/>
          <w:bCs/>
          <w:sz w:val="30"/>
          <w:szCs w:val="30"/>
          <w:rtl/>
          <w:rFonts w:ascii="David" w:cs="David" w:eastAsia="David" w:hAnsi="David"/>
        </w:rPr>
        <w:t xml:space="preserve">חלק ב' — תועלתנות: ועדת סל שירותי הבריאות</w:t>
      </w:r>
    </w:p>
    <w:p>
      <w:pPr>
        <w:bidi/>
        <w:spacing w:line="360" w:after="120"/>
        <w:jc w:val="both"/>
      </w:pPr>
      <w:r>
        <w:rPr>
          <w:sz w:val="24"/>
          <w:szCs w:val="24"/>
          <w:rtl/>
          <w:rFonts w:ascii="David" w:cs="David" w:eastAsia="David" w:hAnsi="David"/>
        </w:rPr>
        <w:t xml:space="preserve">מדי שנה נדרשת ועדה ציבורית להכריע אילו תרופות וטכנולוגיות ייכנסו לסל הבריאות. ההכרעה מתקבלת תחת תוספת תקציב מוגבלת, הנקבעת מראש בידי הממשלה. חוק ביטוח בריאות ממלכתי מצהיר כי המערכת מושתתת על צדק, שוויון ועזרה הדדית.</w:t>
      </w:r>
      <w:r>
        <w:rPr>
          <w:rStyle w:val="FootnoteReference"/>
        </w:rPr>
        <w:footnoteReference w:id="12"/>
      </w:r>
      <w:r>
        <w:rPr>
          <w:sz w:val="24"/>
          <w:szCs w:val="24"/>
          <w:rtl/>
          <w:rFonts w:ascii="David" w:cs="David" w:eastAsia="David" w:hAnsi="David"/>
        </w:rPr>
        <w:t xml:space="preserve"> ואולם אותו חוק מתיר להרחיב את הסל בעיקר כנגד גריעה, בלי להגדיל את העלות הכוללת.</w:t>
      </w:r>
      <w:r>
        <w:rPr>
          <w:rStyle w:val="FootnoteReference"/>
        </w:rPr>
        <w:footnoteReference w:id="13"/>
      </w:r>
      <w:r>
        <w:rPr>
          <w:sz w:val="24"/>
          <w:szCs w:val="24"/>
          <w:rtl/>
          <w:rFonts w:ascii="David" w:cs="David" w:eastAsia="David" w:hAnsi="David"/>
        </w:rPr>
        <w:t xml:space="preserve"> מבנה זה יוצר משחק של משאבים סופיים, שבו כל תרופה הנכנסת דוחקת את חברתה. ההכרעה נשענת אפוא על שיקול תועלתני מובהק.</w:t>
      </w:r>
    </w:p>
    <w:p>
      <w:pPr>
        <w:bidi/>
        <w:spacing w:line="360" w:after="120"/>
        <w:jc w:val="both"/>
      </w:pPr>
      <w:r>
        <w:rPr>
          <w:sz w:val="24"/>
          <w:szCs w:val="24"/>
          <w:rtl/>
          <w:rFonts w:ascii="David" w:cs="David" w:eastAsia="David" w:hAnsi="David"/>
        </w:rPr>
        <w:t xml:space="preserve">התועלתנות, בעקבות ג'רמי בנת'ם וג'ון סטיוארט מיל, מודדת את ערך המעשה לפי תרומתו לתועלת הכללית.</w:t>
      </w:r>
      <w:r>
        <w:rPr>
          <w:rStyle w:val="FootnoteReference"/>
        </w:rPr>
        <w:footnoteReference w:id="14"/>
      </w:r>
      <w:r>
        <w:rPr>
          <w:sz w:val="24"/>
          <w:szCs w:val="24"/>
          <w:rtl/>
          <w:rFonts w:ascii="David" w:cs="David" w:eastAsia="David" w:hAnsi="David"/>
        </w:rPr>
        <w:t xml:space="preserve"> העיקרון המנחה הוא השאת הטוב הגדול ביותר למספר הגדול ביותר. ועדת הסל מיישמת היגיון זה כמעט במדויק. היא מעניקה עדיפות לטיפולים מצילי חיים, וכן לטיפולים שמספר הנהנים מהם רב יותר. התועלות הנשקלות הן מצרפיות, ונמדדות במכפלה של מספר הנהנים בעוצמת השיפור הרפואי. העלות היא מחיר הטיפול כפול מספר המטופלים, אל מול תקציב סגור. חשוב להבחין של מי התועלת ושל מי העלות. התועלת מיוחסת לכלל מופשט וסטטיסטי, ואילו העלות נופלת על תת־קבוצה מזוהה של חולים שנותרו בחוץ.</w:t>
      </w:r>
    </w:p>
    <w:p>
      <w:pPr>
        <w:bidi/>
        <w:spacing w:line="360" w:after="120"/>
        <w:jc w:val="both"/>
      </w:pPr>
      <w:r>
        <w:rPr>
          <w:sz w:val="24"/>
          <w:szCs w:val="24"/>
          <w:rtl/>
          <w:rFonts w:ascii="David" w:cs="David" w:eastAsia="David" w:hAnsi="David"/>
        </w:rPr>
        <w:t xml:space="preserve">כאן מתגלה הקושי המובהק ביותר של החשיבה התועלתנית. המצרף הכללי עלול להצדיק הקרבה של הפרט, בניגוד לתפיסת זכויות האדם. בסוגיית הסל מחריף הקושי, שכן חולי מחלות נדירות מפסידים כמעט תמיד בחישוב העלות לחולה. פרופ' יורם בלשר תיאר את הדילמה כשאלה אם לתת מעט לרבים או הרבה למעטים.</w:t>
      </w:r>
      <w:r>
        <w:rPr>
          <w:rStyle w:val="FootnoteReference"/>
        </w:rPr>
        <w:footnoteReference w:id="15"/>
      </w:r>
      <w:r>
        <w:rPr>
          <w:sz w:val="24"/>
          <w:szCs w:val="24"/>
          <w:rtl/>
          <w:rFonts w:ascii="David" w:cs="David" w:eastAsia="David" w:hAnsi="David"/>
        </w:rPr>
        <w:t xml:space="preserve"> הוא הצביע על טיפול פורץ דרך למחלת לב קטלנית, שעלותו הגבוהה מנעה את הכללתו בסל. ד"ר שירה בן אור הראתה כיצד טיפול למחלה נדירה אושר רק לחולים עם יותר משלושה התקפים בחודש. חולים הזקוקים לו לא פחות, אך סובלים מהתקף בודד, נותרו מחוץ לגדר.</w:t>
      </w:r>
      <w:r>
        <w:rPr>
          <w:rStyle w:val="FootnoteReference"/>
        </w:rPr>
        <w:footnoteReference w:id="16"/>
      </w:r>
      <w:r>
        <w:rPr>
          <w:sz w:val="24"/>
          <w:szCs w:val="24"/>
          <w:rtl/>
          <w:rFonts w:ascii="David" w:cs="David" w:eastAsia="David" w:hAnsi="David"/>
        </w:rPr>
        <w:t xml:space="preserve"> זהו קו החתך התועלתני בפעולה, המקריב תת־קבוצה של חולים ממשיים לטובת המצרף.</w:t>
      </w:r>
    </w:p>
    <w:p>
      <w:pPr>
        <w:bidi/>
        <w:spacing w:line="360" w:after="120"/>
        <w:jc w:val="both"/>
      </w:pPr>
      <w:r>
        <w:rPr>
          <w:sz w:val="24"/>
          <w:szCs w:val="24"/>
          <w:rtl/>
          <w:rFonts w:ascii="David" w:cs="David" w:eastAsia="David" w:hAnsi="David"/>
        </w:rPr>
        <w:t xml:space="preserve">ביקורתו של ג'ון רולס מיטיבה לחשוף את שורש הבעיה. לטענתו, התועלתנות אינה מתייחסת ברצינות להבחנה שבין בני אדם. היא מתבוננת בחברה כולה כאילו הייתה אדם אחד גדול, המבקש למקסם את רווחתו הכוללת.</w:t>
      </w:r>
      <w:r>
        <w:rPr>
          <w:rStyle w:val="FootnoteReference"/>
        </w:rPr>
        <w:footnoteReference w:id="17"/>
      </w:r>
      <w:r>
        <w:rPr>
          <w:sz w:val="24"/>
          <w:szCs w:val="24"/>
          <w:rtl/>
          <w:rFonts w:ascii="David" w:cs="David" w:eastAsia="David" w:hAnsi="David"/>
        </w:rPr>
        <w:t xml:space="preserve"> בסל הבריאות הופך היגיון זה למדיניות מפורשת, שכן סבלו של חולה בודד מתקזז חשבונית כנגד תועלתם של רבים אחרים. קושי נוסף הוא ההשוואה הבין־אישית של תועלת, משום שקשה למדוד שנת חיים של חולה אחד מול חברו. בלשר מבקר דווקא את היעדרם של "ערכי סף" מפורשים, כלומר של קביעה גלויה כמה המערכת מוכנה לשלם עבור שנת חיים איכותית. עצם ההסתייגות מכימות גלוי שכזה חושפת כמה אנו נרתעים מלתת לחיי אדם מחיר מפורש.</w:t>
      </w:r>
    </w:p>
    <w:p>
      <w:pPr>
        <w:bidi/>
        <w:spacing w:line="360" w:after="120"/>
        <w:jc w:val="both"/>
      </w:pPr>
      <w:r>
        <w:rPr>
          <w:sz w:val="24"/>
          <w:szCs w:val="24"/>
          <w:rtl/>
          <w:rFonts w:ascii="David" w:cs="David" w:eastAsia="David" w:hAnsi="David"/>
        </w:rPr>
        <w:t xml:space="preserve">לדעתי, אי אפשר להימלט מן ההיגיון התועלתני בסוגיה זו. תחת משאבים סופיים, גם ההימנעות מהכרעה היא הכרעה, ולרוב אף גרועה יותר. ועדה שקופה, הממקסמת שנות חיים איכותיות, מצילה בפועל יותר בני אדם, ובמובן זה התועלתנות היא אחריות ולא ציניות. ובכל זאת, אין להניח למצרף לדרוס את הפרט כליל. ערך חיי אדם אינו ניתן להמרה מלאה למטבע כלכלי, והותרת חולה נדיר בחוץ פוגעת בכבוד האדם ובעקרון השוויון שהחוק עצמו מצהיר עליו. עמדתי היא אפוא של תועלתנות מרוסנת, המאמצת כלים תועלתניים שקופים אך מגדרת אותם ברצפת זכויות. דוגמה לכך היא מנגנון חריגים למחלות יתומות, המונע מן החשבון המצרפי למחוק את הפרט. מעניין שדווקא בלשר קרא להגביר את השקיפות ולקבוע ערכי סף גלויים. בכך הוא לימד שהכרעה מפורשת עשויה להיות הוגנת יותר מהכרעה סמויה, המתחבאת מאחורי מספרים.</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bidi/>
      </w:pPr>
      <w:r>
        <w:rPr>
          <w:rStyle w:val="FootnoteReference"/>
        </w:rPr>
        <w:footnoteRef/>
      </w:r>
      <w:r>
        <w:rPr>
          <w:sz w:val="20"/>
          <w:szCs w:val="20"/>
          <w:rtl/>
          <w:rFonts w:ascii="David" w:cs="David" w:eastAsia="David" w:hAnsi="David"/>
        </w:rPr>
        <w:t xml:space="preserve">נוהל עיריית תל אביב–יפו בעניין שימוש במרחב הציבורי, ס' 6(ד) (איסור הפרדה מגדרית באמצעים פיזיים), כפי שצוטט בפסק הדין.</w:t>
      </w:r>
    </w:p>
  </w:footnote>
  <w:footnote w:id="2">
    <w:p>
      <w:pPr>
        <w:bidi/>
      </w:pPr>
      <w:r>
        <w:rPr>
          <w:rStyle w:val="FootnoteReference"/>
        </w:rPr>
        <w:footnoteRef/>
      </w:r>
      <w:r>
        <w:rPr>
          <w:sz w:val="20"/>
          <w:szCs w:val="20"/>
          <w:rtl/>
          <w:rFonts w:ascii="David" w:cs="David" w:eastAsia="David" w:hAnsi="David"/>
        </w:rPr>
        <w:t xml:space="preserve">עת"מ 22166-08-24 (מנהליים ת"א), פסק דינו של סגן הנשיא א' יקואל (22.9.2024).</w:t>
      </w:r>
    </w:p>
  </w:footnote>
  <w:footnote w:id="3">
    <w:p>
      <w:pPr>
        <w:bidi/>
      </w:pPr>
      <w:r>
        <w:rPr>
          <w:rStyle w:val="FootnoteReference"/>
        </w:rPr>
        <w:footnoteRef/>
      </w:r>
      <w:r>
        <w:rPr>
          <w:sz w:val="20"/>
          <w:szCs w:val="20"/>
          <w:rtl/>
          <w:rFonts w:ascii="David" w:cs="David" w:eastAsia="David" w:hAnsi="David"/>
        </w:rPr>
        <w:t xml:space="preserve">עע"מ 66315-09-24; עע"מ 2406-10-24 עיריית תל אביב–יפו נ' עירית לינור ואח' (נבו, 2.4.2025). ההרכב: השופטים י' כשר, ד' מינץ וע' גרוסקופף.</w:t>
      </w:r>
    </w:p>
  </w:footnote>
  <w:footnote w:id="4">
    <w:p>
      <w:pPr>
        <w:bidi/>
      </w:pPr>
      <w:r>
        <w:rPr>
          <w:rStyle w:val="FootnoteReference"/>
        </w:rPr>
        <w:footnoteRef/>
      </w:r>
      <w:r>
        <w:rPr>
          <w:sz w:val="20"/>
          <w:szCs w:val="20"/>
          <w:rtl/>
          <w:rFonts w:ascii="David" w:cs="David" w:eastAsia="David" w:hAnsi="David"/>
        </w:rPr>
        <w:t xml:space="preserve">Will Kymlicka, Multicultural Citizenship: A Liberal Theory of Minority Rights (Oxford University Press, 1995).</w:t>
      </w:r>
    </w:p>
  </w:footnote>
  <w:footnote w:id="5">
    <w:p>
      <w:pPr>
        <w:bidi/>
      </w:pPr>
      <w:r>
        <w:rPr>
          <w:rStyle w:val="FootnoteReference"/>
        </w:rPr>
        <w:footnoteRef/>
      </w:r>
      <w:r>
        <w:rPr>
          <w:sz w:val="20"/>
          <w:szCs w:val="20"/>
          <w:rtl/>
          <w:rFonts w:ascii="David" w:cs="David" w:eastAsia="David" w:hAnsi="David"/>
        </w:rPr>
        <w:t xml:space="preserve">על ההבחנה בין שוויון פורמלי לשוויון מהותי ועל ביקורת הניטרליות התרבותית ראו קימליקה, שם, וכן חוות דעת השופט כשר בפסק הדין (לעיל, ה"ש 3), פס' ___ [להשלים מספר פסקה מהעותק שברשותך].</w:t>
      </w:r>
    </w:p>
  </w:footnote>
  <w:footnote w:id="6">
    <w:p>
      <w:pPr>
        <w:bidi/>
      </w:pPr>
      <w:r>
        <w:rPr>
          <w:rStyle w:val="FootnoteReference"/>
        </w:rPr>
        <w:footnoteRef/>
      </w:r>
      <w:r>
        <w:rPr>
          <w:sz w:val="20"/>
          <w:szCs w:val="20"/>
          <w:rtl/>
          <w:rFonts w:ascii="David" w:cs="David" w:eastAsia="David" w:hAnsi="David"/>
        </w:rPr>
        <w:t xml:space="preserve">חוות דעת השופט י' כשר (לעיל, ה"ש 3), פס' ___ [להשלים].</w:t>
      </w:r>
    </w:p>
  </w:footnote>
  <w:footnote w:id="7">
    <w:p>
      <w:pPr>
        <w:bidi/>
      </w:pPr>
      <w:r>
        <w:rPr>
          <w:rStyle w:val="FootnoteReference"/>
        </w:rPr>
        <w:footnoteRef/>
      </w:r>
      <w:r>
        <w:rPr>
          <w:sz w:val="20"/>
          <w:szCs w:val="20"/>
          <w:rtl/>
          <w:rFonts w:ascii="David" w:cs="David" w:eastAsia="David" w:hAnsi="David"/>
        </w:rPr>
        <w:t xml:space="preserve">שם, פס' ___ [להשלים].</w:t>
      </w:r>
    </w:p>
  </w:footnote>
  <w:footnote w:id="8">
    <w:p>
      <w:pPr>
        <w:bidi/>
      </w:pPr>
      <w:r>
        <w:rPr>
          <w:rStyle w:val="FootnoteReference"/>
        </w:rPr>
        <w:footnoteRef/>
      </w:r>
      <w:r>
        <w:rPr>
          <w:sz w:val="20"/>
          <w:szCs w:val="20"/>
          <w:rtl/>
          <w:rFonts w:ascii="David" w:cs="David" w:eastAsia="David" w:hAnsi="David"/>
        </w:rPr>
        <w:t xml:space="preserve">שם, פס' ___ [להשלים].</w:t>
      </w:r>
    </w:p>
  </w:footnote>
  <w:footnote w:id="9">
    <w:p>
      <w:pPr>
        <w:bidi/>
      </w:pPr>
      <w:r>
        <w:rPr>
          <w:rStyle w:val="FootnoteReference"/>
        </w:rPr>
        <w:footnoteRef/>
      </w:r>
      <w:r>
        <w:rPr>
          <w:sz w:val="20"/>
          <w:szCs w:val="20"/>
          <w:rtl/>
          <w:rFonts w:ascii="David" w:cs="David" w:eastAsia="David" w:hAnsi="David"/>
        </w:rPr>
        <w:t xml:space="preserve">חוות דעת השופט ד' מינץ (לעיל, ה"ש 3), פס' ___ [להשלים].</w:t>
      </w:r>
    </w:p>
  </w:footnote>
  <w:footnote w:id="10">
    <w:p>
      <w:pPr>
        <w:bidi/>
      </w:pPr>
      <w:r>
        <w:rPr>
          <w:rStyle w:val="FootnoteReference"/>
        </w:rPr>
        <w:footnoteRef/>
      </w:r>
      <w:r>
        <w:rPr>
          <w:sz w:val="20"/>
          <w:szCs w:val="20"/>
          <w:rtl/>
          <w:rFonts w:ascii="David" w:cs="David" w:eastAsia="David" w:hAnsi="David"/>
        </w:rPr>
        <w:t xml:space="preserve">איזופוס, "השועל והחסידה" (משל קלאסי, נחלת הכלל).</w:t>
      </w:r>
    </w:p>
  </w:footnote>
  <w:footnote w:id="11">
    <w:p>
      <w:pPr>
        <w:bidi/>
      </w:pPr>
      <w:r>
        <w:rPr>
          <w:rStyle w:val="FootnoteReference"/>
        </w:rPr>
        <w:footnoteRef/>
      </w:r>
      <w:r>
        <w:rPr>
          <w:sz w:val="20"/>
          <w:szCs w:val="20"/>
          <w:rtl/>
          <w:rFonts w:ascii="David" w:cs="David" w:eastAsia="David" w:hAnsi="David"/>
        </w:rPr>
        <w:t xml:space="preserve">חוות דעת השופט י' כשר (לעיל, ה"ש 3), בפסקת הסיום ("הערה אחרונה לפני סיום"), פס' ___ [להשלים].</w:t>
      </w:r>
    </w:p>
  </w:footnote>
  <w:footnote w:id="12">
    <w:p>
      <w:pPr>
        <w:bidi/>
      </w:pPr>
      <w:r>
        <w:rPr>
          <w:rStyle w:val="FootnoteReference"/>
        </w:rPr>
        <w:footnoteRef/>
      </w:r>
      <w:r>
        <w:rPr>
          <w:sz w:val="20"/>
          <w:szCs w:val="20"/>
          <w:rtl/>
          <w:rFonts w:ascii="David" w:cs="David" w:eastAsia="David" w:hAnsi="David"/>
        </w:rPr>
        <w:t xml:space="preserve">חוק ביטוח בריאות ממלכתי, התשנ"ד-1994, ס' 1 (עקרונות של צדק, שוויון ועזרה הדדית).</w:t>
      </w:r>
    </w:p>
  </w:footnote>
  <w:footnote w:id="13">
    <w:p>
      <w:pPr>
        <w:bidi/>
      </w:pPr>
      <w:r>
        <w:rPr>
          <w:rStyle w:val="FootnoteReference"/>
        </w:rPr>
        <w:footnoteRef/>
      </w:r>
      <w:r>
        <w:rPr>
          <w:sz w:val="20"/>
          <w:szCs w:val="20"/>
          <w:rtl/>
          <w:rFonts w:ascii="David" w:cs="David" w:eastAsia="David" w:hAnsi="David"/>
        </w:rPr>
        <w:t xml:space="preserve">שם, ס' 8 (עדכון סל השירותים במסגרת תקציב קבוע, לרבות הוספה כנגד גריעה); וראו ס' 6 (הגדרת סל השירותים).</w:t>
      </w:r>
    </w:p>
  </w:footnote>
  <w:footnote w:id="14">
    <w:p>
      <w:pPr>
        <w:bidi/>
      </w:pPr>
      <w:r>
        <w:rPr>
          <w:rStyle w:val="FootnoteReference"/>
        </w:rPr>
        <w:footnoteRef/>
      </w:r>
      <w:r>
        <w:rPr>
          <w:sz w:val="20"/>
          <w:szCs w:val="20"/>
          <w:rtl/>
          <w:rFonts w:ascii="David" w:cs="David" w:eastAsia="David" w:hAnsi="David"/>
        </w:rPr>
        <w:t xml:space="preserve">John Stuart Mill, Utilitarianism (1863); Jeremy Bentham, An Introduction to the Principles of Morals and Legislation (1789).</w:t>
      </w:r>
    </w:p>
  </w:footnote>
  <w:footnote w:id="15">
    <w:p>
      <w:pPr>
        <w:bidi/>
      </w:pPr>
      <w:r>
        <w:rPr>
          <w:rStyle w:val="FootnoteReference"/>
        </w:rPr>
        <w:footnoteRef/>
      </w:r>
      <w:r>
        <w:rPr>
          <w:sz w:val="20"/>
          <w:szCs w:val="20"/>
          <w:rtl/>
          <w:rFonts w:ascii="David" w:cs="David" w:eastAsia="David" w:hAnsi="David"/>
        </w:rPr>
        <w:t xml:space="preserve">יורם בלשר, "מי לחיים ומי למוות? הדילמה המוסרית של חברי ועדת סל התרופות", גלובס, 3.2.2021: https://www.globes.co.il/news/article.aspx?did=1001359359. הכתבה היא גם המקור לדוגמת הטיפול היקר שנדחה ולקריאה לקבוע "ערכי סף".</w:t>
      </w:r>
    </w:p>
  </w:footnote>
  <w:footnote w:id="16">
    <w:p>
      <w:pPr>
        <w:bidi/>
      </w:pPr>
      <w:r>
        <w:rPr>
          <w:rStyle w:val="FootnoteReference"/>
        </w:rPr>
        <w:footnoteRef/>
      </w:r>
      <w:r>
        <w:rPr>
          <w:sz w:val="20"/>
          <w:szCs w:val="20"/>
          <w:rtl/>
          <w:rFonts w:ascii="David" w:cs="David" w:eastAsia="David" w:hAnsi="David"/>
        </w:rPr>
        <w:t xml:space="preserve">שירה בן אור, "מי יקבל את התרופה ומי לא: הדילמה הבלתי אפשרית של ועדת סל התרופות", ynet: https://www.ynet.co.il/health/article/bjtf11je6k (הכתבה מתייחסת לתקציב 2022; יש לאמת את תאריך הפרסום המדויק בעת ההגשה).</w:t>
      </w:r>
    </w:p>
  </w:footnote>
  <w:footnote w:id="17">
    <w:p>
      <w:pPr>
        <w:bidi/>
      </w:pPr>
      <w:r>
        <w:rPr>
          <w:rStyle w:val="FootnoteReference"/>
        </w:rPr>
        <w:footnoteRef/>
      </w:r>
      <w:r>
        <w:rPr>
          <w:sz w:val="20"/>
          <w:szCs w:val="20"/>
          <w:rtl/>
          <w:rFonts w:ascii="David" w:cs="David" w:eastAsia="David" w:hAnsi="David"/>
        </w:rPr>
        <w:t xml:space="preserve">John Rawls, A Theory of Justice (Harvard University Press, 1971) — הטענה כי התועלתנות אינה מתייחסת ברצינות להבחנה שבין בני אדם.</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David" w:cs="David" w:eastAsia="David" w:hAnsi="David"/>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2026-07-31T06:23:44.390Z</dcterms:created>
  <dcterms:modified xsi:type="dcterms:W3CDTF">2026-07-31T06:23:44.390Z</dcterms:modified>
</cp:coreProperties>
</file>

<file path=docProps/custom.xml><?xml version="1.0" encoding="utf-8"?>
<Properties xmlns="http://schemas.openxmlformats.org/officeDocument/2006/custom-properties" xmlns:vt="http://schemas.openxmlformats.org/officeDocument/2006/docPropsVTypes"/>
</file>