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line="360"/>
        <w:jc w:val="center"/>
      </w:pPr>
      <w:r>
        <w:rPr>
          <w:rFonts w:ascii="David" w:cs="David" w:eastAsia="David" w:hAnsi="David"/>
          <w:b/>
          <w:bCs/>
          <w:sz w:val="30"/>
          <w:szCs w:val="30"/>
          <w:rtl/>
        </w:rPr>
        <w:t xml:space="preserve">מטלה מסכמת — פרקים בחשיבה הומניסטית</w:t>
      </w:r>
    </w:p>
    <w:p>
      <w:pPr>
        <w:bidi/>
        <w:spacing w:after="120" w:line="360"/>
        <w:jc w:val="center"/>
      </w:pPr>
      <w:r>
        <w:rPr>
          <w:rFonts w:ascii="David" w:cs="David" w:eastAsia="David" w:hAnsi="David"/>
          <w:i/>
          <w:iCs/>
          <w:sz w:val="22"/>
          <w:szCs w:val="22"/>
          <w:rtl/>
        </w:rPr>
        <w:t xml:space="preserve">עבודה אישית · חלק א' (65 נק') וחלק ב' (35 נק')</w:t>
      </w:r>
    </w:p>
    <w:p>
      <w:pPr>
        <w:bidi/>
        <w:spacing w:after="120" w:before="200" w:line="360"/>
        <w:jc w:val="both"/>
      </w:pPr>
      <w:r>
        <w:rPr>
          <w:rFonts w:ascii="David" w:cs="David" w:eastAsia="David" w:hAnsi="David"/>
          <w:b/>
          <w:bCs/>
          <w:sz w:val="26"/>
          <w:szCs w:val="26"/>
          <w:rtl/>
        </w:rPr>
        <w:t xml:space="preserve">חלק א' — התפיסה ההומניסטית של המשפט אל מול הרשות: עיון בעת"מ 2308-11-24 לזניה נ' רשות האוכלוסין וההגירה</w:t>
      </w:r>
    </w:p>
    <w:p>
      <w:pPr>
        <w:bidi/>
        <w:spacing w:after="120" w:line="360"/>
        <w:jc w:val="both"/>
      </w:pPr>
      <w:r>
        <w:rPr>
          <w:rFonts w:ascii="David" w:cs="David" w:eastAsia="David" w:hAnsi="David"/>
          <w:b w:val="false"/>
          <w:bCs w:val="false"/>
          <w:sz w:val="24"/>
          <w:szCs w:val="24"/>
          <w:rtl/>
        </w:rPr>
        <w:t xml:space="preserve">בחלק זה בחרתי לעבוד עם התפיסה ההומניסטית של המשפט כפי שפיתח אותה מנחם מאוטנר — ובמרכזה רעיון </w:t>
      </w:r>
      <w:r>
        <w:rPr>
          <w:rFonts w:ascii="David" w:cs="David" w:eastAsia="David" w:hAnsi="David"/>
          <w:b/>
          <w:bCs/>
          <w:sz w:val="24"/>
          <w:szCs w:val="24"/>
          <w:rtl/>
        </w:rPr>
        <w:t xml:space="preserve">"רזון המשפט"</w:t>
      </w:r>
      <w:r>
        <w:rPr>
          <w:rFonts w:ascii="David" w:cs="David" w:eastAsia="David" w:hAnsi="David"/>
          <w:b w:val="false"/>
          <w:bCs w:val="false"/>
          <w:sz w:val="24"/>
          <w:szCs w:val="24"/>
          <w:rtl/>
        </w:rPr>
        <w:t xml:space="preserve"> והצורך ברגישות אנושית — ולקרוא דרכה את פסק דינה של השופטת מיכל אגמון-גונן בעניין לזניה. את הגישה הרעיונית אחבר לחובת ההגינות של הרשות ולכבוד האדם ביחסי אזרח–שלטון, ואת שני אלה אעמיד מול תוצר תרבות: שירו של שאול טשרניחובסקי "אני מאמין" ("שַׂחֲקִי, שַׂחֲקִי"). הטענה שאבקש לבסס היא שפסק הדין הוא יישום חי של אותה תפיסה הומניסטית, ושהשיר "תומך" בעמדת השופטת ומעצים אותה: שניהם מסרבים לצמצם את האדם לכדי תיק.</w:t>
      </w:r>
    </w:p>
    <w:p>
      <w:pPr>
        <w:bidi/>
        <w:spacing w:after="80" w:before="120" w:line="360"/>
        <w:jc w:val="both"/>
      </w:pPr>
      <w:r>
        <w:rPr>
          <w:rFonts w:ascii="David" w:cs="David" w:eastAsia="David" w:hAnsi="David"/>
          <w:b/>
          <w:bCs/>
          <w:sz w:val="24"/>
          <w:szCs w:val="24"/>
          <w:rtl/>
        </w:rPr>
        <w:t xml:space="preserve">(1) תיאור עובדתי קצר של פסק הדין</w:t>
      </w:r>
    </w:p>
    <w:p>
      <w:pPr>
        <w:bidi/>
        <w:spacing w:after="120" w:line="360"/>
        <w:jc w:val="both"/>
      </w:pPr>
      <w:r>
        <w:rPr>
          <w:rFonts w:ascii="David" w:cs="David" w:eastAsia="David" w:hAnsi="David"/>
          <w:b w:val="false"/>
          <w:bCs w:val="false"/>
          <w:sz w:val="24"/>
          <w:szCs w:val="24"/>
          <w:rtl/>
        </w:rPr>
        <w:t xml:space="preserve">העותר, מר לזניה ארטיום, אזרח אוקראינה, ביקש לעלות לישראל כזכאי שבות יחד עם אשתו וילדיו, בהיותו בן לאם יהודייה ונכד לסבים יהודים. הרשות אינה חולקת על יהדות אמו, אך טענה כי העותר "בן דת אחרת": הוא הוטבל לנצרות כתינוק, וסימן בשאלוני העלייה שהגיש בשנת 2018 את דתו כ"נוצרי" ואת לאומו כ"יהודי", לצד אסמכתאות על השתייכות פעילה לקהילה יהודית בארץ מוצאו [עמ' ___ — למילוי מהמקור].</w:t>
      </w:r>
    </w:p>
    <w:p>
      <w:pPr>
        <w:bidi/>
        <w:spacing w:after="120" w:line="360"/>
        <w:jc w:val="both"/>
      </w:pPr>
      <w:r>
        <w:rPr>
          <w:rFonts w:ascii="David" w:cs="David" w:eastAsia="David" w:hAnsi="David"/>
          <w:b w:val="false"/>
          <w:bCs w:val="false"/>
          <w:sz w:val="24"/>
          <w:szCs w:val="24"/>
          <w:rtl/>
        </w:rPr>
        <w:t xml:space="preserve">לב ההליך אינו רק בשאלת היהדות, אלא בהתנהלות הרשות. העותר גולגל "בלך ושוב" משנת 2018: בקשתו נדחתה, עתירה קודמת נמחקה לאחר שהרשות התחייבה לבחון מחדש את עניינו ולסייע בידו, ורק לאחר שנקט בהליך לפי פקודת בזיון בית המשפט העניקה לו הרשות רישיון ארעי א/5 לשנה — שבסופה, כך נאמר, תיבחן דתו "האפקטיבית" מחדש. משהוגשה העתירה הנוכחית, ביקשה הרשות למחקהּ שוב בטענה שהתקבלה "החלטה חדשה" ושעל העותר למצות הליכים מהתחלה. בית המשפט קיבל את העתירה, קבע כי העותר יהודי לפי חוק השבות שלא המיר את דתו, וכי על הרשות להנפיק לו אשרת עולה [עמ' ___].</w:t>
      </w:r>
    </w:p>
    <w:p>
      <w:pPr>
        <w:bidi/>
        <w:spacing w:after="80" w:before="120" w:line="360"/>
        <w:jc w:val="both"/>
      </w:pPr>
      <w:r>
        <w:rPr>
          <w:rFonts w:ascii="David" w:cs="David" w:eastAsia="David" w:hAnsi="David"/>
          <w:b/>
          <w:bCs/>
          <w:sz w:val="24"/>
          <w:szCs w:val="24"/>
          <w:rtl/>
        </w:rPr>
        <w:t xml:space="preserve">(2) הגישה התיאורטית ומושגי המפתח</w:t>
      </w:r>
    </w:p>
    <w:p>
      <w:pPr>
        <w:bidi/>
        <w:spacing w:after="120" w:line="360"/>
        <w:jc w:val="both"/>
      </w:pPr>
      <w:r>
        <w:rPr>
          <w:rFonts w:ascii="David" w:cs="David" w:eastAsia="David" w:hAnsi="David"/>
          <w:b w:val="false"/>
          <w:bCs w:val="false"/>
          <w:sz w:val="24"/>
          <w:szCs w:val="24"/>
          <w:rtl/>
        </w:rPr>
        <w:t xml:space="preserve">מאוטנר, בעקבות "העצה של פרנקפורטר", מבקש להסביר מדוע דווקא המשפטן זקוק להשכלה רחבה ולרגישות אנושית. ההצדקה המרכזית שלו היא </w:t>
      </w:r>
      <w:r>
        <w:rPr>
          <w:rFonts w:ascii="David" w:cs="David" w:eastAsia="David" w:hAnsi="David"/>
          <w:b/>
          <w:bCs/>
          <w:sz w:val="24"/>
          <w:szCs w:val="24"/>
          <w:rtl/>
        </w:rPr>
        <w:t xml:space="preserve">רזון המשפט</w:t>
      </w:r>
      <w:r>
        <w:rPr>
          <w:rFonts w:ascii="David" w:cs="David" w:eastAsia="David" w:hAnsi="David"/>
          <w:b w:val="false"/>
          <w:bCs w:val="false"/>
          <w:sz w:val="24"/>
          <w:szCs w:val="24"/>
          <w:rtl/>
        </w:rPr>
        <w:t xml:space="preserve">: המשפט הוא מסגרת צרה ומצומצמת. כשהוא נדרש להכריע סיטואציה, הוא אינו מספר את הסיפור במלואו אלא חותך ממנו פרוסה מוגדרת — יסודות עבירה, קטגוריות, רף גילאי, "מה נכנס לכתב האישום ומה נשאר בחוץ". המשפט "אינו יכול לראות את הכל", ולכן מוטלת על המשפטן חובה כפולה: קודם כול להכיר בכך שאין בידיו כל האמת או כל הסיפור, ומתוך הכרה זו — לגלות </w:t>
      </w:r>
      <w:r>
        <w:rPr>
          <w:rFonts w:ascii="David" w:cs="David" w:eastAsia="David" w:hAnsi="David"/>
          <w:b/>
          <w:bCs/>
          <w:sz w:val="24"/>
          <w:szCs w:val="24"/>
          <w:rtl/>
        </w:rPr>
        <w:t xml:space="preserve">רגישות אנושית</w:t>
      </w:r>
      <w:r>
        <w:rPr>
          <w:rFonts w:ascii="David" w:cs="David" w:eastAsia="David" w:hAnsi="David"/>
          <w:b w:val="false"/>
          <w:bCs w:val="false"/>
          <w:sz w:val="24"/>
          <w:szCs w:val="24"/>
          <w:rtl/>
        </w:rPr>
        <w:t xml:space="preserve"> דווקא בנקודות שבהן המשפט פוגש את האדם בשעת שברו.</w:t>
      </w:r>
    </w:p>
    <w:p>
      <w:pPr>
        <w:bidi/>
        <w:spacing w:after="120" w:line="360"/>
        <w:jc w:val="both"/>
      </w:pPr>
      <w:r>
        <w:rPr>
          <w:rFonts w:ascii="David" w:cs="David" w:eastAsia="David" w:hAnsi="David"/>
          <w:b w:val="false"/>
          <w:bCs w:val="false"/>
          <w:sz w:val="24"/>
          <w:szCs w:val="24"/>
          <w:rtl/>
        </w:rPr>
        <w:t xml:space="preserve">לגישתי, "רזון המשפט" מקבל את משמעותו המעשית כשמצרפים אליו את מושגי יחסי אזרח–שלטון. הרשות המנהלית פוגשת את הפרט מתוך </w:t>
      </w:r>
      <w:r>
        <w:rPr>
          <w:rFonts w:ascii="David" w:cs="David" w:eastAsia="David" w:hAnsi="David"/>
          <w:b/>
          <w:bCs/>
          <w:sz w:val="24"/>
          <w:szCs w:val="24"/>
          <w:rtl/>
        </w:rPr>
        <w:t xml:space="preserve">פערי כוחות</w:t>
      </w:r>
      <w:r>
        <w:rPr>
          <w:rFonts w:ascii="David" w:cs="David" w:eastAsia="David" w:hAnsi="David"/>
          <w:b w:val="false"/>
          <w:bCs w:val="false"/>
          <w:sz w:val="24"/>
          <w:szCs w:val="24"/>
          <w:rtl/>
        </w:rPr>
        <w:t xml:space="preserve"> עמוקים; כוחה, כלשון פסק הדין, "מקיף וכמעט טוטלי". מכאן נגזרת </w:t>
      </w:r>
      <w:r>
        <w:rPr>
          <w:rFonts w:ascii="David" w:cs="David" w:eastAsia="David" w:hAnsi="David"/>
          <w:b/>
          <w:bCs/>
          <w:sz w:val="24"/>
          <w:szCs w:val="24"/>
          <w:rtl/>
        </w:rPr>
        <w:t xml:space="preserve">חובת ההגינות</w:t>
      </w:r>
      <w:r>
        <w:rPr>
          <w:rFonts w:ascii="David" w:cs="David" w:eastAsia="David" w:hAnsi="David"/>
          <w:b w:val="false"/>
          <w:bCs w:val="false"/>
          <w:sz w:val="24"/>
          <w:szCs w:val="24"/>
          <w:rtl/>
        </w:rPr>
        <w:t xml:space="preserve"> של הרשות — חובה "רחבה ועמומה" שקשה להגדירה אך קל להבחין בה, ואשר "כרוכה במושג של יושר ונוגדת את המושג של עוול, דורשת התחשבות וכבוד ודוחה התנשאות וזלזול". בבסיסה עומד רעיון הומניסטי מובהק: הרשות משרתת את הציבור, הציבור מורכב מבני אדם, ולכל אדם — "מטבע ברייתו וגם על פי החוק" — זכות לכבוד. זהו בדיוק המהלך שמאוטנר מבקש: לראות את האדם, לא את התיק.</w:t>
      </w:r>
    </w:p>
    <w:p>
      <w:pPr>
        <w:bidi/>
        <w:spacing w:after="80" w:before="120" w:line="360"/>
        <w:jc w:val="both"/>
      </w:pPr>
      <w:r>
        <w:rPr>
          <w:rFonts w:ascii="David" w:cs="David" w:eastAsia="David" w:hAnsi="David"/>
          <w:b/>
          <w:bCs/>
          <w:sz w:val="24"/>
          <w:szCs w:val="24"/>
          <w:rtl/>
        </w:rPr>
        <w:t xml:space="preserve">(3) ניתוח פסק הדין דרך הגישה</w:t>
      </w:r>
    </w:p>
    <w:p>
      <w:pPr>
        <w:bidi/>
        <w:spacing w:after="120" w:line="360"/>
        <w:jc w:val="both"/>
      </w:pPr>
      <w:r>
        <w:rPr>
          <w:rFonts w:ascii="David" w:cs="David" w:eastAsia="David" w:hAnsi="David"/>
          <w:b w:val="false"/>
          <w:bCs w:val="false"/>
          <w:sz w:val="24"/>
          <w:szCs w:val="24"/>
          <w:rtl/>
        </w:rPr>
        <w:t xml:space="preserve">פסק הדין קורא, לגישתי, כמו יישום מודע של התפיסה ההומניסטית. השופטת אגמון-גונן מסרבת להישאב אל ה"רזון" הפרוצדורלי שהרשות מציעה — מחיקת עתירה, מיצוי הליכים, "החלטה חדשה" — ומתעקשת לראות את הסיפור השלם: אדם שנשלח שוב ושוב "בלך ושוב" מאז 2018, נאלץ להוציא כספים על ייצוג ולדחות את עלייתו, ונדרש "להתחיל מחדש את מיצוי ההליכים... אף שדבר לא השתנה" [עמ' ___]. כשביקש בית המשפט מב"כ הרשות להסביר מה בכוונתה לבחון בתום שנת הארעיות ולפי אילו קריטריונים, לא נמצאה תשובה. היעדר התשובה הוא-הוא נקודת השבר שבה המנגנון הבירוקרטי חושף את ריקנותו מול האדם החי.</w:t>
      </w:r>
    </w:p>
    <w:p>
      <w:pPr>
        <w:bidi/>
        <w:spacing w:after="120" w:line="360"/>
        <w:jc w:val="both"/>
      </w:pPr>
      <w:r>
        <w:rPr>
          <w:rFonts w:ascii="David" w:cs="David" w:eastAsia="David" w:hAnsi="David"/>
          <w:b w:val="false"/>
          <w:bCs w:val="false"/>
          <w:sz w:val="24"/>
          <w:szCs w:val="24"/>
          <w:rtl/>
        </w:rPr>
        <w:t xml:space="preserve">הרשות "רואה תיק": שאלון, סתירה לכאורית בין סעיף הדת לסעיף הלאום, מסלול. השופטת "רואה אדם": יהודי מלידה שהוטבל כתינוק על ידי משפחת אביו, "תינוק שבוי" לכל היותר, המגדל את ילדיו כיהודים ופעיל בקהילה יהודית. משום כך היא קובעת כי החריג של "בן דת אחרת" (ס' 4א(א) ו-4ב לחוק השבות) שמור למקרה קיצוני שבו אדם "בוחר לצעוד בנתיביה של דת אחרת", כפי שנקבע בעניין זבידובסקי, וכי "לא בנקל תילקח מיהודי הזכות המוענקת לו מכוח חוק השבות" [עמ' ___].</w:t>
      </w:r>
    </w:p>
    <w:p>
      <w:pPr>
        <w:bidi/>
        <w:spacing w:after="120" w:line="360"/>
        <w:jc w:val="both"/>
      </w:pPr>
      <w:r>
        <w:rPr>
          <w:rFonts w:ascii="David" w:cs="David" w:eastAsia="David" w:hAnsi="David"/>
          <w:b w:val="false"/>
          <w:bCs w:val="false"/>
          <w:sz w:val="24"/>
          <w:szCs w:val="24"/>
          <w:rtl/>
        </w:rPr>
        <w:t xml:space="preserve">הרובד ההומניסטי מתחדד בביסוס חובת ההגינות על </w:t>
      </w:r>
      <w:r>
        <w:rPr>
          <w:rFonts w:ascii="David" w:cs="David" w:eastAsia="David" w:hAnsi="David"/>
          <w:b/>
          <w:bCs/>
          <w:sz w:val="24"/>
          <w:szCs w:val="24"/>
          <w:rtl/>
        </w:rPr>
        <w:t xml:space="preserve">פערי הכוחות</w:t>
      </w:r>
      <w:r>
        <w:rPr>
          <w:rFonts w:ascii="David" w:cs="David" w:eastAsia="David" w:hAnsi="David"/>
          <w:b w:val="false"/>
          <w:bCs w:val="false"/>
          <w:sz w:val="24"/>
          <w:szCs w:val="24"/>
          <w:rtl/>
        </w:rPr>
        <w:t xml:space="preserve">. השופטת נשענת על עניין קונטרם, שם נקבע כי "חובת ההגינות... באה לקבוע כללי התנהגות של 'ידידים'", וכי היא "נועדה לשמש — בצדם של אמצעים אחרים — בלם לכוח ורסן לעוצמה" (בג"ץ 164/97 קונטרם בע"מ נ' משרד האוצר, פ"ד נב(1) 289, 347, 368 (1998)). ובמיוחד מהדהדת מטאפורת </w:t>
      </w:r>
      <w:r>
        <w:rPr>
          <w:rFonts w:ascii="David" w:cs="David" w:eastAsia="David" w:hAnsi="David"/>
          <w:b/>
          <w:bCs/>
          <w:sz w:val="24"/>
          <w:szCs w:val="24"/>
          <w:rtl/>
        </w:rPr>
        <w:t xml:space="preserve">גוליבר בארץ הענקים</w:t>
      </w:r>
      <w:r>
        <w:rPr>
          <w:rFonts w:ascii="David" w:cs="David" w:eastAsia="David" w:hAnsi="David"/>
          <w:b w:val="false"/>
          <w:bCs w:val="false"/>
          <w:sz w:val="24"/>
          <w:szCs w:val="24"/>
          <w:rtl/>
        </w:rPr>
        <w:t xml:space="preserve"> של השופט חשין: "היחיד והשלטון אין הם שווי-זכויות, אין הם שווי-כוחות ואין הם שווי-מעמד... הנה הוא גוליבר בארץ הענקים... נשיפת פה מצויה וגוליבר היה-כלא-היה" (שם, בעמ' 367). זו התמונה ההומניסטית במלואה: הפרט הזעיר מול "מכונת-הענק", והמשפט נחלץ לעזרתו דווקא משום פערי הכוח. הכרעת בית המשפט — שהעותר זכאי שבות — אינה רק תוצאה משפטית; היא בחירה לראות את האדם שמאחורי הקטגוריה.</w:t>
      </w:r>
    </w:p>
    <w:p>
      <w:pPr>
        <w:bidi/>
        <w:spacing w:after="80" w:before="120" w:line="360"/>
        <w:jc w:val="both"/>
      </w:pPr>
      <w:r>
        <w:rPr>
          <w:rFonts w:ascii="David" w:cs="David" w:eastAsia="David" w:hAnsi="David"/>
          <w:b/>
          <w:bCs/>
          <w:sz w:val="24"/>
          <w:szCs w:val="24"/>
          <w:rtl/>
        </w:rPr>
        <w:t xml:space="preserve">(4) תוצר התרבות והחיבור היצירתי</w:t>
      </w:r>
    </w:p>
    <w:p>
      <w:pPr>
        <w:bidi/>
        <w:spacing w:after="120" w:line="360"/>
        <w:jc w:val="both"/>
      </w:pPr>
      <w:r>
        <w:rPr>
          <w:rFonts w:ascii="David" w:cs="David" w:eastAsia="David" w:hAnsi="David"/>
          <w:b w:val="false"/>
          <w:bCs w:val="false"/>
          <w:sz w:val="24"/>
          <w:szCs w:val="24"/>
          <w:rtl/>
        </w:rPr>
        <w:t xml:space="preserve">כתוצר תרבות בחרתי בשיר </w:t>
      </w:r>
      <w:r>
        <w:rPr>
          <w:rFonts w:ascii="David" w:cs="David" w:eastAsia="David" w:hAnsi="David"/>
          <w:b/>
          <w:bCs/>
          <w:sz w:val="24"/>
          <w:szCs w:val="24"/>
          <w:rtl/>
        </w:rPr>
        <w:t xml:space="preserve">"אני מאמין" ("שַׂחֲקִי, שַׂחֲקִי") של שאול טשרניחובסקי</w:t>
      </w:r>
      <w:r>
        <w:rPr>
          <w:rFonts w:ascii="David" w:cs="David" w:eastAsia="David" w:hAnsi="David"/>
          <w:b w:val="false"/>
          <w:bCs w:val="false"/>
          <w:sz w:val="24"/>
          <w:szCs w:val="24"/>
          <w:rtl/>
        </w:rPr>
        <w:t xml:space="preserve">, שכולו הכרזת אמון באדם — "כִּי עוֹד אַאֲמִין גַּם בָּאָדָם, / גַּם בְּרוּחוֹ, רוּחַ עָז". השיר נזכר בחומרי הקורס עצמם כטקסט הומניסטי מכונן ("כי באדם אאמין", "האדם במרכז"), ולכן הוא עוגן בטוח לחיבור.</w:t>
      </w:r>
    </w:p>
    <w:p>
      <w:pPr>
        <w:bidi/>
        <w:spacing w:after="120" w:line="360"/>
        <w:jc w:val="both"/>
      </w:pPr>
      <w:r>
        <w:rPr>
          <w:rFonts w:ascii="David" w:cs="David" w:eastAsia="David" w:hAnsi="David"/>
          <w:b w:val="false"/>
          <w:bCs w:val="false"/>
          <w:sz w:val="24"/>
          <w:szCs w:val="24"/>
          <w:rtl/>
        </w:rPr>
        <w:t xml:space="preserve">החיבור שאני מציעה אינו של "שני דברים נפרדים על אותו נושא", אלא של שני קולות שמדברים זה אל זה. השיר מציב אמונה עקשנית בָּאדם וברוחו גם מול מי שלועג לה ("שַׂחֲקִי, שַׂחֲקִי עַל הַחֲלוֹמוֹת"); פסק הדין מציב את אותה אמונה מול מנגנון קר שרואה בעותר "סתירה" ו"תיק לבחינה". השופטת, כמו הדובר בשיר, מסרבת לוותר על האדם: היכן שהרשות מבקשת לדחות, לצמצם ולגלגל — היא בוחרת להאמין באדם שלפניה, לראות את סיפורו במלואו ולהשיב לו את כבודו. במובן זה השיר </w:t>
      </w:r>
      <w:r>
        <w:rPr>
          <w:rFonts w:ascii="David" w:cs="David" w:eastAsia="David" w:hAnsi="David"/>
          <w:b/>
          <w:bCs/>
          <w:sz w:val="24"/>
          <w:szCs w:val="24"/>
          <w:rtl/>
        </w:rPr>
        <w:t xml:space="preserve">תומך</w:t>
      </w:r>
      <w:r>
        <w:rPr>
          <w:rFonts w:ascii="David" w:cs="David" w:eastAsia="David" w:hAnsi="David"/>
          <w:b w:val="false"/>
          <w:bCs w:val="false"/>
          <w:sz w:val="24"/>
          <w:szCs w:val="24"/>
          <w:rtl/>
        </w:rPr>
        <w:t xml:space="preserve"> בהכרעה השיפוטית ומעצים אותה: הוא נותן ביטוי רגשי-ערכי למה שהמשפט מנסח בשפת חובת ההגינות. ובכיוון ההפוך, פסק הדין ממחיש כי אמונת השיר איננה נאיבית — היא ניתנת למימוש דרך כלים משפטיים ממשיים, כשמשפטן בוחר שלא להיכנע ל"רזון המשפט". [[לבחירת הכותב: ניתן להחליף בתוצר תרבות אחר]]</w:t>
      </w:r>
    </w:p>
    <w:p>
      <w:pPr>
        <w:bidi/>
        <w:spacing w:after="80" w:before="120" w:line="360"/>
        <w:jc w:val="both"/>
      </w:pPr>
      <w:r>
        <w:rPr>
          <w:rFonts w:ascii="David" w:cs="David" w:eastAsia="David" w:hAnsi="David"/>
          <w:b/>
          <w:bCs/>
          <w:sz w:val="24"/>
          <w:szCs w:val="24"/>
          <w:rtl/>
        </w:rPr>
        <w:t xml:space="preserve">(5) דעה אישית מנומקת</w:t>
      </w:r>
    </w:p>
    <w:p>
      <w:pPr>
        <w:bidi/>
        <w:spacing w:after="120" w:line="360"/>
        <w:jc w:val="both"/>
      </w:pPr>
      <w:r>
        <w:rPr>
          <w:rFonts w:ascii="David" w:cs="David" w:eastAsia="David" w:hAnsi="David"/>
          <w:b w:val="false"/>
          <w:bCs w:val="false"/>
          <w:sz w:val="24"/>
          <w:szCs w:val="24"/>
          <w:rtl/>
        </w:rPr>
        <w:t xml:space="preserve">לדעתי, הניתוח מלמד שלושה דברים. ראשית, על </w:t>
      </w:r>
      <w:r>
        <w:rPr>
          <w:rFonts w:ascii="David" w:cs="David" w:eastAsia="David" w:hAnsi="David"/>
          <w:b/>
          <w:bCs/>
          <w:sz w:val="24"/>
          <w:szCs w:val="24"/>
          <w:rtl/>
        </w:rPr>
        <w:t xml:space="preserve">הגישה</w:t>
      </w:r>
      <w:r>
        <w:rPr>
          <w:rFonts w:ascii="David" w:cs="David" w:eastAsia="David" w:hAnsi="David"/>
          <w:b w:val="false"/>
          <w:bCs w:val="false"/>
          <w:sz w:val="24"/>
          <w:szCs w:val="24"/>
          <w:rtl/>
        </w:rPr>
        <w:t xml:space="preserve">: כוחה של התפיסה ההומניסטית אינו בהמרת הדין ברגש, אלא בהוספת שכבת ראייה — "רזון המשפט" אינו פוטר מהכרעה משפטית, אך מחייב את השופט להכיר בכך שהתיק צר מהחיים, ולתרגם הכרה זו לחובת הגינות מעשית. שנית, על </w:t>
      </w:r>
      <w:r>
        <w:rPr>
          <w:rFonts w:ascii="David" w:cs="David" w:eastAsia="David" w:hAnsi="David"/>
          <w:b/>
          <w:bCs/>
          <w:sz w:val="24"/>
          <w:szCs w:val="24"/>
          <w:rtl/>
        </w:rPr>
        <w:t xml:space="preserve">פסק הדין</w:t>
      </w:r>
      <w:r>
        <w:rPr>
          <w:rFonts w:ascii="David" w:cs="David" w:eastAsia="David" w:hAnsi="David"/>
          <w:b w:val="false"/>
          <w:bCs w:val="false"/>
          <w:sz w:val="24"/>
          <w:szCs w:val="24"/>
          <w:rtl/>
        </w:rPr>
        <w:t xml:space="preserve">: עוצמתו נובעת דווקא מכך שהוא מכריע במונחים מנהליים מדויקים (עקרון אי-הסופיות, חובת ההגינות, סבירות), ובכל זאת מצליח לראות את האדם — עדות לכך ששפה משפטית ורגישות אנושית אינן סותרות. שלישית, על </w:t>
      </w:r>
      <w:r>
        <w:rPr>
          <w:rFonts w:ascii="David" w:cs="David" w:eastAsia="David" w:hAnsi="David"/>
          <w:b/>
          <w:bCs/>
          <w:sz w:val="24"/>
          <w:szCs w:val="24"/>
          <w:rtl/>
        </w:rPr>
        <w:t xml:space="preserve">דרכי הביטוי</w:t>
      </w:r>
      <w:r>
        <w:rPr>
          <w:rFonts w:ascii="David" w:cs="David" w:eastAsia="David" w:hAnsi="David"/>
          <w:b w:val="false"/>
          <w:bCs w:val="false"/>
          <w:sz w:val="24"/>
          <w:szCs w:val="24"/>
          <w:rtl/>
        </w:rPr>
        <w:t xml:space="preserve">: השיר עושה בשפת הרגש את מה שפסק הדין עושה בשפת הדין, והמפגש ביניהם מחדד ששניהם מבטאים אותו רעיון — האדם, ולא המנגנון, במרכז. לצד זאת, לגישתי יש לשמור על מידה: הסכנה בגישה ההומניסטית היא שיפוט לפי תחושה בלבד; היא משכנעת רק כשהיא רתומה, כמו כאן, לעיגון נורמטיבי מסודר.</w:t>
      </w:r>
    </w:p>
    <w:p>
      <w:pPr>
        <w:bidi/>
        <w:spacing w:after="120" w:before="200" w:line="360"/>
        <w:jc w:val="both"/>
      </w:pPr>
      <w:r>
        <w:rPr>
          <w:rFonts w:ascii="David" w:cs="David" w:eastAsia="David" w:hAnsi="David"/>
          <w:b/>
          <w:bCs/>
          <w:sz w:val="26"/>
          <w:szCs w:val="26"/>
          <w:rtl/>
        </w:rPr>
        <w:t xml:space="preserve">חלק ב' — חשיבה תועלתנית בהכרעה ציבורית: הפקעת מחירים בשעת חירום</w:t>
      </w:r>
    </w:p>
    <w:p>
      <w:pPr>
        <w:bidi/>
        <w:spacing w:after="120" w:line="360"/>
        <w:jc w:val="both"/>
      </w:pPr>
      <w:r>
        <w:rPr>
          <w:rFonts w:ascii="David" w:cs="David" w:eastAsia="David" w:hAnsi="David"/>
          <w:b w:val="false"/>
          <w:bCs w:val="false"/>
          <w:sz w:val="24"/>
          <w:szCs w:val="24"/>
          <w:rtl/>
        </w:rPr>
        <w:t xml:space="preserve">בחלק זה בחרתי באפשרות 1 (תועלתנות), משום שהיא מכוסה לעומק בחומרי הקורס — ממיל ועד מקרי הבוחן — ומאפשרת ניתוח מדויק ובטוח.</w:t>
      </w:r>
    </w:p>
    <w:p>
      <w:pPr>
        <w:bidi/>
        <w:spacing w:after="120" w:line="360"/>
        <w:jc w:val="both"/>
      </w:pPr>
      <w:r>
        <w:rPr>
          <w:rFonts w:ascii="David" w:cs="David" w:eastAsia="David" w:hAnsi="David"/>
          <w:b w:val="false"/>
          <w:bCs w:val="false"/>
          <w:sz w:val="24"/>
          <w:szCs w:val="24"/>
          <w:rtl/>
        </w:rPr>
        <w:t xml:space="preserve">התועלתנות, בניסוחו הקלאסי של ג'ון סטיוארט מיל, גורסת כי "המעשים הם ישרים במידה שהם נוטים להגדיל את האושר, ובלתי ישרים במידה שהם נוטים ליצור את היפוכו של האושר". אמת המידה היא </w:t>
      </w:r>
      <w:r>
        <w:rPr>
          <w:rFonts w:ascii="David" w:cs="David" w:eastAsia="David" w:hAnsi="David"/>
          <w:b/>
          <w:bCs/>
          <w:sz w:val="24"/>
          <w:szCs w:val="24"/>
          <w:rtl/>
        </w:rPr>
        <w:t xml:space="preserve">מקסום התועלת המצרפית</w:t>
      </w:r>
      <w:r>
        <w:rPr>
          <w:rFonts w:ascii="David" w:cs="David" w:eastAsia="David" w:hAnsi="David"/>
          <w:b w:val="false"/>
          <w:bCs w:val="false"/>
          <w:sz w:val="24"/>
          <w:szCs w:val="24"/>
          <w:rtl/>
        </w:rPr>
        <w:t xml:space="preserve"> — "הטוב הגדול ביותר למספר הגדול ביותר". מיל אף הבחין בין הנאות: "מינים ידועים של הנאה רצויים הם יותר ממינים אחרים ועולים עליהם בערכם".</w:t>
      </w:r>
    </w:p>
    <w:p>
      <w:pPr>
        <w:bidi/>
        <w:spacing w:after="120" w:line="360"/>
        <w:jc w:val="both"/>
      </w:pPr>
      <w:r>
        <w:rPr>
          <w:rFonts w:ascii="David" w:cs="David" w:eastAsia="David" w:hAnsi="David"/>
          <w:b w:val="false"/>
          <w:bCs w:val="false"/>
          <w:sz w:val="24"/>
          <w:szCs w:val="24"/>
          <w:rtl/>
        </w:rPr>
        <w:t xml:space="preserve">כסוגיה ציבורית שבה ניכרת הכרעה תועלתנית בחרתי את </w:t>
      </w:r>
      <w:r>
        <w:rPr>
          <w:rFonts w:ascii="David" w:cs="David" w:eastAsia="David" w:hAnsi="David"/>
          <w:b/>
          <w:bCs/>
          <w:sz w:val="24"/>
          <w:szCs w:val="24"/>
          <w:rtl/>
        </w:rPr>
        <w:t xml:space="preserve">הוויכוח על איסור הפקעת מחירים בשעת חירום</w:t>
      </w:r>
      <w:r>
        <w:rPr>
          <w:rFonts w:ascii="David" w:cs="David" w:eastAsia="David" w:hAnsi="David"/>
          <w:b w:val="false"/>
          <w:bCs w:val="false"/>
          <w:sz w:val="24"/>
          <w:szCs w:val="24"/>
          <w:rtl/>
        </w:rPr>
        <w:t xml:space="preserve"> — סוגיה שהודגמה בקורס דרך סופת ההוריקן שפקדה את פלורידה (2004): בעקבותיה נסק מחירן של שקיות קרח מ-2 ל-10 דולר, מחירי גנרטורים וסילוק עצים זינקו, ומשפחות שילמו סכומי עתק על לינה. בפלורידה קיים חוק האוסר על העלאת מחירים בשעת חירום, והשאלה הציבורית היא האם הכרעה כזו — לאסור או להתיר — ראויה.</w:t>
      </w:r>
    </w:p>
    <w:p>
      <w:pPr>
        <w:bidi/>
        <w:spacing w:after="120" w:line="360"/>
        <w:jc w:val="both"/>
      </w:pPr>
      <w:r>
        <w:rPr>
          <w:rFonts w:ascii="David" w:cs="David" w:eastAsia="David" w:hAnsi="David"/>
          <w:b w:val="false"/>
          <w:bCs w:val="false"/>
          <w:sz w:val="24"/>
          <w:szCs w:val="24"/>
          <w:rtl/>
        </w:rPr>
        <w:t xml:space="preserve">הניתוח התועלתני שוקל תועלות מול עלויות, ושל מי. </w:t>
      </w:r>
      <w:r>
        <w:rPr>
          <w:rFonts w:ascii="David" w:cs="David" w:eastAsia="David" w:hAnsi="David"/>
          <w:b/>
          <w:bCs/>
          <w:sz w:val="24"/>
          <w:szCs w:val="24"/>
          <w:rtl/>
        </w:rPr>
        <w:t xml:space="preserve">בעד</w:t>
      </w:r>
      <w:r>
        <w:rPr>
          <w:rFonts w:ascii="David" w:cs="David" w:eastAsia="David" w:hAnsi="David"/>
          <w:b w:val="false"/>
          <w:bCs w:val="false"/>
          <w:sz w:val="24"/>
          <w:szCs w:val="24"/>
          <w:rtl/>
        </w:rPr>
        <w:t xml:space="preserve"> מנגנון מחיר חופשי: מחיר גבוה מאותת על מחסור, מתמרץ אספקה מהירה של קרח וגנרטורים לאזור האסון, ומכוון משאבים למי שזקוקים להם ביותר — ובכך, לכאורה, מגדיל את הרווחה המצרפית. </w:t>
      </w:r>
      <w:r>
        <w:rPr>
          <w:rFonts w:ascii="David" w:cs="David" w:eastAsia="David" w:hAnsi="David"/>
          <w:b/>
          <w:bCs/>
          <w:sz w:val="24"/>
          <w:szCs w:val="24"/>
          <w:rtl/>
        </w:rPr>
        <w:t xml:space="preserve">מנגד</w:t>
      </w:r>
      <w:r>
        <w:rPr>
          <w:rFonts w:ascii="David" w:cs="David" w:eastAsia="David" w:hAnsi="David"/>
          <w:b w:val="false"/>
          <w:bCs w:val="false"/>
          <w:sz w:val="24"/>
          <w:szCs w:val="24"/>
          <w:rtl/>
        </w:rPr>
        <w:t xml:space="preserve">, ההיצע בשעת חירום אינו נובע מ"רצון חופשי" אלא מצורך קיומי בכפייה של כוח עליון; העלות המצרפית — סבל, פגיעה בחלשים ואובדן אמון חברתי — עשויה לעלות על התועלת, ולכן איסור ההפקעה הוא שממקסם את התועלת. ההכרעה, בין כך ובין כך, היא במהותה חישוב תועלתני: איזו מדיניות תניב את מרב הרווחה למרב האנשים.</w:t>
      </w:r>
    </w:p>
    <w:p>
      <w:pPr>
        <w:bidi/>
        <w:spacing w:after="120" w:line="360"/>
        <w:jc w:val="both"/>
      </w:pPr>
      <w:r>
        <w:rPr>
          <w:rFonts w:ascii="David" w:cs="David" w:eastAsia="David" w:hAnsi="David"/>
          <w:b w:val="false"/>
          <w:bCs w:val="false"/>
          <w:sz w:val="24"/>
          <w:szCs w:val="24"/>
          <w:rtl/>
        </w:rPr>
        <w:t xml:space="preserve">וכאן מתגלה </w:t>
      </w:r>
      <w:r>
        <w:rPr>
          <w:rFonts w:ascii="David" w:cs="David" w:eastAsia="David" w:hAnsi="David"/>
          <w:b/>
          <w:bCs/>
          <w:sz w:val="24"/>
          <w:szCs w:val="24"/>
          <w:rtl/>
        </w:rPr>
        <w:t xml:space="preserve">קושי מוכר בחשיבה התועלתנית</w:t>
      </w:r>
      <w:r>
        <w:rPr>
          <w:rFonts w:ascii="David" w:cs="David" w:eastAsia="David" w:hAnsi="David"/>
          <w:b w:val="false"/>
          <w:bCs w:val="false"/>
          <w:sz w:val="24"/>
          <w:szCs w:val="24"/>
          <w:rtl/>
        </w:rPr>
        <w:t xml:space="preserve">: היא שוקלת סכומים מצרפיים ועלולה להצדיק פגיעה בפרט או במיעוט אם "החשבון הכולל" יוצא מוצדק — כפי שממחיש מקרה הסירה שנדון בקורס, שבו נטען כי הריגת נער אחד להצלת ארבעה היא ה"מעשה שיניב את התוצאה הטובה ביותר". התועלתנות מתקשה להסביר מדוע יש דברים שאסור לעשות לאדם גם כשהמאזן המצרפי משתלם. זהו בדיוק המקום שבו חלק ב' נפגש עם חלק א': התפיסה ההומניסטית וכבוד האדם מציבים גבול לחישוב התועלתני — האדם אינו רק "פריט" במאזן הרווחה. לגישתי, בסוגיות חירום נדרש שילוב: חשיבה תועלתנית לתכנון יעיל של הקצאת משאבים, לצד רצפת כבוד אנושי שאינה נתונה למיקוח מצרפי. [[תימוכין: להוסיף מקור מדויק — הצעת חוק / כתבה / מחקר / חוק פלורידה בדבר איסור הפקעת מחירים בחירום]]</w:t>
      </w:r>
    </w:p>
    <w:p>
      <w:pPr>
        <w:bidi/>
        <w:spacing w:after="120" w:line="360"/>
        <w:jc w:val="center"/>
      </w:pPr>
      <w:r>
        <w:rPr>
          <w:rFonts w:ascii="David" w:cs="David" w:eastAsia="David" w:hAnsi="David"/>
          <w:i/>
          <w:iCs/>
          <w:sz w:val="22"/>
          <w:szCs w:val="22"/>
          <w:rtl/>
        </w:rPr>
        <w:t xml:space="preserve">הערה למגיש: כל הפניה לפסק הדין המסומנת `[עמ' ___]` טעונה השלמת מספר עמוד/פסקה מן המקור. ציטוטי פסק הדין (גוליבר, קונטרם, חובת ההגינות, "בלך ושוב", "בן דת אחרת") לקוחים כלשונם מקובץ פסק הדין. הפניית קונטרם (פ"ד נב(1) 289, 347, 367–368) מופיעה כלשונה בפסק הדין.</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2026-07-29T18:06:25.282Z</dcterms:created>
  <dcterms:modified xsi:type="dcterms:W3CDTF">2026-07-29T18:06:25.283Z</dcterms:modified>
</cp:coreProperties>
</file>

<file path=docProps/custom.xml><?xml version="1.0" encoding="utf-8"?>
<Properties xmlns="http://schemas.openxmlformats.org/officeDocument/2006/custom-properties" xmlns:vt="http://schemas.openxmlformats.org/officeDocument/2006/docPropsVTypes"/>
</file>