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4F40" w14:textId="63AFF3AD" w:rsidR="00A85770" w:rsidRDefault="00D940F1" w:rsidP="00EA410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חלק א'</w:t>
      </w:r>
      <w:r w:rsidR="00DA681B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b/>
          <w:bCs/>
          <w:rtl/>
        </w:rPr>
        <w:t xml:space="preserve"> </w:t>
      </w:r>
      <w:r w:rsidR="00903F3D">
        <w:rPr>
          <w:rFonts w:ascii="David" w:hAnsi="David" w:cs="David" w:hint="cs"/>
          <w:rtl/>
        </w:rPr>
        <w:t>האם מדיניות</w:t>
      </w:r>
      <w:r w:rsidR="00235ECD">
        <w:rPr>
          <w:rFonts w:ascii="David" w:hAnsi="David" w:cs="David" w:hint="cs"/>
          <w:rtl/>
        </w:rPr>
        <w:t xml:space="preserve"> הנתפסת כ</w:t>
      </w:r>
      <w:r w:rsidR="00903F3D">
        <w:rPr>
          <w:rFonts w:ascii="David" w:hAnsi="David" w:cs="David" w:hint="cs"/>
          <w:rtl/>
        </w:rPr>
        <w:t xml:space="preserve">ניטרלית </w:t>
      </w:r>
      <w:r w:rsidR="00287A09">
        <w:rPr>
          <w:rFonts w:ascii="David" w:hAnsi="David" w:cs="David" w:hint="cs"/>
          <w:rtl/>
        </w:rPr>
        <w:t xml:space="preserve">כלפי כלל האזרחים בחברה רב-תרבותית מקדמת עקרונות של שוויון וצדק, או שמא עלולה לפגוע בקבוצות בעלות </w:t>
      </w:r>
      <w:r w:rsidR="002810CD">
        <w:rPr>
          <w:rFonts w:ascii="David" w:hAnsi="David" w:cs="David" w:hint="cs"/>
          <w:rtl/>
        </w:rPr>
        <w:t>זהות</w:t>
      </w:r>
      <w:r w:rsidR="00287A09">
        <w:rPr>
          <w:rFonts w:ascii="David" w:hAnsi="David" w:cs="David" w:hint="cs"/>
          <w:rtl/>
        </w:rPr>
        <w:t xml:space="preserve"> תרבותי</w:t>
      </w:r>
      <w:r w:rsidR="002810CD">
        <w:rPr>
          <w:rFonts w:ascii="David" w:hAnsi="David" w:cs="David" w:hint="cs"/>
          <w:rtl/>
        </w:rPr>
        <w:t>ת</w:t>
      </w:r>
      <w:r w:rsidR="00287A09">
        <w:rPr>
          <w:rFonts w:ascii="David" w:hAnsi="David" w:cs="David" w:hint="cs"/>
          <w:rtl/>
        </w:rPr>
        <w:t xml:space="preserve"> </w:t>
      </w:r>
      <w:r w:rsidR="002810CD">
        <w:rPr>
          <w:rFonts w:ascii="David" w:hAnsi="David" w:cs="David" w:hint="cs"/>
          <w:rtl/>
        </w:rPr>
        <w:t>ייחודית</w:t>
      </w:r>
      <w:r w:rsidR="00287A09">
        <w:rPr>
          <w:rFonts w:ascii="David" w:hAnsi="David" w:cs="David" w:hint="cs"/>
          <w:rtl/>
        </w:rPr>
        <w:t>?</w:t>
      </w:r>
    </w:p>
    <w:p w14:paraId="4E865AE9" w14:textId="2C78D50D" w:rsidR="0020446E" w:rsidRDefault="00B275A9" w:rsidP="00A86F4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לקראת יום הכיפורים, </w:t>
      </w:r>
      <w:r w:rsidR="008967FB">
        <w:rPr>
          <w:rFonts w:ascii="David" w:hAnsi="David" w:cs="David" w:hint="cs"/>
          <w:rtl/>
        </w:rPr>
        <w:t>עמותת "ראש יהודי" הגישה בקש</w:t>
      </w:r>
      <w:r w:rsidR="00BD7C16">
        <w:rPr>
          <w:rFonts w:ascii="David" w:hAnsi="David" w:cs="David" w:hint="cs"/>
          <w:rtl/>
        </w:rPr>
        <w:t xml:space="preserve">ת היתר </w:t>
      </w:r>
      <w:r w:rsidR="008967FB">
        <w:rPr>
          <w:rFonts w:ascii="David" w:hAnsi="David" w:cs="David" w:hint="cs"/>
          <w:rtl/>
        </w:rPr>
        <w:t>לעיריית תל אביב</w:t>
      </w:r>
      <w:r w:rsidR="003864A1">
        <w:rPr>
          <w:rFonts w:ascii="David" w:hAnsi="David" w:cs="David" w:hint="cs"/>
          <w:rtl/>
        </w:rPr>
        <w:t>-</w:t>
      </w:r>
      <w:r w:rsidR="008967FB">
        <w:rPr>
          <w:rFonts w:ascii="David" w:hAnsi="David" w:cs="David" w:hint="cs"/>
          <w:rtl/>
        </w:rPr>
        <w:t>יפו</w:t>
      </w:r>
      <w:r w:rsidR="000930F3">
        <w:rPr>
          <w:rFonts w:ascii="David" w:hAnsi="David" w:cs="David" w:hint="cs"/>
          <w:rtl/>
        </w:rPr>
        <w:t xml:space="preserve"> לצורך קיום תפילות ציבוריות בכיכר דיזנגוף. כמקובל במסורת האורתודוקסית, תפילות אלו כוללות הפרדה </w:t>
      </w:r>
      <w:r w:rsidR="00EE2F47">
        <w:rPr>
          <w:rFonts w:ascii="David" w:hAnsi="David" w:cs="David" w:hint="cs"/>
          <w:rtl/>
        </w:rPr>
        <w:t>בין הגברים לנשים באמצעות מחיצה. העירייה סירבה לבקשה,</w:t>
      </w:r>
      <w:r w:rsidR="00900552">
        <w:rPr>
          <w:rStyle w:val="FootnoteReference"/>
          <w:rFonts w:ascii="David" w:hAnsi="David" w:cs="David"/>
          <w:rtl/>
        </w:rPr>
        <w:footnoteReference w:id="1"/>
      </w:r>
      <w:r w:rsidR="00EE2F47">
        <w:rPr>
          <w:rFonts w:ascii="David" w:hAnsi="David" w:cs="David" w:hint="cs"/>
          <w:rtl/>
        </w:rPr>
        <w:t xml:space="preserve"> שכן מדיניותה אוסרת </w:t>
      </w:r>
      <w:r w:rsidR="0020446E">
        <w:rPr>
          <w:rFonts w:ascii="David" w:hAnsi="David" w:cs="David" w:hint="cs"/>
          <w:rtl/>
        </w:rPr>
        <w:t xml:space="preserve">קיום אירועים במרחב הציבורי הכוללים הפרדה מגדרית. </w:t>
      </w:r>
      <w:r w:rsidR="002E5DB9">
        <w:rPr>
          <w:rFonts w:ascii="David" w:hAnsi="David" w:cs="David" w:hint="cs"/>
          <w:rtl/>
        </w:rPr>
        <w:t>בלב סוגייה זו</w:t>
      </w:r>
      <w:r w:rsidR="007A2A71">
        <w:rPr>
          <w:rFonts w:ascii="David" w:hAnsi="David" w:cs="David" w:hint="cs"/>
          <w:rtl/>
        </w:rPr>
        <w:t xml:space="preserve"> </w:t>
      </w:r>
      <w:r w:rsidR="0039649D">
        <w:rPr>
          <w:rFonts w:ascii="David" w:hAnsi="David" w:cs="David" w:hint="cs"/>
          <w:rtl/>
        </w:rPr>
        <w:t>עומד</w:t>
      </w:r>
      <w:r w:rsidR="00936C5A">
        <w:rPr>
          <w:rFonts w:ascii="David" w:hAnsi="David" w:cs="David" w:hint="cs"/>
          <w:rtl/>
        </w:rPr>
        <w:t xml:space="preserve"> המתח בין </w:t>
      </w:r>
      <w:r w:rsidR="007A7D5F">
        <w:rPr>
          <w:rFonts w:ascii="David" w:hAnsi="David" w:cs="David" w:hint="cs"/>
          <w:rtl/>
        </w:rPr>
        <w:t xml:space="preserve">התפיסה של השוויון הפורמלי, </w:t>
      </w:r>
      <w:r w:rsidR="0035588F">
        <w:rPr>
          <w:rFonts w:ascii="David" w:hAnsi="David" w:cs="David" w:hint="cs"/>
          <w:rtl/>
        </w:rPr>
        <w:t>הדוגלת בהחלת</w:t>
      </w:r>
      <w:r w:rsidR="007A7D5F">
        <w:rPr>
          <w:rFonts w:ascii="David" w:hAnsi="David" w:cs="David" w:hint="cs"/>
          <w:rtl/>
        </w:rPr>
        <w:t xml:space="preserve"> כלל אחיד </w:t>
      </w:r>
      <w:r w:rsidR="003F44D2">
        <w:rPr>
          <w:rFonts w:ascii="David" w:hAnsi="David" w:cs="David" w:hint="cs"/>
          <w:rtl/>
        </w:rPr>
        <w:t xml:space="preserve">על </w:t>
      </w:r>
      <w:r w:rsidR="00950027">
        <w:rPr>
          <w:rFonts w:ascii="David" w:hAnsi="David" w:cs="David" w:hint="cs"/>
          <w:rtl/>
        </w:rPr>
        <w:t>החברה</w:t>
      </w:r>
      <w:r w:rsidR="007A7D5F">
        <w:rPr>
          <w:rFonts w:ascii="David" w:hAnsi="David" w:cs="David" w:hint="cs"/>
          <w:rtl/>
        </w:rPr>
        <w:t xml:space="preserve">, לבין </w:t>
      </w:r>
      <w:r w:rsidR="00B26CB6">
        <w:rPr>
          <w:rFonts w:ascii="David" w:hAnsi="David" w:cs="David" w:hint="cs"/>
          <w:rtl/>
        </w:rPr>
        <w:t>הגישה</w:t>
      </w:r>
      <w:r w:rsidR="007A7D5F">
        <w:rPr>
          <w:rFonts w:ascii="David" w:hAnsi="David" w:cs="David" w:hint="cs"/>
          <w:rtl/>
        </w:rPr>
        <w:t xml:space="preserve"> הרב-תרבותית, </w:t>
      </w:r>
      <w:r w:rsidR="00672E03">
        <w:rPr>
          <w:rFonts w:ascii="David" w:hAnsi="David" w:cs="David" w:hint="cs"/>
          <w:rtl/>
        </w:rPr>
        <w:t xml:space="preserve">אשר </w:t>
      </w:r>
      <w:r w:rsidR="0072564E">
        <w:rPr>
          <w:rFonts w:ascii="David" w:hAnsi="David" w:cs="David" w:hint="cs"/>
          <w:rtl/>
        </w:rPr>
        <w:t>מתחשבת</w:t>
      </w:r>
      <w:r w:rsidR="007A7D5F">
        <w:rPr>
          <w:rFonts w:ascii="David" w:hAnsi="David" w:cs="David" w:hint="cs"/>
          <w:rtl/>
        </w:rPr>
        <w:t xml:space="preserve"> במאפייניהן הייחודיים של קבוצות שונות בחברה.</w:t>
      </w:r>
      <w:r w:rsidR="00211940">
        <w:rPr>
          <w:rFonts w:ascii="David" w:hAnsi="David" w:cs="David" w:hint="cs"/>
          <w:rtl/>
        </w:rPr>
        <w:t xml:space="preserve"> </w:t>
      </w:r>
      <w:r w:rsidR="00B26CB6">
        <w:rPr>
          <w:rFonts w:ascii="David" w:hAnsi="David" w:cs="David" w:hint="cs"/>
          <w:rtl/>
        </w:rPr>
        <w:t xml:space="preserve">גישה זו התפתחה </w:t>
      </w:r>
      <w:r w:rsidR="00211940">
        <w:rPr>
          <w:rFonts w:ascii="David" w:hAnsi="David" w:cs="David" w:hint="cs"/>
          <w:rtl/>
        </w:rPr>
        <w:t xml:space="preserve">מתוך </w:t>
      </w:r>
      <w:r w:rsidR="00B26CB6">
        <w:rPr>
          <w:rFonts w:ascii="David" w:hAnsi="David" w:cs="David" w:hint="cs"/>
          <w:rtl/>
        </w:rPr>
        <w:t>ה</w:t>
      </w:r>
      <w:r w:rsidR="00211940">
        <w:rPr>
          <w:rFonts w:ascii="David" w:hAnsi="David" w:cs="David" w:hint="cs"/>
          <w:rtl/>
        </w:rPr>
        <w:t xml:space="preserve">הכרה כי </w:t>
      </w:r>
      <w:r w:rsidR="002A6814" w:rsidRPr="002A6814">
        <w:rPr>
          <w:rFonts w:ascii="David" w:hAnsi="David" w:cs="David"/>
          <w:rtl/>
        </w:rPr>
        <w:t>תפיסת זכויות האדם הליברלית המסורתית</w:t>
      </w:r>
      <w:r w:rsidR="00401845">
        <w:rPr>
          <w:rFonts w:ascii="David" w:hAnsi="David" w:cs="David" w:hint="cs"/>
          <w:rtl/>
        </w:rPr>
        <w:t>, המתמקד</w:t>
      </w:r>
      <w:r w:rsidR="00C965BA">
        <w:rPr>
          <w:rFonts w:ascii="David" w:hAnsi="David" w:cs="David" w:hint="cs"/>
          <w:rtl/>
        </w:rPr>
        <w:t>ת</w:t>
      </w:r>
      <w:r w:rsidR="00401845">
        <w:rPr>
          <w:rFonts w:ascii="David" w:hAnsi="David" w:cs="David" w:hint="cs"/>
          <w:rtl/>
        </w:rPr>
        <w:t xml:space="preserve"> באינדיבידואל ובשוויון הפורמלי, אינ</w:t>
      </w:r>
      <w:r w:rsidR="002A6814">
        <w:rPr>
          <w:rFonts w:ascii="David" w:hAnsi="David" w:cs="David" w:hint="cs"/>
          <w:rtl/>
        </w:rPr>
        <w:t>ה</w:t>
      </w:r>
      <w:r w:rsidR="00401845">
        <w:rPr>
          <w:rFonts w:ascii="David" w:hAnsi="David" w:cs="David" w:hint="cs"/>
          <w:rtl/>
        </w:rPr>
        <w:t xml:space="preserve"> </w:t>
      </w:r>
      <w:r w:rsidR="00DC6328">
        <w:rPr>
          <w:rFonts w:ascii="David" w:hAnsi="David" w:cs="David" w:hint="cs"/>
          <w:rtl/>
        </w:rPr>
        <w:t>משק</w:t>
      </w:r>
      <w:r w:rsidR="00C965BA">
        <w:rPr>
          <w:rFonts w:ascii="David" w:hAnsi="David" w:cs="David" w:hint="cs"/>
          <w:rtl/>
        </w:rPr>
        <w:t>פת</w:t>
      </w:r>
      <w:r w:rsidR="00FD6008">
        <w:rPr>
          <w:rFonts w:ascii="David" w:hAnsi="David" w:cs="David" w:hint="cs"/>
          <w:rtl/>
        </w:rPr>
        <w:t xml:space="preserve"> את</w:t>
      </w:r>
      <w:r w:rsidR="00DC6328">
        <w:rPr>
          <w:rFonts w:ascii="David" w:hAnsi="David" w:cs="David" w:hint="cs"/>
          <w:rtl/>
        </w:rPr>
        <w:t xml:space="preserve"> </w:t>
      </w:r>
      <w:r w:rsidR="00FD6008">
        <w:rPr>
          <w:rFonts w:ascii="David" w:hAnsi="David" w:cs="David" w:hint="cs"/>
          <w:rtl/>
        </w:rPr>
        <w:t>ה</w:t>
      </w:r>
      <w:r w:rsidR="00DC6328">
        <w:rPr>
          <w:rFonts w:ascii="David" w:hAnsi="David" w:cs="David" w:hint="cs"/>
          <w:rtl/>
        </w:rPr>
        <w:t xml:space="preserve">מציאות </w:t>
      </w:r>
      <w:r w:rsidR="007D5793">
        <w:rPr>
          <w:rFonts w:ascii="David" w:hAnsi="David" w:cs="David" w:hint="cs"/>
          <w:rtl/>
        </w:rPr>
        <w:t>ש</w:t>
      </w:r>
      <w:r w:rsidR="00DC6328">
        <w:rPr>
          <w:rFonts w:ascii="David" w:hAnsi="David" w:cs="David" w:hint="cs"/>
          <w:rtl/>
        </w:rPr>
        <w:t xml:space="preserve">בה בני האדם משתייכים לקבוצות בעלות זהות תרבותית שונה. </w:t>
      </w:r>
      <w:r w:rsidR="00083AF5">
        <w:rPr>
          <w:rFonts w:ascii="David" w:hAnsi="David" w:cs="David" w:hint="cs"/>
          <w:rtl/>
        </w:rPr>
        <w:t>לכן, אין די בהחלת כללים אחידים על כלל האזרחים</w:t>
      </w:r>
      <w:r w:rsidR="00A85099">
        <w:rPr>
          <w:rFonts w:ascii="David" w:hAnsi="David" w:cs="David" w:hint="cs"/>
          <w:rtl/>
        </w:rPr>
        <w:t xml:space="preserve">. </w:t>
      </w:r>
      <w:r w:rsidR="00083AF5">
        <w:rPr>
          <w:rFonts w:ascii="David" w:hAnsi="David" w:cs="David" w:hint="cs"/>
          <w:rtl/>
        </w:rPr>
        <w:t>מדיניות הנתפסת כניטרלית</w:t>
      </w:r>
      <w:r w:rsidR="00257043">
        <w:rPr>
          <w:rFonts w:ascii="David" w:hAnsi="David" w:cs="David" w:hint="cs"/>
          <w:rtl/>
        </w:rPr>
        <w:t>,</w:t>
      </w:r>
      <w:r w:rsidR="00083AF5">
        <w:rPr>
          <w:rFonts w:ascii="David" w:hAnsi="David" w:cs="David" w:hint="cs"/>
          <w:rtl/>
        </w:rPr>
        <w:t xml:space="preserve"> עלולה</w:t>
      </w:r>
      <w:r w:rsidR="005119E0">
        <w:rPr>
          <w:rFonts w:ascii="David" w:hAnsi="David" w:cs="David" w:hint="cs"/>
          <w:rtl/>
        </w:rPr>
        <w:t xml:space="preserve">, הלכה למעשה, </w:t>
      </w:r>
      <w:r w:rsidR="002034D5">
        <w:rPr>
          <w:rFonts w:ascii="David" w:hAnsi="David" w:cs="David" w:hint="cs"/>
          <w:rtl/>
        </w:rPr>
        <w:t>לחזק</w:t>
      </w:r>
      <w:r w:rsidR="005119E0">
        <w:rPr>
          <w:rFonts w:ascii="David" w:hAnsi="David" w:cs="David" w:hint="cs"/>
          <w:rtl/>
        </w:rPr>
        <w:t xml:space="preserve"> את </w:t>
      </w:r>
      <w:r w:rsidR="00257043">
        <w:rPr>
          <w:rFonts w:ascii="David" w:hAnsi="David" w:cs="David" w:hint="cs"/>
          <w:rtl/>
        </w:rPr>
        <w:t>תרבות</w:t>
      </w:r>
      <w:r w:rsidR="005119E0">
        <w:rPr>
          <w:rFonts w:ascii="David" w:hAnsi="David" w:cs="David" w:hint="cs"/>
          <w:rtl/>
        </w:rPr>
        <w:t xml:space="preserve"> הרוב ולהקשות על קבוצות המיעוט לשמר את זהותן התרבותית.</w:t>
      </w:r>
      <w:r w:rsidR="002034D5">
        <w:rPr>
          <w:rFonts w:ascii="David" w:hAnsi="David" w:cs="David" w:hint="cs"/>
          <w:rtl/>
        </w:rPr>
        <w:t xml:space="preserve"> </w:t>
      </w:r>
      <w:r w:rsidR="004549FC">
        <w:rPr>
          <w:rFonts w:ascii="David" w:hAnsi="David" w:cs="David" w:hint="cs"/>
          <w:rtl/>
        </w:rPr>
        <w:t>לפיכך</w:t>
      </w:r>
      <w:r w:rsidR="002034D5">
        <w:rPr>
          <w:rFonts w:ascii="David" w:hAnsi="David" w:cs="David" w:hint="cs"/>
          <w:rtl/>
        </w:rPr>
        <w:t>, הגישה הרב-תרבותית מדגישה את חשיבות ההכרה בשונות בין הקבוצות וצורכיהן הייחודיים</w:t>
      </w:r>
      <w:r w:rsidR="00452A93">
        <w:rPr>
          <w:rFonts w:ascii="David" w:hAnsi="David" w:cs="David" w:hint="cs"/>
          <w:rtl/>
        </w:rPr>
        <w:t>, שכן יחס דומה לשונים אינו מאפשר הגשמת שוויון מהותי.</w:t>
      </w:r>
      <w:r w:rsidR="00B80C62">
        <w:rPr>
          <w:rStyle w:val="FootnoteReference"/>
          <w:rFonts w:ascii="David" w:hAnsi="David" w:cs="David"/>
          <w:rtl/>
        </w:rPr>
        <w:footnoteReference w:id="2"/>
      </w:r>
    </w:p>
    <w:p w14:paraId="750D6477" w14:textId="43727F85" w:rsidR="00DC3A71" w:rsidRDefault="00D00E04" w:rsidP="00A86F4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סוגייה זו הגיעה לפתחו של בית המשפט העליון</w:t>
      </w:r>
      <w:r w:rsidR="009F0D9A">
        <w:rPr>
          <w:rFonts w:ascii="David" w:hAnsi="David" w:cs="David" w:hint="cs"/>
          <w:rtl/>
        </w:rPr>
        <w:t>,</w:t>
      </w:r>
      <w:r w:rsidR="00C66F8D">
        <w:rPr>
          <w:rStyle w:val="FootnoteReference"/>
          <w:rFonts w:ascii="David" w:hAnsi="David" w:cs="David"/>
          <w:rtl/>
        </w:rPr>
        <w:footnoteReference w:id="3"/>
      </w:r>
      <w:r w:rsidR="009F0D9A">
        <w:rPr>
          <w:rFonts w:ascii="David" w:hAnsi="David" w:cs="David" w:hint="cs"/>
          <w:rtl/>
        </w:rPr>
        <w:t xml:space="preserve"> </w:t>
      </w:r>
      <w:r w:rsidR="007B0018">
        <w:rPr>
          <w:rFonts w:ascii="David" w:hAnsi="David" w:cs="David" w:hint="cs"/>
          <w:rtl/>
        </w:rPr>
        <w:t xml:space="preserve">אשר נדרש להכריע </w:t>
      </w:r>
      <w:r w:rsidR="00BC6DE9">
        <w:rPr>
          <w:rFonts w:ascii="David" w:hAnsi="David" w:cs="David" w:hint="cs"/>
          <w:rtl/>
        </w:rPr>
        <w:t>בשאלה</w:t>
      </w:r>
      <w:r w:rsidR="00A11566">
        <w:rPr>
          <w:rFonts w:ascii="David" w:hAnsi="David" w:cs="David" w:hint="cs"/>
          <w:rtl/>
        </w:rPr>
        <w:t>:</w:t>
      </w:r>
      <w:r w:rsidR="00BC6DE9">
        <w:rPr>
          <w:rFonts w:ascii="David" w:hAnsi="David" w:cs="David" w:hint="cs"/>
          <w:rtl/>
        </w:rPr>
        <w:t xml:space="preserve"> </w:t>
      </w:r>
      <w:r w:rsidR="007B0018">
        <w:rPr>
          <w:rFonts w:ascii="David" w:hAnsi="David" w:cs="David" w:hint="cs"/>
          <w:rtl/>
        </w:rPr>
        <w:t>האם מדיניותה של עיריית תל אביב</w:t>
      </w:r>
      <w:r w:rsidR="003864A1">
        <w:rPr>
          <w:rFonts w:ascii="David" w:hAnsi="David" w:cs="David" w:hint="cs"/>
          <w:rtl/>
        </w:rPr>
        <w:t>-</w:t>
      </w:r>
      <w:r w:rsidR="007B0018">
        <w:rPr>
          <w:rFonts w:ascii="David" w:hAnsi="David" w:cs="David" w:hint="cs"/>
          <w:rtl/>
        </w:rPr>
        <w:t>יפו</w:t>
      </w:r>
      <w:r w:rsidR="000B686D">
        <w:rPr>
          <w:rFonts w:ascii="David" w:hAnsi="David" w:cs="David" w:hint="cs"/>
          <w:rtl/>
        </w:rPr>
        <w:t xml:space="preserve"> </w:t>
      </w:r>
      <w:r w:rsidR="00506701">
        <w:rPr>
          <w:rFonts w:ascii="David" w:hAnsi="David" w:cs="David" w:hint="cs"/>
          <w:rtl/>
        </w:rPr>
        <w:t xml:space="preserve">עומדת </w:t>
      </w:r>
      <w:r w:rsidR="00714707">
        <w:rPr>
          <w:rFonts w:ascii="David" w:hAnsi="David" w:cs="David" w:hint="cs"/>
          <w:rtl/>
        </w:rPr>
        <w:t xml:space="preserve">בתנאי החוק ובמבחני </w:t>
      </w:r>
      <w:r w:rsidR="00E40575">
        <w:rPr>
          <w:rFonts w:ascii="David" w:hAnsi="David" w:cs="David" w:hint="cs"/>
          <w:rtl/>
        </w:rPr>
        <w:t>המידתיות.</w:t>
      </w:r>
      <w:r w:rsidR="00E40575">
        <w:rPr>
          <w:rFonts w:ascii="David" w:hAnsi="David" w:cs="David" w:hint="cs"/>
          <w:color w:val="EE0000"/>
          <w:rtl/>
        </w:rPr>
        <w:t xml:space="preserve"> </w:t>
      </w:r>
      <w:r w:rsidR="00873C57">
        <w:rPr>
          <w:rFonts w:ascii="David" w:hAnsi="David" w:cs="David" w:hint="cs"/>
          <w:rtl/>
        </w:rPr>
        <w:t xml:space="preserve">השופט כשר </w:t>
      </w:r>
      <w:r w:rsidR="00651938">
        <w:rPr>
          <w:rFonts w:ascii="David" w:hAnsi="David" w:cs="David" w:hint="cs"/>
          <w:rtl/>
        </w:rPr>
        <w:t>הבחין בין שני רכיבים במדיניות העירייה.</w:t>
      </w:r>
      <w:r w:rsidR="00D15B88">
        <w:rPr>
          <w:rStyle w:val="FootnoteReference"/>
          <w:rFonts w:ascii="David" w:hAnsi="David" w:cs="David"/>
          <w:rtl/>
        </w:rPr>
        <w:footnoteReference w:id="4"/>
      </w:r>
      <w:r w:rsidR="00651938">
        <w:rPr>
          <w:rFonts w:ascii="David" w:hAnsi="David" w:cs="David" w:hint="cs"/>
          <w:rtl/>
        </w:rPr>
        <w:t xml:space="preserve"> </w:t>
      </w:r>
      <w:r w:rsidR="006A31E1">
        <w:rPr>
          <w:rFonts w:ascii="David" w:hAnsi="David" w:cs="David" w:hint="cs"/>
          <w:rtl/>
        </w:rPr>
        <w:t xml:space="preserve">ראשית, הרכיב הנוגע לקביעת מיקומן של התפילות, השופט כשר קבע כי </w:t>
      </w:r>
      <w:r w:rsidR="0065043A">
        <w:rPr>
          <w:rFonts w:ascii="David" w:hAnsi="David" w:cs="David" w:hint="cs"/>
          <w:rtl/>
        </w:rPr>
        <w:t xml:space="preserve">העירייה </w:t>
      </w:r>
      <w:r w:rsidR="00020ADB">
        <w:rPr>
          <w:rFonts w:ascii="David" w:hAnsi="David" w:cs="David" w:hint="cs"/>
          <w:rtl/>
        </w:rPr>
        <w:t>מוסמכת</w:t>
      </w:r>
      <w:r w:rsidR="0065043A">
        <w:rPr>
          <w:rFonts w:ascii="David" w:hAnsi="David" w:cs="David" w:hint="cs"/>
          <w:rtl/>
        </w:rPr>
        <w:t xml:space="preserve"> ונדרשת לנהל את </w:t>
      </w:r>
      <w:r w:rsidR="0065043A" w:rsidRPr="00BE20BB">
        <w:rPr>
          <w:rFonts w:ascii="David" w:hAnsi="David" w:cs="David" w:hint="cs"/>
          <w:rtl/>
        </w:rPr>
        <w:t>המרחב הציבורי</w:t>
      </w:r>
      <w:r w:rsidR="00020ADB" w:rsidRPr="00BE20BB">
        <w:rPr>
          <w:rFonts w:ascii="David" w:hAnsi="David" w:cs="David" w:hint="cs"/>
          <w:rtl/>
        </w:rPr>
        <w:t>, שכן הוא משאב ציבורי מוגבל</w:t>
      </w:r>
      <w:r w:rsidR="0065043A" w:rsidRPr="00BE20BB">
        <w:rPr>
          <w:rFonts w:ascii="David" w:hAnsi="David" w:cs="David" w:hint="cs"/>
          <w:rtl/>
        </w:rPr>
        <w:t xml:space="preserve">. </w:t>
      </w:r>
      <w:r w:rsidR="009C6FBC">
        <w:rPr>
          <w:rFonts w:ascii="David" w:hAnsi="David" w:cs="David" w:hint="cs"/>
          <w:rtl/>
        </w:rPr>
        <w:t>לשם כך, ניתנת לעירייה</w:t>
      </w:r>
      <w:r w:rsidR="0065043A" w:rsidRPr="00BE20BB">
        <w:rPr>
          <w:rFonts w:ascii="David" w:hAnsi="David" w:cs="David" w:hint="cs"/>
          <w:rtl/>
        </w:rPr>
        <w:t xml:space="preserve"> שיקול דעת רחב</w:t>
      </w:r>
      <w:r w:rsidR="00E62867" w:rsidRPr="00BE20BB">
        <w:rPr>
          <w:rFonts w:ascii="David" w:hAnsi="David" w:cs="David" w:hint="cs"/>
          <w:rtl/>
        </w:rPr>
        <w:t xml:space="preserve">, </w:t>
      </w:r>
      <w:r w:rsidR="009C6FBC">
        <w:rPr>
          <w:rFonts w:ascii="David" w:hAnsi="David" w:cs="David" w:hint="cs"/>
          <w:rtl/>
        </w:rPr>
        <w:t xml:space="preserve">הכולל </w:t>
      </w:r>
      <w:r w:rsidR="00E62867" w:rsidRPr="00BE20BB">
        <w:rPr>
          <w:rFonts w:ascii="David" w:hAnsi="David" w:cs="David" w:hint="cs"/>
          <w:rtl/>
        </w:rPr>
        <w:t>שיקולי סדר ציבורי, בטיחות ואיזון בין השימושים השונים במרחב הציבורי.</w:t>
      </w:r>
      <w:r w:rsidR="00162109">
        <w:rPr>
          <w:rStyle w:val="FootnoteReference"/>
          <w:rFonts w:ascii="David" w:hAnsi="David" w:cs="David"/>
          <w:rtl/>
        </w:rPr>
        <w:footnoteReference w:id="5"/>
      </w:r>
      <w:r w:rsidR="00E62867" w:rsidRPr="00BE20BB">
        <w:rPr>
          <w:rFonts w:ascii="David" w:hAnsi="David" w:cs="David" w:hint="cs"/>
          <w:rtl/>
        </w:rPr>
        <w:t xml:space="preserve"> שנית, </w:t>
      </w:r>
      <w:r w:rsidR="003E3F67" w:rsidRPr="00BE20BB">
        <w:rPr>
          <w:rFonts w:ascii="David" w:hAnsi="David" w:cs="David" w:hint="cs"/>
          <w:rtl/>
        </w:rPr>
        <w:t>בית</w:t>
      </w:r>
      <w:r w:rsidR="003E3F67">
        <w:rPr>
          <w:rFonts w:ascii="David" w:hAnsi="David" w:cs="David" w:hint="cs"/>
          <w:rtl/>
        </w:rPr>
        <w:t xml:space="preserve"> המשפט התייחס למדיניות הגורפת הנוגעת לקיום תפילה בהפרדה מגדרית. השופט כשר</w:t>
      </w:r>
      <w:r w:rsidR="0065043A">
        <w:rPr>
          <w:rFonts w:ascii="David" w:hAnsi="David" w:cs="David" w:hint="cs"/>
          <w:rtl/>
        </w:rPr>
        <w:t xml:space="preserve"> </w:t>
      </w:r>
      <w:r w:rsidR="00873C57">
        <w:rPr>
          <w:rFonts w:ascii="David" w:hAnsi="David" w:cs="David" w:hint="cs"/>
          <w:rtl/>
        </w:rPr>
        <w:t>קבע כי אף שהמדיניות מוחלת באופן אחיד</w:t>
      </w:r>
      <w:r w:rsidR="004D1923">
        <w:rPr>
          <w:rFonts w:ascii="David" w:hAnsi="David" w:cs="David" w:hint="cs"/>
          <w:rtl/>
        </w:rPr>
        <w:t xml:space="preserve"> על כלל הקבוצות </w:t>
      </w:r>
      <w:r w:rsidR="00F4705B">
        <w:rPr>
          <w:rFonts w:ascii="David" w:hAnsi="David" w:cs="David" w:hint="cs"/>
          <w:rtl/>
        </w:rPr>
        <w:t>ב</w:t>
      </w:r>
      <w:r w:rsidR="004D1923">
        <w:rPr>
          <w:rFonts w:ascii="David" w:hAnsi="David" w:cs="David" w:hint="cs"/>
          <w:rtl/>
        </w:rPr>
        <w:t>חברה</w:t>
      </w:r>
      <w:r w:rsidR="00F02BE9">
        <w:rPr>
          <w:rFonts w:ascii="David" w:hAnsi="David" w:cs="David" w:hint="cs"/>
          <w:rtl/>
        </w:rPr>
        <w:t xml:space="preserve">, אין בה כדי להבטיח שוויון. </w:t>
      </w:r>
      <w:r w:rsidR="00C52CE2">
        <w:rPr>
          <w:rFonts w:ascii="David" w:hAnsi="David" w:cs="David" w:hint="cs"/>
          <w:rtl/>
        </w:rPr>
        <w:t xml:space="preserve">לכן, יש לבחון </w:t>
      </w:r>
      <w:r w:rsidR="009B363A">
        <w:rPr>
          <w:rFonts w:ascii="David" w:hAnsi="David" w:cs="David" w:hint="cs"/>
          <w:rtl/>
        </w:rPr>
        <w:t>את המדיניות על-ידי מתן משקל לאינטרסים המתנגשים.</w:t>
      </w:r>
      <w:r w:rsidR="009B363A">
        <w:rPr>
          <w:rStyle w:val="FootnoteReference"/>
          <w:rFonts w:ascii="David" w:hAnsi="David" w:cs="David"/>
          <w:rtl/>
        </w:rPr>
        <w:footnoteReference w:id="6"/>
      </w:r>
      <w:r w:rsidR="009B363A">
        <w:rPr>
          <w:rFonts w:ascii="David" w:hAnsi="David" w:cs="David" w:hint="cs"/>
          <w:rtl/>
        </w:rPr>
        <w:t xml:space="preserve"> </w:t>
      </w:r>
      <w:r w:rsidR="00F02BE9">
        <w:rPr>
          <w:rFonts w:ascii="David" w:hAnsi="David" w:cs="David" w:hint="cs"/>
          <w:rtl/>
        </w:rPr>
        <w:t xml:space="preserve">בחינה מהותית של השלכות </w:t>
      </w:r>
      <w:r w:rsidR="004D1923">
        <w:rPr>
          <w:rFonts w:ascii="David" w:hAnsi="David" w:cs="David" w:hint="cs"/>
          <w:rtl/>
        </w:rPr>
        <w:t>ה</w:t>
      </w:r>
      <w:r w:rsidR="00F02BE9">
        <w:rPr>
          <w:rFonts w:ascii="David" w:hAnsi="David" w:cs="David" w:hint="cs"/>
          <w:rtl/>
        </w:rPr>
        <w:t xml:space="preserve">מדיניות מובילה למסקנה כי </w:t>
      </w:r>
      <w:r w:rsidR="00AC148D">
        <w:rPr>
          <w:rFonts w:ascii="David" w:hAnsi="David" w:cs="David" w:hint="cs"/>
          <w:rtl/>
        </w:rPr>
        <w:t>זו</w:t>
      </w:r>
      <w:r w:rsidR="00F02BE9">
        <w:rPr>
          <w:rFonts w:ascii="David" w:hAnsi="David" w:cs="David" w:hint="cs"/>
          <w:rtl/>
        </w:rPr>
        <w:t xml:space="preserve"> פוגעת בקבוצות דתיות </w:t>
      </w:r>
      <w:r w:rsidR="00710430">
        <w:rPr>
          <w:rFonts w:ascii="David" w:hAnsi="David" w:cs="David" w:hint="cs"/>
          <w:rtl/>
        </w:rPr>
        <w:t>ש</w:t>
      </w:r>
      <w:r w:rsidR="00E74D46">
        <w:rPr>
          <w:rFonts w:ascii="David" w:hAnsi="David" w:cs="David" w:hint="cs"/>
          <w:rtl/>
        </w:rPr>
        <w:t>בהן ההפרדה המגדרית מהווה חלק בלתי-נפרד ממסורת התפילה</w:t>
      </w:r>
      <w:r w:rsidR="003940E5">
        <w:rPr>
          <w:rFonts w:ascii="David" w:hAnsi="David" w:cs="David" w:hint="cs"/>
          <w:rtl/>
        </w:rPr>
        <w:t>.</w:t>
      </w:r>
      <w:r w:rsidR="00530DC5">
        <w:rPr>
          <w:rStyle w:val="FootnoteReference"/>
          <w:rFonts w:ascii="David" w:hAnsi="David" w:cs="David"/>
          <w:rtl/>
        </w:rPr>
        <w:footnoteReference w:id="7"/>
      </w:r>
      <w:r w:rsidR="003940E5">
        <w:rPr>
          <w:rFonts w:ascii="David" w:hAnsi="David" w:cs="David" w:hint="cs"/>
          <w:rtl/>
        </w:rPr>
        <w:t xml:space="preserve"> זאת, בניגוד לק</w:t>
      </w:r>
      <w:r w:rsidR="00E74D46">
        <w:rPr>
          <w:rFonts w:ascii="David" w:hAnsi="David" w:cs="David" w:hint="cs"/>
          <w:rtl/>
        </w:rPr>
        <w:t>בוצות אחרות שאינן מושפעות ממנה</w:t>
      </w:r>
      <w:r w:rsidR="00F70400">
        <w:rPr>
          <w:rFonts w:ascii="David" w:hAnsi="David" w:cs="David" w:hint="cs"/>
          <w:rtl/>
        </w:rPr>
        <w:t xml:space="preserve">, </w:t>
      </w:r>
      <w:r w:rsidR="00932571">
        <w:rPr>
          <w:rFonts w:ascii="David" w:hAnsi="David" w:cs="David" w:hint="cs"/>
          <w:rtl/>
        </w:rPr>
        <w:t xml:space="preserve">כגון, </w:t>
      </w:r>
      <w:r w:rsidR="00F77FA0">
        <w:rPr>
          <w:rFonts w:ascii="David" w:hAnsi="David" w:cs="David" w:hint="cs"/>
          <w:rtl/>
        </w:rPr>
        <w:t>הזרם הרפורמי והקהילות הנוצריות</w:t>
      </w:r>
      <w:r w:rsidR="00F70400">
        <w:rPr>
          <w:rFonts w:ascii="David" w:hAnsi="David" w:cs="David" w:hint="cs"/>
          <w:rtl/>
        </w:rPr>
        <w:t>.</w:t>
      </w:r>
      <w:r w:rsidR="004954B9">
        <w:rPr>
          <w:rFonts w:ascii="David" w:hAnsi="David" w:cs="David" w:hint="cs"/>
          <w:rtl/>
        </w:rPr>
        <w:t xml:space="preserve"> בהתאם, הכלל, אף ש</w:t>
      </w:r>
      <w:r w:rsidR="0079728C">
        <w:rPr>
          <w:rFonts w:ascii="David" w:hAnsi="David" w:cs="David" w:hint="cs"/>
          <w:rtl/>
        </w:rPr>
        <w:t xml:space="preserve">תחולתו אחידה, מוביל לתוצאות שאינן שוויוניות ובכך נחשף כשלו של השוויון הפורמלי. </w:t>
      </w:r>
      <w:r w:rsidR="004954B9">
        <w:rPr>
          <w:rFonts w:ascii="David" w:hAnsi="David" w:cs="David" w:hint="cs"/>
          <w:rtl/>
        </w:rPr>
        <w:t xml:space="preserve"> </w:t>
      </w:r>
    </w:p>
    <w:p w14:paraId="649637FA" w14:textId="60CE0C22" w:rsidR="003A3012" w:rsidRPr="003C2B86" w:rsidRDefault="00114960" w:rsidP="00C139EC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הבחנה זו עומדת </w:t>
      </w:r>
      <w:r w:rsidR="00851067">
        <w:rPr>
          <w:rFonts w:ascii="David" w:hAnsi="David" w:cs="David" w:hint="cs"/>
          <w:rtl/>
        </w:rPr>
        <w:t xml:space="preserve">במרכז </w:t>
      </w:r>
      <w:r w:rsidR="008154E9">
        <w:rPr>
          <w:rFonts w:ascii="David" w:hAnsi="David" w:cs="David" w:hint="cs"/>
          <w:rtl/>
        </w:rPr>
        <w:t>הגישה הרב-תרבותית</w:t>
      </w:r>
      <w:r w:rsidR="00C22111">
        <w:rPr>
          <w:rFonts w:ascii="David" w:hAnsi="David" w:cs="David" w:hint="cs"/>
          <w:rtl/>
        </w:rPr>
        <w:t>.</w:t>
      </w:r>
      <w:r w:rsidR="00622316">
        <w:rPr>
          <w:rFonts w:ascii="David" w:hAnsi="David" w:cs="David" w:hint="cs"/>
          <w:rtl/>
        </w:rPr>
        <w:t xml:space="preserve"> לפי גישתו של</w:t>
      </w:r>
      <w:r w:rsidR="00447F4A">
        <w:rPr>
          <w:rFonts w:ascii="David" w:hAnsi="David" w:cs="David" w:hint="cs"/>
          <w:rtl/>
        </w:rPr>
        <w:t xml:space="preserve"> </w:t>
      </w:r>
      <w:r w:rsidR="00D64C5A">
        <w:rPr>
          <w:rFonts w:ascii="David" w:hAnsi="David" w:cs="David" w:hint="cs"/>
          <w:rtl/>
        </w:rPr>
        <w:t>קימליקה</w:t>
      </w:r>
      <w:r w:rsidR="00C235BE">
        <w:rPr>
          <w:rFonts w:ascii="David" w:hAnsi="David" w:cs="David" w:hint="cs"/>
          <w:rtl/>
        </w:rPr>
        <w:t xml:space="preserve">, </w:t>
      </w:r>
      <w:r w:rsidR="006E36E5">
        <w:rPr>
          <w:rFonts w:ascii="David" w:hAnsi="David" w:cs="David" w:hint="cs"/>
          <w:rtl/>
        </w:rPr>
        <w:t>האוטונומיה של הפרט אינה מתקיימת בריק, אלא מתעצבת בתוך הקשר תרבותי נתון.</w:t>
      </w:r>
      <w:r w:rsidR="00C6583F">
        <w:rPr>
          <w:rStyle w:val="FootnoteReference"/>
          <w:rFonts w:ascii="David" w:hAnsi="David" w:cs="David"/>
          <w:rtl/>
        </w:rPr>
        <w:footnoteReference w:id="8"/>
      </w:r>
      <w:r w:rsidR="006E36E5">
        <w:rPr>
          <w:rFonts w:ascii="David" w:hAnsi="David" w:cs="David" w:hint="cs"/>
          <w:rtl/>
        </w:rPr>
        <w:t xml:space="preserve"> לפיכך, </w:t>
      </w:r>
      <w:r w:rsidR="00B36676">
        <w:rPr>
          <w:rFonts w:ascii="David" w:hAnsi="David" w:cs="David" w:hint="cs"/>
          <w:rtl/>
        </w:rPr>
        <w:t xml:space="preserve">חופש הפולחן אינו זכות אישית גרידא, אלא ביטוי של אוטונומיה קבוצתית. </w:t>
      </w:r>
      <w:r w:rsidR="00FB4E3F">
        <w:rPr>
          <w:rFonts w:ascii="David" w:hAnsi="David" w:cs="David" w:hint="cs"/>
          <w:rtl/>
        </w:rPr>
        <w:t xml:space="preserve">השופט כשר </w:t>
      </w:r>
      <w:r w:rsidR="0004511F">
        <w:rPr>
          <w:rFonts w:ascii="David" w:hAnsi="David" w:cs="David" w:hint="cs"/>
          <w:rtl/>
        </w:rPr>
        <w:t>אימץ</w:t>
      </w:r>
      <w:r w:rsidR="00E2293B">
        <w:rPr>
          <w:rFonts w:ascii="David" w:hAnsi="David" w:cs="David" w:hint="cs"/>
          <w:rtl/>
        </w:rPr>
        <w:t xml:space="preserve"> זאת</w:t>
      </w:r>
      <w:r w:rsidR="00FB4E3F">
        <w:rPr>
          <w:rFonts w:ascii="David" w:hAnsi="David" w:cs="David" w:hint="cs"/>
          <w:rtl/>
        </w:rPr>
        <w:t xml:space="preserve"> בקביעתו, שכן התעלמות העירייה מן השוני הרלוונטי</w:t>
      </w:r>
      <w:r w:rsidR="003E396B">
        <w:rPr>
          <w:rFonts w:ascii="David" w:hAnsi="David" w:cs="David" w:hint="cs"/>
          <w:rtl/>
        </w:rPr>
        <w:t xml:space="preserve"> בין קבוצות תרבותיות שונות</w:t>
      </w:r>
      <w:r w:rsidR="00197264">
        <w:rPr>
          <w:rFonts w:ascii="David" w:hAnsi="David" w:cs="David" w:hint="cs"/>
          <w:rtl/>
        </w:rPr>
        <w:t xml:space="preserve"> סותרת את חובתה לחלק את משאביה </w:t>
      </w:r>
      <w:r w:rsidR="003460EF" w:rsidRPr="00C11B74">
        <w:rPr>
          <w:rFonts w:ascii="David" w:hAnsi="David" w:cs="David" w:hint="cs"/>
          <w:rtl/>
        </w:rPr>
        <w:t>באופן שוויוני</w:t>
      </w:r>
      <w:r w:rsidR="00197264" w:rsidRPr="00C11B74">
        <w:rPr>
          <w:rFonts w:ascii="David" w:hAnsi="David" w:cs="David" w:hint="cs"/>
          <w:rtl/>
        </w:rPr>
        <w:t>.</w:t>
      </w:r>
      <w:r w:rsidR="00912BEF">
        <w:rPr>
          <w:rStyle w:val="FootnoteReference"/>
          <w:rFonts w:ascii="David" w:hAnsi="David" w:cs="David"/>
          <w:rtl/>
        </w:rPr>
        <w:footnoteReference w:id="9"/>
      </w:r>
      <w:r w:rsidR="00197264" w:rsidRPr="00C11B74">
        <w:rPr>
          <w:rFonts w:ascii="David" w:hAnsi="David" w:cs="David" w:hint="cs"/>
          <w:rtl/>
        </w:rPr>
        <w:t xml:space="preserve"> </w:t>
      </w:r>
      <w:r w:rsidR="00E2293B" w:rsidRPr="00C11B74">
        <w:rPr>
          <w:rFonts w:ascii="David" w:hAnsi="David" w:cs="David" w:hint="cs"/>
          <w:rtl/>
        </w:rPr>
        <w:t xml:space="preserve">השופט מינץ </w:t>
      </w:r>
      <w:r w:rsidR="007440E1">
        <w:rPr>
          <w:rFonts w:ascii="David" w:hAnsi="David" w:cs="David" w:hint="cs"/>
          <w:rtl/>
        </w:rPr>
        <w:t xml:space="preserve">אף </w:t>
      </w:r>
      <w:r w:rsidR="00E2293B" w:rsidRPr="00C11B74">
        <w:rPr>
          <w:rFonts w:ascii="David" w:hAnsi="David" w:cs="David" w:hint="cs"/>
          <w:rtl/>
        </w:rPr>
        <w:t xml:space="preserve">מחדד כי </w:t>
      </w:r>
      <w:r w:rsidR="00017754" w:rsidRPr="00C11B74">
        <w:rPr>
          <w:rFonts w:ascii="David" w:hAnsi="David" w:cs="David" w:hint="cs"/>
          <w:rtl/>
        </w:rPr>
        <w:t>על אף</w:t>
      </w:r>
      <w:r w:rsidR="00CA5039" w:rsidRPr="00C11B74">
        <w:rPr>
          <w:rFonts w:ascii="David" w:hAnsi="David" w:cs="David"/>
          <w:rtl/>
        </w:rPr>
        <w:t xml:space="preserve"> </w:t>
      </w:r>
      <w:r w:rsidR="00017754" w:rsidRPr="00C11B74">
        <w:rPr>
          <w:rFonts w:ascii="David" w:hAnsi="David" w:cs="David" w:hint="cs"/>
          <w:rtl/>
        </w:rPr>
        <w:t>ש</w:t>
      </w:r>
      <w:r w:rsidR="00CA5039" w:rsidRPr="00C11B74">
        <w:rPr>
          <w:rFonts w:ascii="David" w:hAnsi="David" w:cs="David"/>
          <w:rtl/>
        </w:rPr>
        <w:t xml:space="preserve">תכליתה של מדיניות העירייה היא </w:t>
      </w:r>
      <w:r w:rsidR="00496F47" w:rsidRPr="00C11B74">
        <w:rPr>
          <w:rFonts w:ascii="David" w:hAnsi="David" w:cs="David" w:hint="cs"/>
          <w:rtl/>
        </w:rPr>
        <w:t>קידום השוויון המגדרי</w:t>
      </w:r>
      <w:r w:rsidR="00CA5039" w:rsidRPr="00C11B74">
        <w:rPr>
          <w:rFonts w:ascii="David" w:hAnsi="David" w:cs="David"/>
          <w:rtl/>
        </w:rPr>
        <w:t xml:space="preserve">, אין היא רשאית לעשות </w:t>
      </w:r>
      <w:r w:rsidR="00017754" w:rsidRPr="00C11B74">
        <w:rPr>
          <w:rFonts w:ascii="David" w:hAnsi="David" w:cs="David" w:hint="cs"/>
          <w:rtl/>
        </w:rPr>
        <w:t>זאת</w:t>
      </w:r>
      <w:r w:rsidR="00CA5039" w:rsidRPr="00C11B74">
        <w:rPr>
          <w:rFonts w:ascii="David" w:hAnsi="David" w:cs="David"/>
          <w:rtl/>
        </w:rPr>
        <w:t xml:space="preserve"> </w:t>
      </w:r>
      <w:r w:rsidR="00017754" w:rsidRPr="00C11B74">
        <w:rPr>
          <w:rFonts w:ascii="David" w:hAnsi="David" w:cs="David" w:hint="cs"/>
          <w:rtl/>
        </w:rPr>
        <w:t>על-ידי</w:t>
      </w:r>
      <w:r w:rsidR="00CA5039" w:rsidRPr="00C11B74">
        <w:rPr>
          <w:rFonts w:ascii="David" w:hAnsi="David" w:cs="David"/>
          <w:rtl/>
        </w:rPr>
        <w:t xml:space="preserve"> פגיעה ב</w:t>
      </w:r>
      <w:r w:rsidR="00191825">
        <w:rPr>
          <w:rFonts w:ascii="David" w:hAnsi="David" w:cs="David" w:hint="cs"/>
          <w:rtl/>
        </w:rPr>
        <w:t xml:space="preserve">סוג </w:t>
      </w:r>
      <w:r w:rsidR="00CA5039" w:rsidRPr="00C11B74">
        <w:rPr>
          <w:rFonts w:ascii="David" w:hAnsi="David" w:cs="David"/>
          <w:rtl/>
        </w:rPr>
        <w:t xml:space="preserve">שוויון </w:t>
      </w:r>
      <w:r w:rsidR="00E942A8">
        <w:rPr>
          <w:rFonts w:ascii="David" w:hAnsi="David" w:cs="David" w:hint="cs"/>
          <w:rtl/>
        </w:rPr>
        <w:t xml:space="preserve">אחר, </w:t>
      </w:r>
      <w:r w:rsidR="00DB24B3">
        <w:rPr>
          <w:rFonts w:ascii="David" w:hAnsi="David" w:cs="David" w:hint="cs"/>
          <w:rtl/>
        </w:rPr>
        <w:t>בין קבוצות תרבותיות שונו</w:t>
      </w:r>
      <w:r w:rsidR="00E942A8">
        <w:rPr>
          <w:rFonts w:ascii="David" w:hAnsi="David" w:cs="David" w:hint="cs"/>
          <w:rtl/>
        </w:rPr>
        <w:t>ת.</w:t>
      </w:r>
      <w:r w:rsidR="00EC51DB">
        <w:rPr>
          <w:rStyle w:val="FootnoteReference"/>
          <w:rFonts w:ascii="David" w:hAnsi="David" w:cs="David"/>
          <w:rtl/>
        </w:rPr>
        <w:footnoteReference w:id="10"/>
      </w:r>
      <w:r w:rsidR="006E7224">
        <w:rPr>
          <w:rFonts w:ascii="David" w:hAnsi="David" w:cs="David" w:hint="cs"/>
          <w:rtl/>
        </w:rPr>
        <w:t xml:space="preserve">זאת ועוד, </w:t>
      </w:r>
      <w:r w:rsidR="00AB39FE">
        <w:rPr>
          <w:rFonts w:ascii="David" w:hAnsi="David" w:cs="David" w:hint="cs"/>
          <w:rtl/>
        </w:rPr>
        <w:t xml:space="preserve">הפגיעה </w:t>
      </w:r>
      <w:r w:rsidR="00014A42">
        <w:rPr>
          <w:rFonts w:ascii="David" w:hAnsi="David" w:cs="David" w:hint="cs"/>
          <w:rtl/>
        </w:rPr>
        <w:t xml:space="preserve">הבולטת בשוויון בין </w:t>
      </w:r>
      <w:r w:rsidR="00014A42">
        <w:rPr>
          <w:rFonts w:ascii="David" w:hAnsi="David" w:cs="David" w:hint="cs"/>
          <w:rtl/>
        </w:rPr>
        <w:lastRenderedPageBreak/>
        <w:t>הקבוצות השונות</w:t>
      </w:r>
      <w:r w:rsidR="006E7224">
        <w:rPr>
          <w:rFonts w:ascii="David" w:hAnsi="David" w:cs="David" w:hint="cs"/>
          <w:rtl/>
        </w:rPr>
        <w:t xml:space="preserve"> </w:t>
      </w:r>
      <w:r w:rsidR="002A74D9">
        <w:rPr>
          <w:rFonts w:ascii="David" w:hAnsi="David" w:cs="David" w:hint="cs"/>
          <w:rtl/>
        </w:rPr>
        <w:t>מולידה</w:t>
      </w:r>
      <w:r w:rsidR="00014A42">
        <w:rPr>
          <w:rFonts w:ascii="David" w:hAnsi="David" w:cs="David" w:hint="cs"/>
          <w:rtl/>
        </w:rPr>
        <w:t xml:space="preserve"> </w:t>
      </w:r>
      <w:r w:rsidR="00821267">
        <w:rPr>
          <w:rFonts w:ascii="David" w:hAnsi="David" w:cs="David" w:hint="cs"/>
          <w:rtl/>
        </w:rPr>
        <w:t xml:space="preserve">פגיעה </w:t>
      </w:r>
      <w:r w:rsidR="006E7224">
        <w:rPr>
          <w:rFonts w:ascii="David" w:hAnsi="David" w:cs="David" w:hint="cs"/>
          <w:rtl/>
        </w:rPr>
        <w:t xml:space="preserve">נוספת </w:t>
      </w:r>
      <w:r w:rsidR="00A539C8">
        <w:rPr>
          <w:rFonts w:ascii="David" w:hAnsi="David" w:cs="David" w:hint="cs"/>
          <w:rtl/>
        </w:rPr>
        <w:t xml:space="preserve">המתבטאת </w:t>
      </w:r>
      <w:r w:rsidR="00497E43">
        <w:rPr>
          <w:rFonts w:ascii="David" w:hAnsi="David" w:cs="David" w:hint="cs"/>
          <w:rtl/>
        </w:rPr>
        <w:t xml:space="preserve">בשלילת הלגיטימיות של </w:t>
      </w:r>
      <w:r w:rsidR="00821267">
        <w:rPr>
          <w:rFonts w:ascii="David" w:hAnsi="David" w:cs="David" w:hint="cs"/>
          <w:rtl/>
        </w:rPr>
        <w:t>קבוצת הזרם האורתודוקסי</w:t>
      </w:r>
      <w:r w:rsidR="00B41B20">
        <w:rPr>
          <w:rFonts w:ascii="David" w:hAnsi="David" w:cs="David" w:hint="cs"/>
          <w:rtl/>
        </w:rPr>
        <w:t xml:space="preserve">. </w:t>
      </w:r>
      <w:r w:rsidR="00CB10B9">
        <w:rPr>
          <w:rFonts w:ascii="David" w:hAnsi="David" w:cs="David" w:hint="cs"/>
          <w:rtl/>
        </w:rPr>
        <w:t xml:space="preserve">מדיניות העירייה </w:t>
      </w:r>
      <w:r w:rsidR="003F73E0">
        <w:rPr>
          <w:rFonts w:ascii="David" w:hAnsi="David" w:cs="David" w:hint="cs"/>
          <w:rtl/>
        </w:rPr>
        <w:t xml:space="preserve">ושלילת ההיתר </w:t>
      </w:r>
      <w:r w:rsidR="00C8541C">
        <w:rPr>
          <w:rFonts w:ascii="David" w:hAnsi="David" w:cs="David" w:hint="cs"/>
          <w:rtl/>
        </w:rPr>
        <w:t xml:space="preserve">יוצרת תפיסה לפיה </w:t>
      </w:r>
      <w:r w:rsidR="003D1119">
        <w:rPr>
          <w:rFonts w:ascii="David" w:hAnsi="David" w:cs="David" w:hint="cs"/>
          <w:rtl/>
        </w:rPr>
        <w:t xml:space="preserve">זהותה של הקבוצה והלגיטימיות שלה </w:t>
      </w:r>
      <w:r w:rsidR="003F73E0">
        <w:rPr>
          <w:rFonts w:ascii="David" w:hAnsi="David" w:cs="David" w:hint="cs"/>
          <w:rtl/>
        </w:rPr>
        <w:t>פסולה מיסודה.</w:t>
      </w:r>
      <w:r w:rsidR="004F21DC">
        <w:rPr>
          <w:rStyle w:val="FootnoteReference"/>
          <w:rFonts w:ascii="David" w:hAnsi="David" w:cs="David"/>
          <w:rtl/>
        </w:rPr>
        <w:footnoteReference w:id="11"/>
      </w:r>
      <w:r w:rsidR="003F73E0">
        <w:rPr>
          <w:rFonts w:ascii="David" w:hAnsi="David" w:cs="David" w:hint="cs"/>
          <w:rtl/>
        </w:rPr>
        <w:t xml:space="preserve"> </w:t>
      </w:r>
      <w:r w:rsidR="00CA4AFC">
        <w:rPr>
          <w:rFonts w:ascii="David" w:hAnsi="David" w:cs="David" w:hint="cs"/>
          <w:rtl/>
        </w:rPr>
        <w:t>שכן</w:t>
      </w:r>
      <w:r w:rsidR="00B359B9">
        <w:rPr>
          <w:rFonts w:ascii="David" w:hAnsi="David" w:cs="David" w:hint="cs"/>
          <w:rtl/>
        </w:rPr>
        <w:t>,</w:t>
      </w:r>
      <w:r w:rsidR="00CA4AFC">
        <w:rPr>
          <w:rFonts w:ascii="David" w:hAnsi="David" w:cs="David" w:hint="cs"/>
          <w:rtl/>
        </w:rPr>
        <w:t xml:space="preserve"> </w:t>
      </w:r>
      <w:r w:rsidR="00B359B9">
        <w:rPr>
          <w:rFonts w:ascii="David" w:hAnsi="David" w:cs="David" w:hint="cs"/>
          <w:rtl/>
        </w:rPr>
        <w:t xml:space="preserve">העירייה </w:t>
      </w:r>
      <w:r w:rsidR="006C34C4">
        <w:rPr>
          <w:rFonts w:ascii="David" w:hAnsi="David" w:cs="David" w:hint="cs"/>
          <w:rtl/>
        </w:rPr>
        <w:t>מביעה עמדה נורמטיבית באשר ל</w:t>
      </w:r>
      <w:r w:rsidR="00506D93">
        <w:rPr>
          <w:rFonts w:ascii="David" w:hAnsi="David" w:cs="David" w:hint="cs"/>
          <w:rtl/>
        </w:rPr>
        <w:t xml:space="preserve">אופן </w:t>
      </w:r>
      <w:r w:rsidR="00021C7E">
        <w:rPr>
          <w:rFonts w:ascii="David" w:hAnsi="David" w:cs="David" w:hint="cs"/>
          <w:rtl/>
        </w:rPr>
        <w:t xml:space="preserve">התפילה </w:t>
      </w:r>
      <w:r w:rsidR="00506D93">
        <w:rPr>
          <w:rFonts w:ascii="David" w:hAnsi="David" w:cs="David" w:hint="cs"/>
          <w:rtl/>
        </w:rPr>
        <w:t>הראוי</w:t>
      </w:r>
      <w:r w:rsidR="004A0D19">
        <w:rPr>
          <w:rFonts w:ascii="David" w:hAnsi="David" w:cs="David" w:hint="cs"/>
          <w:rtl/>
        </w:rPr>
        <w:t xml:space="preserve"> ומשרטטת את גבולותיו</w:t>
      </w:r>
      <w:r w:rsidR="00125E51">
        <w:rPr>
          <w:rFonts w:ascii="David" w:hAnsi="David" w:cs="David" w:hint="cs"/>
          <w:rtl/>
        </w:rPr>
        <w:t>.</w:t>
      </w:r>
      <w:r w:rsidR="007E4D4D">
        <w:rPr>
          <w:rStyle w:val="FootnoteReference"/>
          <w:rFonts w:ascii="David" w:hAnsi="David" w:cs="David"/>
          <w:rtl/>
        </w:rPr>
        <w:footnoteReference w:id="12"/>
      </w:r>
      <w:r w:rsidR="00125E51">
        <w:rPr>
          <w:rFonts w:ascii="David" w:hAnsi="David" w:cs="David" w:hint="cs"/>
          <w:rtl/>
        </w:rPr>
        <w:t xml:space="preserve"> בעקבות כך, נ</w:t>
      </w:r>
      <w:r w:rsidR="004A0D19">
        <w:rPr>
          <w:rFonts w:ascii="David" w:hAnsi="David" w:cs="David" w:hint="cs"/>
          <w:rtl/>
        </w:rPr>
        <w:t>שלל</w:t>
      </w:r>
      <w:r w:rsidR="006E1731">
        <w:rPr>
          <w:rFonts w:ascii="David" w:hAnsi="David" w:cs="David" w:hint="cs"/>
          <w:rtl/>
        </w:rPr>
        <w:t xml:space="preserve">ת </w:t>
      </w:r>
      <w:r w:rsidR="00AF22D2">
        <w:rPr>
          <w:rFonts w:ascii="David" w:hAnsi="David" w:cs="David" w:hint="cs"/>
          <w:rtl/>
        </w:rPr>
        <w:t>חירות</w:t>
      </w:r>
      <w:r w:rsidR="00B40971">
        <w:rPr>
          <w:rFonts w:ascii="David" w:hAnsi="David" w:cs="David" w:hint="cs"/>
          <w:rtl/>
        </w:rPr>
        <w:t>ה</w:t>
      </w:r>
      <w:r w:rsidR="006E1731">
        <w:rPr>
          <w:rFonts w:ascii="David" w:hAnsi="David" w:cs="David" w:hint="cs"/>
          <w:rtl/>
        </w:rPr>
        <w:t xml:space="preserve"> של הקבוצה האורתודוקסית</w:t>
      </w:r>
      <w:r w:rsidR="004A0D19">
        <w:rPr>
          <w:rFonts w:ascii="David" w:hAnsi="David" w:cs="David" w:hint="cs"/>
          <w:rtl/>
        </w:rPr>
        <w:t xml:space="preserve"> </w:t>
      </w:r>
      <w:r w:rsidR="006E1731">
        <w:rPr>
          <w:rFonts w:ascii="David" w:hAnsi="David" w:cs="David" w:hint="cs"/>
          <w:rtl/>
        </w:rPr>
        <w:t xml:space="preserve">להתפלל </w:t>
      </w:r>
      <w:r w:rsidR="00F4705B">
        <w:rPr>
          <w:rFonts w:ascii="David" w:hAnsi="David" w:cs="David" w:hint="cs"/>
          <w:rtl/>
        </w:rPr>
        <w:t>בהתאם</w:t>
      </w:r>
      <w:r w:rsidR="006E1731">
        <w:rPr>
          <w:rFonts w:ascii="David" w:hAnsi="David" w:cs="David" w:hint="cs"/>
          <w:rtl/>
        </w:rPr>
        <w:t xml:space="preserve"> </w:t>
      </w:r>
      <w:r w:rsidR="00FB0E4D">
        <w:rPr>
          <w:rFonts w:ascii="David" w:hAnsi="David" w:cs="David" w:hint="cs"/>
          <w:rtl/>
        </w:rPr>
        <w:t>ל</w:t>
      </w:r>
      <w:r w:rsidR="006E1731">
        <w:rPr>
          <w:rFonts w:ascii="David" w:hAnsi="David" w:cs="David" w:hint="cs"/>
          <w:rtl/>
        </w:rPr>
        <w:t>אמונתם</w:t>
      </w:r>
      <w:r w:rsidR="00FB482E">
        <w:rPr>
          <w:rFonts w:ascii="David" w:hAnsi="David" w:cs="David" w:hint="cs"/>
          <w:rtl/>
        </w:rPr>
        <w:t xml:space="preserve"> והיא נדרשת להתאים </w:t>
      </w:r>
      <w:r w:rsidR="00B40971">
        <w:rPr>
          <w:rFonts w:ascii="David" w:hAnsi="David" w:cs="David" w:hint="cs"/>
          <w:rtl/>
        </w:rPr>
        <w:t xml:space="preserve">את </w:t>
      </w:r>
      <w:r w:rsidR="00FB482E">
        <w:rPr>
          <w:rFonts w:ascii="David" w:hAnsi="David" w:cs="David" w:hint="cs"/>
          <w:rtl/>
        </w:rPr>
        <w:t>עצמה לערכיה של תרבות הרוב כתנאי להשתתפות שווה במרחב הציבורי</w:t>
      </w:r>
      <w:r w:rsidR="00D5045B">
        <w:rPr>
          <w:rFonts w:ascii="David" w:hAnsi="David" w:cs="David" w:hint="cs"/>
          <w:rtl/>
        </w:rPr>
        <w:t>.</w:t>
      </w:r>
      <w:r w:rsidR="00F15B9B">
        <w:rPr>
          <w:rStyle w:val="FootnoteReference"/>
          <w:rFonts w:ascii="David" w:hAnsi="David" w:cs="David"/>
          <w:rtl/>
        </w:rPr>
        <w:footnoteReference w:id="13"/>
      </w:r>
      <w:r w:rsidR="001F6D3D">
        <w:rPr>
          <w:rFonts w:ascii="David" w:hAnsi="David" w:cs="David" w:hint="cs"/>
          <w:rtl/>
        </w:rPr>
        <w:t xml:space="preserve"> </w:t>
      </w:r>
      <w:r w:rsidR="00733B18">
        <w:rPr>
          <w:rFonts w:ascii="David" w:hAnsi="David" w:cs="David" w:hint="cs"/>
          <w:rtl/>
        </w:rPr>
        <w:t xml:space="preserve">כך, </w:t>
      </w:r>
      <w:r w:rsidR="00401417">
        <w:rPr>
          <w:rFonts w:ascii="David" w:hAnsi="David" w:cs="David" w:hint="cs"/>
          <w:rtl/>
        </w:rPr>
        <w:t xml:space="preserve">נקודת המוצא </w:t>
      </w:r>
      <w:r w:rsidR="00F461DB">
        <w:rPr>
          <w:rFonts w:ascii="David" w:hAnsi="David" w:cs="David" w:hint="cs"/>
          <w:rtl/>
        </w:rPr>
        <w:t>של העירייה</w:t>
      </w:r>
      <w:r w:rsidR="00401417">
        <w:rPr>
          <w:rFonts w:ascii="David" w:hAnsi="David" w:cs="David" w:hint="cs"/>
          <w:rtl/>
        </w:rPr>
        <w:t xml:space="preserve"> מציגה את החילוניות הליברלית כברירת המחדל האובייקטיבית</w:t>
      </w:r>
      <w:r w:rsidR="008209A9">
        <w:rPr>
          <w:rFonts w:ascii="David" w:hAnsi="David" w:cs="David" w:hint="cs"/>
          <w:rtl/>
        </w:rPr>
        <w:t>.</w:t>
      </w:r>
      <w:r w:rsidR="00A461AB">
        <w:rPr>
          <w:rFonts w:ascii="David" w:hAnsi="David" w:cs="David" w:hint="cs"/>
          <w:rtl/>
        </w:rPr>
        <w:t xml:space="preserve"> </w:t>
      </w:r>
      <w:r w:rsidR="007B2D29">
        <w:rPr>
          <w:rFonts w:ascii="David" w:hAnsi="David" w:cs="David" w:hint="cs"/>
          <w:rtl/>
        </w:rPr>
        <w:t>בהתאם</w:t>
      </w:r>
      <w:r w:rsidR="002A3E57">
        <w:rPr>
          <w:rFonts w:ascii="David" w:hAnsi="David" w:cs="David" w:hint="cs"/>
          <w:rtl/>
        </w:rPr>
        <w:t xml:space="preserve">, מדיניות העירייה אמנם מזמינה את קבוצת המיעוט למרחב הציבורי, אך מתנה זאת </w:t>
      </w:r>
      <w:r w:rsidR="00847360">
        <w:rPr>
          <w:rFonts w:ascii="David" w:hAnsi="David" w:cs="David" w:hint="cs"/>
          <w:rtl/>
        </w:rPr>
        <w:t xml:space="preserve">בוויתור על חלקי זהותה. </w:t>
      </w:r>
      <w:r w:rsidR="00B67ABC">
        <w:rPr>
          <w:rFonts w:ascii="David" w:hAnsi="David" w:cs="David" w:hint="cs"/>
          <w:rtl/>
        </w:rPr>
        <w:t xml:space="preserve">כך, הגישה הרב-תרבותית נועדה לחשוף את פניה של האחידות הגורפת, המתחזה לניטרליות. </w:t>
      </w:r>
      <w:r w:rsidR="006A6E1D">
        <w:rPr>
          <w:rFonts w:ascii="David" w:hAnsi="David" w:cs="David" w:hint="cs"/>
          <w:rtl/>
        </w:rPr>
        <w:t>לכן</w:t>
      </w:r>
      <w:r w:rsidR="002D5671">
        <w:rPr>
          <w:rFonts w:ascii="David" w:hAnsi="David" w:cs="David" w:hint="cs"/>
          <w:rtl/>
        </w:rPr>
        <w:t xml:space="preserve">, אף שהעירייה אינה מביעה העדפה כלפי תרבות מסוימת, </w:t>
      </w:r>
      <w:r w:rsidR="00891E4A">
        <w:rPr>
          <w:rFonts w:ascii="David" w:hAnsi="David" w:cs="David" w:hint="cs"/>
          <w:rtl/>
        </w:rPr>
        <w:t>היא מכירה בלגיטימיות של צורת השתתפות ציבורית אחת בלבד, זו התואמת את התפיסה החילונית-ליברלית</w:t>
      </w:r>
      <w:r w:rsidR="00EB5A7B" w:rsidRPr="00337965">
        <w:rPr>
          <w:rFonts w:ascii="David" w:hAnsi="David" w:cs="David" w:hint="cs"/>
          <w:rtl/>
        </w:rPr>
        <w:t xml:space="preserve">. </w:t>
      </w:r>
      <w:r w:rsidR="000D25FF" w:rsidRPr="00337965">
        <w:rPr>
          <w:rFonts w:ascii="David" w:hAnsi="David" w:cs="David"/>
          <w:rtl/>
        </w:rPr>
        <w:t>מנגד, ה</w:t>
      </w:r>
      <w:r w:rsidR="002B0781">
        <w:rPr>
          <w:rFonts w:ascii="David" w:hAnsi="David" w:cs="David" w:hint="cs"/>
          <w:rtl/>
        </w:rPr>
        <w:t xml:space="preserve">זרם האורתודוקסי </w:t>
      </w:r>
      <w:r w:rsidR="000D25FF" w:rsidRPr="00337965">
        <w:rPr>
          <w:rFonts w:ascii="David" w:hAnsi="David" w:cs="David"/>
          <w:rtl/>
        </w:rPr>
        <w:t>נתפס כחורג מן הנורמה, ולכן מנהגי</w:t>
      </w:r>
      <w:r w:rsidR="002B0781">
        <w:rPr>
          <w:rFonts w:ascii="David" w:hAnsi="David" w:cs="David" w:hint="cs"/>
          <w:rtl/>
        </w:rPr>
        <w:t>ו</w:t>
      </w:r>
      <w:r w:rsidR="000D25FF" w:rsidRPr="00337965">
        <w:rPr>
          <w:rFonts w:ascii="David" w:hAnsi="David" w:cs="David"/>
          <w:rtl/>
        </w:rPr>
        <w:t xml:space="preserve"> מוצגים ככאלה המחייבים התאמה מיוחדת של המרחב הציבורי, ולא כביטוי לגיטימי של שונות תרבותית</w:t>
      </w:r>
      <w:r w:rsidR="000D25FF" w:rsidRPr="00337965">
        <w:rPr>
          <w:rFonts w:ascii="David" w:hAnsi="David" w:cs="David"/>
        </w:rPr>
        <w:t>.</w:t>
      </w:r>
      <w:r w:rsidR="005F6716">
        <w:rPr>
          <w:rFonts w:ascii="David" w:hAnsi="David" w:cs="David" w:hint="cs"/>
          <w:rtl/>
        </w:rPr>
        <w:t xml:space="preserve"> </w:t>
      </w:r>
      <w:r w:rsidR="00AE08A1">
        <w:rPr>
          <w:rFonts w:ascii="David" w:hAnsi="David" w:cs="David" w:hint="cs"/>
          <w:rtl/>
        </w:rPr>
        <w:t>לכן</w:t>
      </w:r>
      <w:r w:rsidR="00001BE6">
        <w:rPr>
          <w:rFonts w:ascii="David" w:hAnsi="David" w:cs="David" w:hint="cs"/>
          <w:rtl/>
        </w:rPr>
        <w:t xml:space="preserve">, </w:t>
      </w:r>
      <w:r w:rsidR="002A74D9">
        <w:rPr>
          <w:rFonts w:ascii="David" w:hAnsi="David" w:cs="David" w:hint="cs"/>
          <w:rtl/>
        </w:rPr>
        <w:t>השופט כשר דחה נקודת מוצא זו</w:t>
      </w:r>
      <w:r w:rsidR="00AE08A1">
        <w:rPr>
          <w:rFonts w:ascii="David" w:hAnsi="David" w:cs="David" w:hint="cs"/>
          <w:rtl/>
        </w:rPr>
        <w:t xml:space="preserve"> ואף </w:t>
      </w:r>
      <w:r w:rsidR="003B6D07">
        <w:rPr>
          <w:rFonts w:ascii="David" w:hAnsi="David" w:cs="David" w:hint="cs"/>
          <w:rtl/>
        </w:rPr>
        <w:t xml:space="preserve">העניק משקל מהותי לכך שתפילה אורתודוקסית </w:t>
      </w:r>
      <w:r w:rsidR="00E1748A">
        <w:rPr>
          <w:rFonts w:ascii="David" w:hAnsi="David" w:cs="David" w:hint="cs"/>
          <w:rtl/>
        </w:rPr>
        <w:t xml:space="preserve">מהווה מקרה </w:t>
      </w:r>
      <w:r w:rsidR="00E2217C">
        <w:rPr>
          <w:rFonts w:ascii="David" w:hAnsi="David" w:cs="David" w:hint="cs"/>
          <w:rtl/>
        </w:rPr>
        <w:t xml:space="preserve">המצדיק </w:t>
      </w:r>
      <w:r w:rsidR="00E1748A">
        <w:rPr>
          <w:rFonts w:ascii="David" w:hAnsi="David" w:cs="David" w:hint="cs"/>
          <w:rtl/>
        </w:rPr>
        <w:t>פגיעה בשוויון המגדרי</w:t>
      </w:r>
      <w:r w:rsidR="00A2574F">
        <w:rPr>
          <w:rFonts w:ascii="David" w:hAnsi="David" w:cs="David" w:hint="cs"/>
          <w:rtl/>
        </w:rPr>
        <w:t>.</w:t>
      </w:r>
      <w:r w:rsidR="00AD0B30">
        <w:rPr>
          <w:rStyle w:val="FootnoteReference"/>
          <w:rFonts w:ascii="David" w:hAnsi="David" w:cs="David"/>
          <w:rtl/>
        </w:rPr>
        <w:footnoteReference w:id="14"/>
      </w:r>
    </w:p>
    <w:p w14:paraId="501D36B3" w14:textId="2D2D257A" w:rsidR="00156345" w:rsidRPr="00612F31" w:rsidRDefault="00410493" w:rsidP="00A86F4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גישה זו עולה בקנה אחד עם תפיסתם של מרגלית והלברטל, לפיה, </w:t>
      </w:r>
      <w:r w:rsidR="000F4D38">
        <w:rPr>
          <w:rFonts w:ascii="David" w:hAnsi="David" w:cs="David" w:hint="cs"/>
          <w:rtl/>
        </w:rPr>
        <w:t xml:space="preserve">הזכות לתרבות </w:t>
      </w:r>
      <w:r w:rsidR="003473B9">
        <w:rPr>
          <w:rFonts w:ascii="David" w:hAnsi="David" w:cs="David" w:hint="cs"/>
          <w:rtl/>
        </w:rPr>
        <w:t xml:space="preserve">היא מרכיב הכרחי </w:t>
      </w:r>
      <w:r w:rsidR="00CC0E69">
        <w:rPr>
          <w:rFonts w:ascii="David" w:hAnsi="David" w:cs="David" w:hint="cs"/>
          <w:rtl/>
        </w:rPr>
        <w:t xml:space="preserve">בחברה רב-תרבותית. </w:t>
      </w:r>
      <w:r w:rsidR="00FA7472">
        <w:rPr>
          <w:rFonts w:ascii="David" w:hAnsi="David" w:cs="David" w:hint="cs"/>
          <w:rtl/>
        </w:rPr>
        <w:t>לכן</w:t>
      </w:r>
      <w:r w:rsidR="00CC0E69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</w:t>
      </w:r>
      <w:r w:rsidR="00BD568C">
        <w:rPr>
          <w:rFonts w:ascii="David" w:hAnsi="David" w:cs="David" w:hint="cs"/>
          <w:rtl/>
        </w:rPr>
        <w:t>נדרשת הכרה של החברה באורח חייה של קבוצת המיעוט.</w:t>
      </w:r>
      <w:r w:rsidR="00CC0E69">
        <w:rPr>
          <w:rFonts w:ascii="David" w:hAnsi="David" w:cs="David" w:hint="cs"/>
          <w:rtl/>
        </w:rPr>
        <w:t xml:space="preserve"> הכרה זו מתבטאת, בין היתר, </w:t>
      </w:r>
      <w:r w:rsidR="00B37368">
        <w:rPr>
          <w:rFonts w:ascii="David" w:hAnsi="David" w:cs="David" w:hint="cs"/>
          <w:rtl/>
        </w:rPr>
        <w:t>בייצוג הולם של תרבות המיעוט במרחבים ציבוריים</w:t>
      </w:r>
      <w:r w:rsidR="000A4EF8">
        <w:rPr>
          <w:rFonts w:ascii="David" w:hAnsi="David" w:cs="David" w:hint="cs"/>
          <w:rtl/>
        </w:rPr>
        <w:t xml:space="preserve"> והקצאת משאבים </w:t>
      </w:r>
      <w:r w:rsidR="00000A71">
        <w:rPr>
          <w:rFonts w:ascii="David" w:hAnsi="David" w:cs="David" w:hint="cs"/>
          <w:rtl/>
        </w:rPr>
        <w:t>ציבוריים באופן שוויוני</w:t>
      </w:r>
      <w:r w:rsidR="00B37368">
        <w:rPr>
          <w:rFonts w:ascii="David" w:hAnsi="David" w:cs="David" w:hint="cs"/>
          <w:rtl/>
        </w:rPr>
        <w:t xml:space="preserve">. </w:t>
      </w:r>
      <w:r w:rsidR="00FA7472">
        <w:rPr>
          <w:rFonts w:ascii="David" w:hAnsi="David" w:cs="David" w:hint="cs"/>
          <w:rtl/>
        </w:rPr>
        <w:t xml:space="preserve">בהתאם, שלילת </w:t>
      </w:r>
      <w:r w:rsidR="001F1C45">
        <w:rPr>
          <w:rFonts w:ascii="David" w:hAnsi="David" w:cs="David" w:hint="cs"/>
          <w:rtl/>
        </w:rPr>
        <w:t xml:space="preserve">האפשרות לקיומה של תפילה לפי המסורת האורתודוקסית שוללת </w:t>
      </w:r>
      <w:r w:rsidR="00000A71">
        <w:rPr>
          <w:rFonts w:ascii="David" w:hAnsi="David" w:cs="David" w:hint="cs"/>
          <w:rtl/>
        </w:rPr>
        <w:t>את זכותה של הקבוצה</w:t>
      </w:r>
      <w:r w:rsidR="00114648">
        <w:rPr>
          <w:rFonts w:ascii="David" w:hAnsi="David" w:cs="David" w:hint="cs"/>
          <w:rtl/>
        </w:rPr>
        <w:t xml:space="preserve"> לשמר ולבטא את תרבותה במרחב הציבורי</w:t>
      </w:r>
      <w:r w:rsidR="001F1C45">
        <w:rPr>
          <w:rFonts w:ascii="David" w:hAnsi="David" w:cs="David" w:hint="cs"/>
          <w:rtl/>
        </w:rPr>
        <w:t>.</w:t>
      </w:r>
      <w:r w:rsidR="00A92B24">
        <w:rPr>
          <w:rStyle w:val="FootnoteReference"/>
          <w:rFonts w:ascii="David" w:hAnsi="David" w:cs="David"/>
          <w:rtl/>
        </w:rPr>
        <w:footnoteReference w:id="15"/>
      </w:r>
      <w:r w:rsidR="00A63A0E">
        <w:rPr>
          <w:rFonts w:ascii="David" w:hAnsi="David" w:cs="David" w:hint="cs"/>
          <w:rtl/>
        </w:rPr>
        <w:t xml:space="preserve"> גישה זו אומצה על-ידי השופט כשר בבחינת </w:t>
      </w:r>
      <w:r w:rsidR="00D20C46">
        <w:rPr>
          <w:rFonts w:ascii="David" w:hAnsi="David" w:cs="David" w:hint="cs"/>
          <w:rtl/>
        </w:rPr>
        <w:t>מדיניות העירייה</w:t>
      </w:r>
      <w:r w:rsidR="00A63A0E">
        <w:rPr>
          <w:rFonts w:ascii="David" w:hAnsi="David" w:cs="David" w:hint="cs"/>
          <w:rtl/>
        </w:rPr>
        <w:t>.</w:t>
      </w:r>
      <w:r w:rsidR="00D47BAB">
        <w:rPr>
          <w:rFonts w:ascii="David" w:hAnsi="David" w:cs="David" w:hint="cs"/>
          <w:rtl/>
        </w:rPr>
        <w:t xml:space="preserve"> </w:t>
      </w:r>
      <w:r w:rsidR="00264FFD" w:rsidRPr="004F38F0">
        <w:rPr>
          <w:rFonts w:ascii="David" w:hAnsi="David" w:cs="David" w:hint="cs"/>
          <w:rtl/>
        </w:rPr>
        <w:t xml:space="preserve">עם זאת, </w:t>
      </w:r>
      <w:r w:rsidR="00D20C46">
        <w:rPr>
          <w:rFonts w:ascii="David" w:hAnsi="David" w:cs="David" w:hint="cs"/>
          <w:rtl/>
        </w:rPr>
        <w:t xml:space="preserve">צוין כי </w:t>
      </w:r>
      <w:r w:rsidR="00264FFD" w:rsidRPr="004F38F0">
        <w:rPr>
          <w:rFonts w:ascii="David" w:hAnsi="David" w:cs="David" w:hint="cs"/>
          <w:rtl/>
        </w:rPr>
        <w:t xml:space="preserve">אין לקבל את ההכרה בשונות </w:t>
      </w:r>
      <w:r w:rsidR="00B96F96" w:rsidRPr="004F38F0">
        <w:rPr>
          <w:rFonts w:ascii="David" w:hAnsi="David" w:cs="David" w:hint="cs"/>
          <w:rtl/>
        </w:rPr>
        <w:t xml:space="preserve">התרבותית </w:t>
      </w:r>
      <w:r w:rsidR="00264FFD" w:rsidRPr="004F38F0">
        <w:rPr>
          <w:rFonts w:ascii="David" w:hAnsi="David" w:cs="David" w:hint="cs"/>
          <w:rtl/>
        </w:rPr>
        <w:t>כערך מוחלט</w:t>
      </w:r>
      <w:r w:rsidR="00B96F96" w:rsidRPr="004F38F0">
        <w:rPr>
          <w:rFonts w:ascii="David" w:hAnsi="David" w:cs="David" w:hint="cs"/>
          <w:rtl/>
        </w:rPr>
        <w:t xml:space="preserve"> </w:t>
      </w:r>
      <w:r w:rsidR="00881178" w:rsidRPr="004F38F0">
        <w:rPr>
          <w:rFonts w:ascii="David" w:hAnsi="David" w:cs="David" w:hint="cs"/>
          <w:rtl/>
        </w:rPr>
        <w:t>ואף</w:t>
      </w:r>
      <w:r w:rsidR="0066598A" w:rsidRPr="004F38F0">
        <w:rPr>
          <w:rFonts w:ascii="David" w:hAnsi="David" w:cs="David" w:hint="cs"/>
          <w:rtl/>
        </w:rPr>
        <w:t xml:space="preserve"> </w:t>
      </w:r>
      <w:r w:rsidR="00B96F96" w:rsidRPr="004F38F0">
        <w:rPr>
          <w:rFonts w:ascii="David" w:hAnsi="David" w:cs="David" w:hint="cs"/>
          <w:rtl/>
        </w:rPr>
        <w:t>להסיק</w:t>
      </w:r>
      <w:r w:rsidR="0066598A" w:rsidRPr="004F38F0">
        <w:rPr>
          <w:rFonts w:ascii="David" w:hAnsi="David" w:cs="David" w:hint="cs"/>
          <w:rtl/>
        </w:rPr>
        <w:t xml:space="preserve"> כי כל מנהג תרבותי זכאי להכרה אוטומטית.</w:t>
      </w:r>
      <w:r w:rsidR="002873C6">
        <w:rPr>
          <w:rStyle w:val="FootnoteReference"/>
          <w:rFonts w:ascii="David" w:hAnsi="David" w:cs="David"/>
          <w:rtl/>
        </w:rPr>
        <w:footnoteReference w:id="16"/>
      </w:r>
      <w:r w:rsidR="0066598A" w:rsidRPr="004F38F0">
        <w:rPr>
          <w:rFonts w:ascii="David" w:hAnsi="David" w:cs="David" w:hint="cs"/>
          <w:rtl/>
        </w:rPr>
        <w:t xml:space="preserve"> </w:t>
      </w:r>
      <w:r w:rsidR="00386FD3">
        <w:rPr>
          <w:rFonts w:ascii="David" w:hAnsi="David" w:cs="David" w:hint="cs"/>
          <w:rtl/>
        </w:rPr>
        <w:t>לפי</w:t>
      </w:r>
      <w:r w:rsidR="00D17D4B" w:rsidRPr="004F38F0">
        <w:rPr>
          <w:rFonts w:ascii="David" w:hAnsi="David" w:cs="David" w:hint="cs"/>
          <w:rtl/>
        </w:rPr>
        <w:t xml:space="preserve"> </w:t>
      </w:r>
      <w:r w:rsidR="001D115D">
        <w:rPr>
          <w:rFonts w:ascii="David" w:hAnsi="David" w:cs="David" w:hint="cs"/>
          <w:rtl/>
        </w:rPr>
        <w:t xml:space="preserve">גישתו של </w:t>
      </w:r>
      <w:r w:rsidR="00D17D4B" w:rsidRPr="004F38F0">
        <w:rPr>
          <w:rFonts w:ascii="David" w:hAnsi="David" w:cs="David" w:hint="cs"/>
          <w:rtl/>
        </w:rPr>
        <w:t>בריאן ברי,</w:t>
      </w:r>
      <w:r w:rsidR="00B64B84">
        <w:rPr>
          <w:rFonts w:ascii="David" w:hAnsi="David" w:cs="David" w:hint="cs"/>
          <w:rtl/>
        </w:rPr>
        <w:t xml:space="preserve"> </w:t>
      </w:r>
      <w:r w:rsidR="00612F31" w:rsidRPr="00612F31">
        <w:rPr>
          <w:rFonts w:ascii="David" w:hAnsi="David" w:cs="David"/>
          <w:rtl/>
        </w:rPr>
        <w:t>חשיבותו התרבותית של מנהג אינה מהווה</w:t>
      </w:r>
      <w:r w:rsidR="00544086">
        <w:rPr>
          <w:rFonts w:ascii="David" w:hAnsi="David" w:cs="David" w:hint="cs"/>
          <w:rtl/>
        </w:rPr>
        <w:t>,</w:t>
      </w:r>
      <w:r w:rsidR="00612F31" w:rsidRPr="00612F31">
        <w:rPr>
          <w:rFonts w:ascii="David" w:hAnsi="David" w:cs="David"/>
          <w:rtl/>
        </w:rPr>
        <w:t xml:space="preserve"> כשלעצמה</w:t>
      </w:r>
      <w:r w:rsidR="00544086">
        <w:rPr>
          <w:rFonts w:ascii="David" w:hAnsi="David" w:cs="David" w:hint="cs"/>
          <w:rtl/>
        </w:rPr>
        <w:t>,</w:t>
      </w:r>
      <w:r w:rsidR="00612F31" w:rsidRPr="00612F31">
        <w:rPr>
          <w:rFonts w:ascii="David" w:hAnsi="David" w:cs="David"/>
          <w:rtl/>
        </w:rPr>
        <w:t xml:space="preserve"> </w:t>
      </w:r>
      <w:r w:rsidR="00DE18FC">
        <w:rPr>
          <w:rFonts w:ascii="David" w:hAnsi="David" w:cs="David" w:hint="cs"/>
          <w:rtl/>
        </w:rPr>
        <w:t>הצדקה</w:t>
      </w:r>
      <w:r w:rsidR="00612F31" w:rsidRPr="00612F31">
        <w:rPr>
          <w:rFonts w:ascii="David" w:hAnsi="David" w:cs="David"/>
          <w:rtl/>
        </w:rPr>
        <w:t xml:space="preserve"> מוסרי</w:t>
      </w:r>
      <w:r w:rsidR="00DE18FC">
        <w:rPr>
          <w:rFonts w:ascii="David" w:hAnsi="David" w:cs="David" w:hint="cs"/>
          <w:rtl/>
        </w:rPr>
        <w:t>ת</w:t>
      </w:r>
      <w:r w:rsidR="00612F31" w:rsidRPr="00612F31">
        <w:rPr>
          <w:rFonts w:ascii="David" w:hAnsi="David" w:cs="David"/>
          <w:rtl/>
        </w:rPr>
        <w:t xml:space="preserve"> </w:t>
      </w:r>
      <w:r w:rsidR="00DE18FC">
        <w:rPr>
          <w:rFonts w:ascii="David" w:hAnsi="David" w:cs="David" w:hint="cs"/>
          <w:rtl/>
        </w:rPr>
        <w:t>ל</w:t>
      </w:r>
      <w:r w:rsidR="00612F31" w:rsidRPr="00612F31">
        <w:rPr>
          <w:rFonts w:ascii="David" w:hAnsi="David" w:cs="David"/>
          <w:rtl/>
        </w:rPr>
        <w:t xml:space="preserve">המשך קיומו או </w:t>
      </w:r>
      <w:r w:rsidR="004B295F">
        <w:rPr>
          <w:rFonts w:ascii="David" w:hAnsi="David" w:cs="David" w:hint="cs"/>
          <w:rtl/>
        </w:rPr>
        <w:t xml:space="preserve">להכרה של </w:t>
      </w:r>
      <w:r w:rsidR="00612F31" w:rsidRPr="00612F31">
        <w:rPr>
          <w:rFonts w:ascii="David" w:hAnsi="David" w:cs="David"/>
          <w:rtl/>
        </w:rPr>
        <w:t>המדינה בו</w:t>
      </w:r>
      <w:r w:rsidR="00612F31" w:rsidRPr="00612F31">
        <w:rPr>
          <w:rFonts w:ascii="David" w:hAnsi="David" w:cs="David"/>
        </w:rPr>
        <w:t>.</w:t>
      </w:r>
      <w:r w:rsidR="00612F31">
        <w:rPr>
          <w:rFonts w:ascii="David" w:hAnsi="David" w:cs="David" w:hint="cs"/>
          <w:rtl/>
        </w:rPr>
        <w:t xml:space="preserve"> </w:t>
      </w:r>
      <w:r w:rsidR="00612F31" w:rsidRPr="004F38F0">
        <w:rPr>
          <w:rFonts w:ascii="David" w:hAnsi="David" w:cs="David" w:hint="cs"/>
          <w:rtl/>
        </w:rPr>
        <w:t xml:space="preserve">לפיכך, נדרש לבצע את האיזון הראוי בין זכותה של הקבוצה לשמר את זהותה לבין זכויותיהם של קבוצות ואינדיבידואלים אחרים. זאת, </w:t>
      </w:r>
      <w:r w:rsidR="001D0C63">
        <w:rPr>
          <w:rFonts w:ascii="David" w:hAnsi="David" w:cs="David" w:hint="cs"/>
          <w:rtl/>
        </w:rPr>
        <w:t>בהתאם ל</w:t>
      </w:r>
      <w:r w:rsidR="00612F31" w:rsidRPr="004F38F0">
        <w:rPr>
          <w:rFonts w:ascii="David" w:hAnsi="David" w:cs="David" w:hint="cs"/>
          <w:rtl/>
        </w:rPr>
        <w:t xml:space="preserve">חוקים, </w:t>
      </w:r>
      <w:r w:rsidR="001D0C63">
        <w:rPr>
          <w:rFonts w:ascii="David" w:hAnsi="David" w:cs="David" w:hint="cs"/>
          <w:rtl/>
        </w:rPr>
        <w:t>ל</w:t>
      </w:r>
      <w:r w:rsidR="00612F31" w:rsidRPr="004F38F0">
        <w:rPr>
          <w:rFonts w:ascii="David" w:hAnsi="David" w:cs="David" w:hint="cs"/>
          <w:rtl/>
        </w:rPr>
        <w:t>ערכי היסוד ו</w:t>
      </w:r>
      <w:r w:rsidR="001D0C63">
        <w:rPr>
          <w:rFonts w:ascii="David" w:hAnsi="David" w:cs="David" w:hint="cs"/>
          <w:rtl/>
        </w:rPr>
        <w:t>ל</w:t>
      </w:r>
      <w:r w:rsidR="00612F31" w:rsidRPr="004F38F0">
        <w:rPr>
          <w:rFonts w:ascii="David" w:hAnsi="David" w:cs="David" w:hint="cs"/>
          <w:rtl/>
        </w:rPr>
        <w:t>זכויות האדם של המדינה.</w:t>
      </w:r>
      <w:r w:rsidR="00F948C3">
        <w:rPr>
          <w:rStyle w:val="FootnoteReference"/>
          <w:rFonts w:ascii="David" w:hAnsi="David" w:cs="David"/>
          <w:rtl/>
        </w:rPr>
        <w:footnoteReference w:id="17"/>
      </w:r>
      <w:r w:rsidR="00612F31">
        <w:rPr>
          <w:rFonts w:ascii="David" w:hAnsi="David" w:cs="David" w:hint="cs"/>
          <w:rtl/>
        </w:rPr>
        <w:t xml:space="preserve"> </w:t>
      </w:r>
    </w:p>
    <w:p w14:paraId="6552E417" w14:textId="04D0EA06" w:rsidR="00FC3A85" w:rsidRPr="00C445CE" w:rsidRDefault="006D3057" w:rsidP="007515F6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גישת הרב-תרבותיות ופסיקתו של בית המשפט </w:t>
      </w:r>
      <w:r w:rsidR="00A841F6">
        <w:rPr>
          <w:rFonts w:ascii="David" w:hAnsi="David" w:cs="David" w:hint="cs"/>
          <w:rtl/>
        </w:rPr>
        <w:t>בא</w:t>
      </w:r>
      <w:r w:rsidR="00902BEE">
        <w:rPr>
          <w:rFonts w:ascii="David" w:hAnsi="David" w:cs="David" w:hint="cs"/>
          <w:rtl/>
        </w:rPr>
        <w:t>ות</w:t>
      </w:r>
      <w:r w:rsidR="00A841F6">
        <w:rPr>
          <w:rFonts w:ascii="David" w:hAnsi="David" w:cs="David" w:hint="cs"/>
          <w:rtl/>
        </w:rPr>
        <w:t xml:space="preserve"> לידי ביטוי במשל "השועל והחסידה".</w:t>
      </w:r>
      <w:r w:rsidR="00041BFC">
        <w:rPr>
          <w:rStyle w:val="FootnoteReference"/>
          <w:rFonts w:ascii="David" w:hAnsi="David" w:cs="David"/>
          <w:rtl/>
        </w:rPr>
        <w:footnoteReference w:id="18"/>
      </w:r>
      <w:r w:rsidR="00A841F6">
        <w:rPr>
          <w:rFonts w:ascii="David" w:hAnsi="David" w:cs="David" w:hint="cs"/>
          <w:rtl/>
        </w:rPr>
        <w:t xml:space="preserve"> המשל ממחיש מצב דברים בו השועל מזמין את החסידה לארוחה ומגיש </w:t>
      </w:r>
      <w:r w:rsidR="00E85DDB">
        <w:rPr>
          <w:rFonts w:ascii="David" w:hAnsi="David" w:cs="David" w:hint="cs"/>
          <w:rtl/>
        </w:rPr>
        <w:t>לשניהם</w:t>
      </w:r>
      <w:r w:rsidR="00A841F6">
        <w:rPr>
          <w:rFonts w:ascii="David" w:hAnsi="David" w:cs="David" w:hint="cs"/>
          <w:rtl/>
        </w:rPr>
        <w:t xml:space="preserve"> מזון </w:t>
      </w:r>
      <w:r w:rsidR="002A74D9">
        <w:rPr>
          <w:rFonts w:ascii="David" w:hAnsi="David" w:cs="David" w:hint="cs"/>
          <w:rtl/>
        </w:rPr>
        <w:t>בצלחת שטוחה. לכאורה, זהו יחס שווה, שכן שניהם מקבלים מזון וכלים זהים. אולם, בפועל השועל</w:t>
      </w:r>
      <w:r w:rsidR="00D84CFD">
        <w:rPr>
          <w:rFonts w:ascii="David" w:hAnsi="David" w:cs="David" w:hint="cs"/>
          <w:rtl/>
        </w:rPr>
        <w:t xml:space="preserve"> </w:t>
      </w:r>
      <w:r w:rsidR="00403E94">
        <w:rPr>
          <w:rFonts w:ascii="David" w:hAnsi="David" w:cs="David" w:hint="cs"/>
          <w:rtl/>
        </w:rPr>
        <w:t xml:space="preserve">נהנה מהארוחה, ואילו החסידה, בשל מבנה מקורה, אינה יכולה </w:t>
      </w:r>
      <w:r w:rsidR="003D4201">
        <w:rPr>
          <w:rFonts w:ascii="David" w:hAnsi="David" w:cs="David" w:hint="cs"/>
          <w:rtl/>
        </w:rPr>
        <w:t xml:space="preserve">לאכול מן הצלחת. בהמשך, התפקידים מתהפכים, החסידה מגישה לשועל מזון בכד צר, באופן המאפשר </w:t>
      </w:r>
      <w:r w:rsidR="002A74D9">
        <w:rPr>
          <w:rFonts w:ascii="David" w:hAnsi="David" w:cs="David" w:hint="cs"/>
          <w:rtl/>
        </w:rPr>
        <w:t>רק לה ליהנות מהארוחה. שני המצבים</w:t>
      </w:r>
      <w:r w:rsidR="00E55168">
        <w:rPr>
          <w:rFonts w:ascii="David" w:hAnsi="David" w:cs="David" w:hint="cs"/>
          <w:rtl/>
        </w:rPr>
        <w:t xml:space="preserve"> ממחישים כי החלת כלל אחיד על פרטים שונים אינה מבטיחה תוצאה שוויונית. </w:t>
      </w:r>
      <w:r w:rsidR="003E16A3">
        <w:rPr>
          <w:rFonts w:ascii="David" w:hAnsi="David" w:cs="David" w:hint="cs"/>
          <w:rtl/>
        </w:rPr>
        <w:t>אציין כי ישנ</w:t>
      </w:r>
      <w:r w:rsidR="004D1BC0">
        <w:rPr>
          <w:rFonts w:ascii="David" w:hAnsi="David" w:cs="David" w:hint="cs"/>
          <w:rtl/>
        </w:rPr>
        <w:t>ן</w:t>
      </w:r>
      <w:r w:rsidR="003E16A3">
        <w:rPr>
          <w:rFonts w:ascii="David" w:hAnsi="David" w:cs="David" w:hint="cs"/>
          <w:rtl/>
        </w:rPr>
        <w:t xml:space="preserve"> גרסאות שונות של המשל, </w:t>
      </w:r>
      <w:r w:rsidR="00EE53E4">
        <w:rPr>
          <w:rFonts w:ascii="David" w:hAnsi="David" w:cs="David" w:hint="cs"/>
          <w:rtl/>
        </w:rPr>
        <w:t xml:space="preserve">בהן </w:t>
      </w:r>
      <w:r w:rsidR="00936110">
        <w:rPr>
          <w:rFonts w:ascii="David" w:hAnsi="David" w:cs="David" w:hint="cs"/>
          <w:rtl/>
        </w:rPr>
        <w:t xml:space="preserve">השועל </w:t>
      </w:r>
      <w:r w:rsidR="0091051C">
        <w:rPr>
          <w:rFonts w:ascii="David" w:hAnsi="David" w:cs="David" w:hint="cs"/>
          <w:rtl/>
        </w:rPr>
        <w:t>הזמין את החסידה כדי להשתעשע</w:t>
      </w:r>
      <w:r w:rsidR="00EE53E4">
        <w:rPr>
          <w:rFonts w:ascii="David" w:hAnsi="David" w:cs="David" w:hint="cs"/>
          <w:rtl/>
        </w:rPr>
        <w:t xml:space="preserve"> או החסידה </w:t>
      </w:r>
      <w:r w:rsidR="00317AA1">
        <w:rPr>
          <w:rFonts w:ascii="David" w:hAnsi="David" w:cs="David" w:hint="cs"/>
          <w:rtl/>
        </w:rPr>
        <w:t>אשר פעלה</w:t>
      </w:r>
      <w:r w:rsidR="000978B0">
        <w:rPr>
          <w:rFonts w:ascii="David" w:hAnsi="David" w:cs="David" w:hint="cs"/>
          <w:rtl/>
        </w:rPr>
        <w:t xml:space="preserve"> מתוך יצר נקמתי</w:t>
      </w:r>
      <w:r w:rsidR="00BE318A">
        <w:rPr>
          <w:rFonts w:ascii="David" w:hAnsi="David" w:cs="David" w:hint="cs"/>
          <w:rtl/>
        </w:rPr>
        <w:t xml:space="preserve"> בתגובה</w:t>
      </w:r>
      <w:r w:rsidR="0091051C">
        <w:rPr>
          <w:rFonts w:ascii="David" w:hAnsi="David" w:cs="David" w:hint="cs"/>
          <w:rtl/>
        </w:rPr>
        <w:t>.</w:t>
      </w:r>
      <w:r w:rsidR="00851D15">
        <w:rPr>
          <w:rStyle w:val="FootnoteReference"/>
          <w:rFonts w:ascii="David" w:hAnsi="David" w:cs="David"/>
          <w:rtl/>
        </w:rPr>
        <w:footnoteReference w:id="19"/>
      </w:r>
      <w:r w:rsidR="0091051C">
        <w:rPr>
          <w:rFonts w:ascii="David" w:hAnsi="David" w:cs="David" w:hint="cs"/>
          <w:rtl/>
        </w:rPr>
        <w:t xml:space="preserve"> </w:t>
      </w:r>
      <w:r w:rsidR="00754B17">
        <w:rPr>
          <w:rFonts w:ascii="David" w:hAnsi="David" w:cs="David" w:hint="cs"/>
          <w:rtl/>
        </w:rPr>
        <w:t>כך, עולה שוני בין המשל לפסק הדין, שכן</w:t>
      </w:r>
      <w:r w:rsidR="0091051C">
        <w:rPr>
          <w:rFonts w:ascii="David" w:hAnsi="David" w:cs="David" w:hint="cs"/>
          <w:rtl/>
        </w:rPr>
        <w:t xml:space="preserve"> </w:t>
      </w:r>
      <w:r w:rsidR="0091051C" w:rsidRPr="0091051C">
        <w:rPr>
          <w:rFonts w:ascii="David" w:hAnsi="David" w:cs="David"/>
          <w:rtl/>
        </w:rPr>
        <w:t xml:space="preserve">השועל </w:t>
      </w:r>
      <w:r w:rsidR="00317AA1">
        <w:rPr>
          <w:rFonts w:ascii="David" w:hAnsi="David" w:cs="David" w:hint="cs"/>
          <w:rtl/>
        </w:rPr>
        <w:t>והחסידה פועלים מתוך כוונה</w:t>
      </w:r>
      <w:r w:rsidR="00007182">
        <w:rPr>
          <w:rFonts w:ascii="David" w:hAnsi="David" w:cs="David" w:hint="cs"/>
          <w:rtl/>
        </w:rPr>
        <w:t xml:space="preserve">, </w:t>
      </w:r>
      <w:r w:rsidR="00070765">
        <w:rPr>
          <w:rFonts w:ascii="David" w:hAnsi="David" w:cs="David" w:hint="cs"/>
          <w:rtl/>
        </w:rPr>
        <w:t>ואילו</w:t>
      </w:r>
      <w:r w:rsidR="00007182">
        <w:rPr>
          <w:rFonts w:ascii="David" w:hAnsi="David" w:cs="David" w:hint="cs"/>
          <w:rtl/>
        </w:rPr>
        <w:t xml:space="preserve"> העירייה </w:t>
      </w:r>
      <w:r w:rsidR="00EF76CE">
        <w:rPr>
          <w:rFonts w:ascii="David" w:hAnsi="David" w:cs="David" w:hint="cs"/>
          <w:rtl/>
        </w:rPr>
        <w:t>סברה שהיא מקדמת</w:t>
      </w:r>
      <w:r w:rsidR="00007182">
        <w:rPr>
          <w:rFonts w:ascii="David" w:hAnsi="David" w:cs="David" w:hint="cs"/>
          <w:rtl/>
        </w:rPr>
        <w:t xml:space="preserve"> </w:t>
      </w:r>
      <w:r w:rsidR="00070765">
        <w:rPr>
          <w:rFonts w:ascii="David" w:hAnsi="David" w:cs="David" w:hint="cs"/>
          <w:rtl/>
        </w:rPr>
        <w:t>שוויון</w:t>
      </w:r>
      <w:r w:rsidR="00B3430E">
        <w:rPr>
          <w:rFonts w:ascii="David" w:hAnsi="David" w:cs="David" w:hint="cs"/>
          <w:rtl/>
        </w:rPr>
        <w:t xml:space="preserve"> על-ידי יצירת כלל אחיד</w:t>
      </w:r>
      <w:r w:rsidR="00754B17">
        <w:rPr>
          <w:rFonts w:ascii="David" w:hAnsi="David" w:cs="David" w:hint="cs"/>
          <w:rtl/>
        </w:rPr>
        <w:t>. עם זאת,</w:t>
      </w:r>
      <w:r w:rsidR="00007182">
        <w:rPr>
          <w:rFonts w:ascii="David" w:hAnsi="David" w:cs="David" w:hint="cs"/>
          <w:rtl/>
        </w:rPr>
        <w:t xml:space="preserve"> </w:t>
      </w:r>
      <w:r w:rsidR="009E5D18">
        <w:rPr>
          <w:rFonts w:ascii="David" w:hAnsi="David" w:cs="David" w:hint="cs"/>
          <w:rtl/>
        </w:rPr>
        <w:t>בשני המקרים</w:t>
      </w:r>
      <w:r w:rsidR="00BD55E1">
        <w:rPr>
          <w:rFonts w:ascii="David" w:hAnsi="David" w:cs="David" w:hint="cs"/>
          <w:rtl/>
        </w:rPr>
        <w:t xml:space="preserve"> ישנו</w:t>
      </w:r>
      <w:r w:rsidR="009E5D18">
        <w:rPr>
          <w:rFonts w:ascii="David" w:hAnsi="David" w:cs="David" w:hint="cs"/>
          <w:rtl/>
        </w:rPr>
        <w:t xml:space="preserve"> </w:t>
      </w:r>
      <w:r w:rsidR="00743176">
        <w:rPr>
          <w:rFonts w:ascii="David" w:hAnsi="David" w:cs="David" w:hint="cs"/>
          <w:rtl/>
        </w:rPr>
        <w:t>הסדר המ</w:t>
      </w:r>
      <w:r w:rsidR="009E5D18">
        <w:rPr>
          <w:rFonts w:ascii="David" w:hAnsi="David" w:cs="David" w:hint="cs"/>
          <w:rtl/>
        </w:rPr>
        <w:t xml:space="preserve">יטיב עם צד אחד, </w:t>
      </w:r>
      <w:r w:rsidR="00D65A9D">
        <w:rPr>
          <w:rFonts w:ascii="David" w:hAnsi="David" w:cs="David" w:hint="cs"/>
          <w:rtl/>
        </w:rPr>
        <w:t>ומותיר</w:t>
      </w:r>
      <w:r w:rsidR="009E5D18">
        <w:rPr>
          <w:rFonts w:ascii="David" w:hAnsi="David" w:cs="David" w:hint="cs"/>
          <w:rtl/>
        </w:rPr>
        <w:t xml:space="preserve"> את הצד השני ללא יכולת לממש את צרכי</w:t>
      </w:r>
      <w:r w:rsidR="00284ED5">
        <w:rPr>
          <w:rFonts w:ascii="David" w:hAnsi="David" w:cs="David" w:hint="cs"/>
          <w:rtl/>
        </w:rPr>
        <w:t>ו</w:t>
      </w:r>
      <w:r w:rsidR="009E5D18">
        <w:rPr>
          <w:rFonts w:ascii="David" w:hAnsi="David" w:cs="David" w:hint="cs"/>
          <w:rtl/>
        </w:rPr>
        <w:t xml:space="preserve">. </w:t>
      </w:r>
      <w:r w:rsidR="00304298">
        <w:rPr>
          <w:rFonts w:ascii="David" w:hAnsi="David" w:cs="David" w:hint="cs"/>
          <w:rtl/>
        </w:rPr>
        <w:t xml:space="preserve">בהתאם, התעלמות מן השונות בחברה </w:t>
      </w:r>
      <w:r w:rsidR="000D33BA">
        <w:rPr>
          <w:rFonts w:ascii="David" w:hAnsi="David" w:cs="David" w:hint="cs"/>
          <w:rtl/>
        </w:rPr>
        <w:t xml:space="preserve">עלולה ליצור הדרה של קבוצות מסוימות. </w:t>
      </w:r>
      <w:r w:rsidR="00E95A49">
        <w:rPr>
          <w:rFonts w:ascii="David" w:hAnsi="David" w:cs="David" w:hint="cs"/>
          <w:rtl/>
        </w:rPr>
        <w:t xml:space="preserve">לכן, </w:t>
      </w:r>
      <w:r w:rsidR="00551539">
        <w:rPr>
          <w:rFonts w:ascii="David" w:hAnsi="David" w:cs="David" w:hint="cs"/>
          <w:rtl/>
        </w:rPr>
        <w:t>המשל ממחיש את כשלו של השוויון הפורמלי</w:t>
      </w:r>
      <w:r w:rsidR="002B78AC">
        <w:rPr>
          <w:rFonts w:ascii="David" w:hAnsi="David" w:cs="David" w:hint="cs"/>
          <w:rtl/>
        </w:rPr>
        <w:t xml:space="preserve"> ו</w:t>
      </w:r>
      <w:r w:rsidR="00551539">
        <w:rPr>
          <w:rFonts w:ascii="David" w:hAnsi="David" w:cs="David" w:hint="cs"/>
          <w:rtl/>
        </w:rPr>
        <w:t xml:space="preserve">מחזק את פסיקתו של בית המשפט. </w:t>
      </w:r>
      <w:r w:rsidR="006D7BD2">
        <w:rPr>
          <w:rFonts w:ascii="David" w:hAnsi="David" w:cs="David" w:hint="cs"/>
          <w:rtl/>
        </w:rPr>
        <w:t>לפיה, בחינה מהותית של השלכות המדיניות מהווה רכיב חשוב</w:t>
      </w:r>
      <w:r w:rsidR="006E230A">
        <w:rPr>
          <w:rFonts w:ascii="David" w:hAnsi="David" w:cs="David" w:hint="cs"/>
          <w:rtl/>
        </w:rPr>
        <w:t xml:space="preserve">, לא פחות מהניטרליות </w:t>
      </w:r>
      <w:r w:rsidR="007C2E7B">
        <w:rPr>
          <w:rFonts w:ascii="David" w:hAnsi="David" w:cs="David" w:hint="cs"/>
          <w:rtl/>
        </w:rPr>
        <w:t>המדומה</w:t>
      </w:r>
      <w:r w:rsidR="006E230A">
        <w:rPr>
          <w:rFonts w:ascii="David" w:hAnsi="David" w:cs="David" w:hint="cs"/>
          <w:rtl/>
        </w:rPr>
        <w:t xml:space="preserve"> של הכלל עצמו. </w:t>
      </w:r>
      <w:r w:rsidR="006D7BD2">
        <w:rPr>
          <w:rFonts w:ascii="David" w:hAnsi="David" w:cs="David" w:hint="cs"/>
          <w:rtl/>
        </w:rPr>
        <w:t xml:space="preserve"> </w:t>
      </w:r>
      <w:r w:rsidR="00875368">
        <w:rPr>
          <w:rFonts w:ascii="David" w:hAnsi="David" w:cs="David" w:hint="cs"/>
          <w:rtl/>
        </w:rPr>
        <w:t>יתרה מכך, המשל מהווה אלגוריה לשונות האנושית</w:t>
      </w:r>
      <w:r w:rsidR="00D04073">
        <w:rPr>
          <w:rFonts w:ascii="David" w:hAnsi="David" w:cs="David" w:hint="cs"/>
          <w:rtl/>
        </w:rPr>
        <w:t xml:space="preserve"> וליחס החברה כלפי שונות זו</w:t>
      </w:r>
      <w:r w:rsidR="00875368">
        <w:rPr>
          <w:rFonts w:ascii="David" w:hAnsi="David" w:cs="David" w:hint="cs"/>
          <w:rtl/>
        </w:rPr>
        <w:t xml:space="preserve">. </w:t>
      </w:r>
      <w:r w:rsidR="00485A72">
        <w:rPr>
          <w:rFonts w:ascii="David" w:hAnsi="David" w:cs="David" w:hint="cs"/>
          <w:rtl/>
        </w:rPr>
        <w:t>מבנה גופ</w:t>
      </w:r>
      <w:r w:rsidR="00316486">
        <w:rPr>
          <w:rFonts w:ascii="David" w:hAnsi="David" w:cs="David" w:hint="cs"/>
          <w:rtl/>
        </w:rPr>
        <w:t xml:space="preserve">ם של השועל והחסידה מסמל את קיומן של תרבויות שונות. </w:t>
      </w:r>
      <w:r w:rsidR="00C445CE">
        <w:rPr>
          <w:rFonts w:ascii="David" w:hAnsi="David" w:cs="David" w:hint="cs"/>
          <w:rtl/>
        </w:rPr>
        <w:t xml:space="preserve">לפי </w:t>
      </w:r>
      <w:r w:rsidR="000C20B6">
        <w:rPr>
          <w:rFonts w:ascii="David" w:hAnsi="David" w:cs="David" w:hint="cs"/>
          <w:rtl/>
        </w:rPr>
        <w:t>קימליקה,</w:t>
      </w:r>
      <w:r w:rsidR="00A45E5D">
        <w:rPr>
          <w:rFonts w:ascii="David" w:hAnsi="David" w:cs="David" w:hint="cs"/>
          <w:rtl/>
        </w:rPr>
        <w:t xml:space="preserve"> כל אדם זכאי לזכות לאוטונומיה</w:t>
      </w:r>
      <w:r w:rsidR="008B0B4D">
        <w:rPr>
          <w:rFonts w:ascii="David" w:hAnsi="David" w:cs="David" w:hint="cs"/>
          <w:rtl/>
        </w:rPr>
        <w:t>, אך זכות זו נובעת מתוך ההקשר התרבותי.</w:t>
      </w:r>
      <w:r w:rsidR="00E75A88">
        <w:rPr>
          <w:rStyle w:val="FootnoteReference"/>
          <w:rFonts w:ascii="David" w:hAnsi="David" w:cs="David"/>
          <w:rtl/>
        </w:rPr>
        <w:footnoteReference w:id="20"/>
      </w:r>
      <w:r w:rsidR="008B0B4D">
        <w:rPr>
          <w:rFonts w:ascii="David" w:hAnsi="David" w:cs="David" w:hint="cs"/>
          <w:rtl/>
        </w:rPr>
        <w:t xml:space="preserve"> </w:t>
      </w:r>
      <w:r w:rsidR="009C7CAF">
        <w:rPr>
          <w:rFonts w:ascii="David" w:hAnsi="David" w:cs="David" w:hint="cs"/>
          <w:rtl/>
        </w:rPr>
        <w:t xml:space="preserve">כך, כפי שמבנה גופם של השועל והחסידה </w:t>
      </w:r>
      <w:r w:rsidR="000067C8">
        <w:rPr>
          <w:rFonts w:ascii="David" w:hAnsi="David" w:cs="David" w:hint="cs"/>
          <w:rtl/>
        </w:rPr>
        <w:t xml:space="preserve">שונה, </w:t>
      </w:r>
      <w:r w:rsidR="00316486">
        <w:rPr>
          <w:rFonts w:ascii="David" w:hAnsi="David" w:cs="David" w:hint="cs"/>
          <w:rtl/>
        </w:rPr>
        <w:t>לכל תרבות יש מאפיינים, צרכי</w:t>
      </w:r>
      <w:r w:rsidR="00970AA6">
        <w:rPr>
          <w:rFonts w:ascii="David" w:hAnsi="David" w:cs="David" w:hint="cs"/>
          <w:rtl/>
        </w:rPr>
        <w:t>ם</w:t>
      </w:r>
      <w:r w:rsidR="00316486">
        <w:rPr>
          <w:rFonts w:ascii="David" w:hAnsi="David" w:cs="David" w:hint="cs"/>
          <w:rtl/>
        </w:rPr>
        <w:t xml:space="preserve"> ודרכי חיים ייחודיים. </w:t>
      </w:r>
      <w:r w:rsidR="00970AA6">
        <w:rPr>
          <w:rFonts w:ascii="David" w:hAnsi="David" w:cs="David" w:hint="cs"/>
          <w:rtl/>
        </w:rPr>
        <w:t>המשל משקף מציאות בה אין דרך אחת ניטרלית המתאימה לכולם</w:t>
      </w:r>
      <w:r w:rsidR="00A97F99">
        <w:rPr>
          <w:rFonts w:ascii="David" w:hAnsi="David" w:cs="David" w:hint="cs"/>
          <w:rtl/>
        </w:rPr>
        <w:t xml:space="preserve">, </w:t>
      </w:r>
      <w:r w:rsidR="00A00868">
        <w:rPr>
          <w:rFonts w:ascii="David" w:hAnsi="David" w:cs="David" w:hint="cs"/>
          <w:rtl/>
        </w:rPr>
        <w:t xml:space="preserve">אך </w:t>
      </w:r>
      <w:r w:rsidR="00A97F99">
        <w:rPr>
          <w:rFonts w:ascii="David" w:hAnsi="David" w:cs="David" w:hint="cs"/>
          <w:rtl/>
        </w:rPr>
        <w:t>אין משמעות הדבר כי יש להעדיף את השועל או החסידה</w:t>
      </w:r>
      <w:r w:rsidR="00970AA6">
        <w:rPr>
          <w:rFonts w:ascii="David" w:hAnsi="David" w:cs="David" w:hint="cs"/>
          <w:rtl/>
        </w:rPr>
        <w:t xml:space="preserve">. </w:t>
      </w:r>
      <w:r w:rsidR="00FD45D7" w:rsidRPr="00FD45D7">
        <w:rPr>
          <w:rFonts w:ascii="David" w:hAnsi="David" w:cs="David"/>
          <w:rtl/>
        </w:rPr>
        <w:t xml:space="preserve">האתגר </w:t>
      </w:r>
      <w:r w:rsidR="00513A6D">
        <w:rPr>
          <w:rFonts w:ascii="David" w:hAnsi="David" w:cs="David" w:hint="cs"/>
          <w:rtl/>
        </w:rPr>
        <w:t>טמון</w:t>
      </w:r>
      <w:r w:rsidR="00FD45D7" w:rsidRPr="00FD45D7">
        <w:rPr>
          <w:rFonts w:ascii="David" w:hAnsi="David" w:cs="David"/>
          <w:rtl/>
        </w:rPr>
        <w:t xml:space="preserve"> ביצירת איזון המכיר במאפייניהן הייחודיים של הקבוצות השונות</w:t>
      </w:r>
      <w:r w:rsidR="000067C8">
        <w:rPr>
          <w:rFonts w:ascii="David" w:hAnsi="David" w:cs="David" w:hint="cs"/>
          <w:rtl/>
        </w:rPr>
        <w:t xml:space="preserve"> ולעיתים אף לבצע התאמות אשר יאפשרו להן לממש את זהותן</w:t>
      </w:r>
      <w:r w:rsidR="00DA544C">
        <w:rPr>
          <w:rFonts w:ascii="David" w:hAnsi="David" w:cs="David" w:hint="cs"/>
          <w:rtl/>
        </w:rPr>
        <w:t xml:space="preserve">. </w:t>
      </w:r>
      <w:r w:rsidR="00F56220">
        <w:rPr>
          <w:rFonts w:ascii="David" w:hAnsi="David" w:cs="David" w:hint="cs"/>
          <w:rtl/>
        </w:rPr>
        <w:t xml:space="preserve">בהתאם, </w:t>
      </w:r>
      <w:r w:rsidR="00F56220" w:rsidRPr="00F56220">
        <w:rPr>
          <w:rFonts w:ascii="David" w:hAnsi="David" w:cs="David"/>
          <w:rtl/>
        </w:rPr>
        <w:t xml:space="preserve">כללים </w:t>
      </w:r>
      <w:r w:rsidR="007076AA">
        <w:rPr>
          <w:rFonts w:ascii="David" w:hAnsi="David" w:cs="David" w:hint="cs"/>
          <w:rtl/>
        </w:rPr>
        <w:t>ה</w:t>
      </w:r>
      <w:r w:rsidR="00F56220" w:rsidRPr="00F56220">
        <w:rPr>
          <w:rFonts w:ascii="David" w:hAnsi="David" w:cs="David"/>
          <w:rtl/>
        </w:rPr>
        <w:t xml:space="preserve">מותאמים מראש לתרבות אחת, </w:t>
      </w:r>
      <w:r w:rsidR="007076AA">
        <w:rPr>
          <w:rFonts w:ascii="David" w:hAnsi="David" w:cs="David" w:hint="cs"/>
          <w:rtl/>
        </w:rPr>
        <w:t xml:space="preserve">מותירים </w:t>
      </w:r>
      <w:r w:rsidR="00F56220" w:rsidRPr="00F56220">
        <w:rPr>
          <w:rFonts w:ascii="David" w:hAnsi="David" w:cs="David"/>
          <w:rtl/>
        </w:rPr>
        <w:t>תרבויות אחרות ללא יכולת לממש את האוטונומיה שלה</w:t>
      </w:r>
      <w:r w:rsidR="00F4705B">
        <w:rPr>
          <w:rFonts w:ascii="David" w:hAnsi="David" w:cs="David" w:hint="cs"/>
          <w:rtl/>
        </w:rPr>
        <w:t>ן</w:t>
      </w:r>
      <w:r w:rsidR="00F56220" w:rsidRPr="00F56220">
        <w:rPr>
          <w:rFonts w:ascii="David" w:hAnsi="David" w:cs="David"/>
        </w:rPr>
        <w:t>.</w:t>
      </w:r>
    </w:p>
    <w:p w14:paraId="0F52C644" w14:textId="49FE7462" w:rsidR="00082E1E" w:rsidRDefault="007F730A" w:rsidP="00F55F84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לגישתי, האתגר המרכזי של חברה רב-תרבותית </w:t>
      </w:r>
      <w:r w:rsidR="00F1467C">
        <w:rPr>
          <w:rFonts w:ascii="David" w:hAnsi="David" w:cs="David" w:hint="cs"/>
          <w:rtl/>
        </w:rPr>
        <w:t xml:space="preserve">טמון בהכרה כי כל אדם </w:t>
      </w:r>
      <w:r w:rsidR="000115AB">
        <w:rPr>
          <w:rFonts w:ascii="David" w:hAnsi="David" w:cs="David" w:hint="cs"/>
          <w:rtl/>
        </w:rPr>
        <w:t xml:space="preserve">פועל מתוך נרטיב תרבותי המעצב את תפיסת עולמו. </w:t>
      </w:r>
      <w:r w:rsidR="00175B80">
        <w:rPr>
          <w:rFonts w:ascii="David" w:hAnsi="David" w:cs="David" w:hint="cs"/>
          <w:rtl/>
        </w:rPr>
        <w:t xml:space="preserve">בהתאם, </w:t>
      </w:r>
      <w:r w:rsidR="000A5371">
        <w:rPr>
          <w:rFonts w:ascii="David" w:hAnsi="David" w:cs="David" w:hint="cs"/>
          <w:rtl/>
        </w:rPr>
        <w:t xml:space="preserve">כל אדם גדל </w:t>
      </w:r>
      <w:r w:rsidR="005405E0">
        <w:rPr>
          <w:rFonts w:ascii="David" w:hAnsi="David" w:cs="David" w:hint="cs"/>
          <w:rtl/>
        </w:rPr>
        <w:t>ב</w:t>
      </w:r>
      <w:r w:rsidR="000A5371">
        <w:rPr>
          <w:rFonts w:ascii="David" w:hAnsi="David" w:cs="David" w:hint="cs"/>
          <w:rtl/>
        </w:rPr>
        <w:t>חברה מסוימת</w:t>
      </w:r>
      <w:r w:rsidR="009F33C9">
        <w:rPr>
          <w:rFonts w:ascii="David" w:hAnsi="David" w:cs="David" w:hint="cs"/>
          <w:rtl/>
        </w:rPr>
        <w:t xml:space="preserve">, בה הוא </w:t>
      </w:r>
      <w:r w:rsidR="0006382E">
        <w:rPr>
          <w:rFonts w:ascii="David" w:hAnsi="David" w:cs="David" w:hint="cs"/>
          <w:rtl/>
        </w:rPr>
        <w:t>סופג</w:t>
      </w:r>
      <w:r w:rsidR="009F33C9">
        <w:rPr>
          <w:rFonts w:ascii="David" w:hAnsi="David" w:cs="David" w:hint="cs"/>
          <w:rtl/>
        </w:rPr>
        <w:t xml:space="preserve"> את</w:t>
      </w:r>
      <w:r w:rsidR="0006382E">
        <w:rPr>
          <w:rFonts w:ascii="David" w:hAnsi="David" w:cs="David" w:hint="cs"/>
          <w:rtl/>
        </w:rPr>
        <w:t xml:space="preserve"> ערכיה, אמונותיה ואורחות חייה, </w:t>
      </w:r>
      <w:r w:rsidR="00CE7538">
        <w:rPr>
          <w:rFonts w:ascii="David" w:hAnsi="David" w:cs="David" w:hint="cs"/>
          <w:rtl/>
        </w:rPr>
        <w:t>ו</w:t>
      </w:r>
      <w:r w:rsidR="0006382E">
        <w:rPr>
          <w:rFonts w:ascii="David" w:hAnsi="David" w:cs="David" w:hint="cs"/>
          <w:rtl/>
        </w:rPr>
        <w:t>אלו מעצבים את</w:t>
      </w:r>
      <w:r w:rsidR="00D60D88">
        <w:rPr>
          <w:rFonts w:ascii="David" w:hAnsi="David" w:cs="David" w:hint="cs"/>
          <w:rtl/>
        </w:rPr>
        <w:t xml:space="preserve"> האופן בו הוא תופס את המציאות. מתוך כך, </w:t>
      </w:r>
      <w:r w:rsidR="002462E5">
        <w:rPr>
          <w:rFonts w:ascii="David" w:hAnsi="David" w:cs="David" w:hint="cs"/>
          <w:rtl/>
        </w:rPr>
        <w:t xml:space="preserve">ישנה נטייה לראות </w:t>
      </w:r>
      <w:r w:rsidR="00CE7538">
        <w:rPr>
          <w:rFonts w:ascii="David" w:hAnsi="David" w:cs="David" w:hint="cs"/>
          <w:rtl/>
        </w:rPr>
        <w:t>בתפיס</w:t>
      </w:r>
      <w:r w:rsidR="006A681E">
        <w:rPr>
          <w:rFonts w:ascii="David" w:hAnsi="David" w:cs="David" w:hint="cs"/>
          <w:rtl/>
        </w:rPr>
        <w:t>ת עולם</w:t>
      </w:r>
      <w:r w:rsidR="002462E5">
        <w:rPr>
          <w:rFonts w:ascii="David" w:hAnsi="David" w:cs="David" w:hint="cs"/>
          <w:rtl/>
        </w:rPr>
        <w:t xml:space="preserve"> זו כאמת מידה כללית.</w:t>
      </w:r>
      <w:r w:rsidR="002D3888">
        <w:rPr>
          <w:rFonts w:ascii="David" w:hAnsi="David" w:cs="David" w:hint="cs"/>
          <w:rtl/>
        </w:rPr>
        <w:t xml:space="preserve"> הגישה הרב-תרבותית </w:t>
      </w:r>
      <w:r w:rsidR="006A681E">
        <w:rPr>
          <w:rFonts w:ascii="David" w:hAnsi="David" w:cs="David" w:hint="cs"/>
          <w:rtl/>
        </w:rPr>
        <w:t xml:space="preserve">דוגלת </w:t>
      </w:r>
      <w:r w:rsidR="00D73C6E">
        <w:rPr>
          <w:rFonts w:ascii="David" w:hAnsi="David" w:cs="David" w:hint="cs"/>
          <w:rtl/>
        </w:rPr>
        <w:t>בהכרת</w:t>
      </w:r>
      <w:r w:rsidR="006A681E">
        <w:rPr>
          <w:rFonts w:ascii="David" w:hAnsi="David" w:cs="David" w:hint="cs"/>
          <w:rtl/>
        </w:rPr>
        <w:t xml:space="preserve"> </w:t>
      </w:r>
      <w:r w:rsidR="006A55D4">
        <w:rPr>
          <w:rFonts w:ascii="David" w:hAnsi="David" w:cs="David" w:hint="cs"/>
          <w:rtl/>
        </w:rPr>
        <w:t xml:space="preserve">השונות התרבותית </w:t>
      </w:r>
      <w:r w:rsidR="00D73C6E">
        <w:rPr>
          <w:rFonts w:ascii="David" w:hAnsi="David" w:cs="David" w:hint="cs"/>
          <w:rtl/>
        </w:rPr>
        <w:t xml:space="preserve">ובכך </w:t>
      </w:r>
      <w:r w:rsidR="002D3888">
        <w:rPr>
          <w:rFonts w:ascii="David" w:hAnsi="David" w:cs="David" w:hint="cs"/>
          <w:rtl/>
        </w:rPr>
        <w:t>מערערת על הנחת מוצא זו</w:t>
      </w:r>
      <w:r w:rsidR="00617104">
        <w:rPr>
          <w:rFonts w:ascii="David" w:hAnsi="David" w:cs="David" w:hint="cs"/>
          <w:rtl/>
        </w:rPr>
        <w:t xml:space="preserve">. </w:t>
      </w:r>
      <w:r w:rsidR="00062412">
        <w:rPr>
          <w:rFonts w:ascii="David" w:hAnsi="David" w:cs="David" w:hint="cs"/>
          <w:rtl/>
        </w:rPr>
        <w:t>כפועל יוצא</w:t>
      </w:r>
      <w:r w:rsidR="00617104">
        <w:rPr>
          <w:rFonts w:ascii="David" w:hAnsi="David" w:cs="David" w:hint="cs"/>
          <w:rtl/>
        </w:rPr>
        <w:t>,</w:t>
      </w:r>
      <w:r w:rsidR="00367D34">
        <w:rPr>
          <w:rFonts w:ascii="David" w:hAnsi="David" w:cs="David" w:hint="cs"/>
          <w:rtl/>
        </w:rPr>
        <w:t xml:space="preserve"> </w:t>
      </w:r>
      <w:r w:rsidR="002D3888">
        <w:rPr>
          <w:rFonts w:ascii="David" w:hAnsi="David" w:cs="David" w:hint="cs"/>
          <w:rtl/>
        </w:rPr>
        <w:t xml:space="preserve">כללים הנתפסים כניטרליים או אוניברסליים </w:t>
      </w:r>
      <w:r w:rsidR="00611B6D">
        <w:rPr>
          <w:rFonts w:ascii="David" w:hAnsi="David" w:cs="David" w:hint="cs"/>
          <w:rtl/>
        </w:rPr>
        <w:t>עשויים לשאת</w:t>
      </w:r>
      <w:r w:rsidR="002D3888">
        <w:rPr>
          <w:rFonts w:ascii="David" w:hAnsi="David" w:cs="David" w:hint="cs"/>
          <w:rtl/>
        </w:rPr>
        <w:t xml:space="preserve"> עמם מטען תרבותי מסוים</w:t>
      </w:r>
      <w:r w:rsidR="00DD1B58">
        <w:rPr>
          <w:rFonts w:ascii="David" w:hAnsi="David" w:cs="David" w:hint="cs"/>
          <w:rtl/>
        </w:rPr>
        <w:t xml:space="preserve">, </w:t>
      </w:r>
      <w:r w:rsidR="00617104">
        <w:rPr>
          <w:rFonts w:ascii="David" w:hAnsi="David" w:cs="David" w:hint="cs"/>
          <w:rtl/>
        </w:rPr>
        <w:t xml:space="preserve">אשר </w:t>
      </w:r>
      <w:r w:rsidR="00DD1B58">
        <w:rPr>
          <w:rFonts w:ascii="David" w:hAnsi="David" w:cs="David" w:hint="cs"/>
          <w:rtl/>
        </w:rPr>
        <w:t>משקף את הנרטיב של קבוצת הרוב</w:t>
      </w:r>
      <w:r w:rsidR="002D3888">
        <w:rPr>
          <w:rFonts w:ascii="David" w:hAnsi="David" w:cs="David" w:hint="cs"/>
          <w:rtl/>
        </w:rPr>
        <w:t xml:space="preserve">. </w:t>
      </w:r>
      <w:r w:rsidR="007435BB">
        <w:rPr>
          <w:rFonts w:ascii="David" w:hAnsi="David" w:cs="David" w:hint="cs"/>
          <w:rtl/>
        </w:rPr>
        <w:t xml:space="preserve">הן </w:t>
      </w:r>
      <w:r w:rsidR="00787917">
        <w:rPr>
          <w:rFonts w:ascii="David" w:hAnsi="David" w:cs="David" w:hint="cs"/>
          <w:rtl/>
        </w:rPr>
        <w:t xml:space="preserve">פסק הדין והן המשל </w:t>
      </w:r>
      <w:r w:rsidR="003A040D">
        <w:rPr>
          <w:rFonts w:ascii="David" w:hAnsi="David" w:cs="David" w:hint="cs"/>
          <w:rtl/>
        </w:rPr>
        <w:t>"</w:t>
      </w:r>
      <w:r w:rsidR="00787917">
        <w:rPr>
          <w:rFonts w:ascii="David" w:hAnsi="David" w:cs="David" w:hint="cs"/>
          <w:rtl/>
        </w:rPr>
        <w:t xml:space="preserve">השועל והחסידה", ממחישים את הקושי הנובע מההנחה כי הכלל </w:t>
      </w:r>
      <w:r w:rsidR="006F3FF6">
        <w:rPr>
          <w:rFonts w:ascii="David" w:hAnsi="David" w:cs="David" w:hint="cs"/>
          <w:rtl/>
        </w:rPr>
        <w:t xml:space="preserve">שוויוני </w:t>
      </w:r>
      <w:r w:rsidR="003B6C50">
        <w:rPr>
          <w:rFonts w:ascii="David" w:hAnsi="David" w:cs="David" w:hint="cs"/>
          <w:rtl/>
        </w:rPr>
        <w:t xml:space="preserve">עבור </w:t>
      </w:r>
      <w:r w:rsidR="006F3FF6">
        <w:rPr>
          <w:rFonts w:ascii="David" w:hAnsi="David" w:cs="David" w:hint="cs"/>
          <w:rtl/>
        </w:rPr>
        <w:t>כלל הקבוצות בחברה. שכן, בש</w:t>
      </w:r>
      <w:r w:rsidR="00300C85">
        <w:rPr>
          <w:rFonts w:ascii="David" w:hAnsi="David" w:cs="David" w:hint="cs"/>
          <w:rtl/>
        </w:rPr>
        <w:t xml:space="preserve">תי הדוגמאות, </w:t>
      </w:r>
      <w:r w:rsidR="003B6C50">
        <w:rPr>
          <w:rFonts w:ascii="David" w:hAnsi="David" w:cs="David" w:hint="cs"/>
          <w:rtl/>
        </w:rPr>
        <w:t>הכ</w:t>
      </w:r>
      <w:r w:rsidR="00300C85">
        <w:rPr>
          <w:rFonts w:ascii="David" w:hAnsi="David" w:cs="David" w:hint="cs"/>
          <w:rtl/>
        </w:rPr>
        <w:t xml:space="preserve">לל שנקבע נתפס כטבעי וניטרלי עבור מי שיצר אותו, אולם אינו מעניק מענה הולם עבור קבוצה </w:t>
      </w:r>
      <w:r w:rsidR="00735301">
        <w:rPr>
          <w:rFonts w:ascii="David" w:hAnsi="David" w:cs="David" w:hint="cs"/>
          <w:rtl/>
        </w:rPr>
        <w:t xml:space="preserve">בעלת תרבות שונה. </w:t>
      </w:r>
      <w:r w:rsidR="000373B8">
        <w:rPr>
          <w:rFonts w:ascii="David" w:hAnsi="David" w:cs="David" w:hint="cs"/>
          <w:rtl/>
        </w:rPr>
        <w:t xml:space="preserve">בהתאם, לתפיסתי, </w:t>
      </w:r>
      <w:r w:rsidR="00BA6338">
        <w:rPr>
          <w:rFonts w:ascii="David" w:hAnsi="David" w:cs="David" w:hint="cs"/>
          <w:rtl/>
        </w:rPr>
        <w:t xml:space="preserve">הגישה הרב-תרבותית מהווה </w:t>
      </w:r>
      <w:r w:rsidR="003B6C50">
        <w:rPr>
          <w:rFonts w:ascii="David" w:hAnsi="David" w:cs="David" w:hint="cs"/>
          <w:rtl/>
        </w:rPr>
        <w:t>ה</w:t>
      </w:r>
      <w:r w:rsidR="00BB5022">
        <w:rPr>
          <w:rFonts w:ascii="David" w:hAnsi="David" w:cs="David" w:hint="cs"/>
          <w:rtl/>
        </w:rPr>
        <w:t xml:space="preserve">איזון </w:t>
      </w:r>
      <w:r w:rsidR="003B6C50">
        <w:rPr>
          <w:rFonts w:ascii="David" w:hAnsi="David" w:cs="David" w:hint="cs"/>
          <w:rtl/>
        </w:rPr>
        <w:t>ה</w:t>
      </w:r>
      <w:r w:rsidR="00BA6338">
        <w:rPr>
          <w:rFonts w:ascii="David" w:hAnsi="David" w:cs="David" w:hint="cs"/>
          <w:rtl/>
        </w:rPr>
        <w:t>ראוי</w:t>
      </w:r>
      <w:r w:rsidR="0031166D">
        <w:rPr>
          <w:rFonts w:ascii="David" w:hAnsi="David" w:cs="David" w:hint="cs"/>
          <w:rtl/>
        </w:rPr>
        <w:t xml:space="preserve"> בין קבוצות תרבותיות</w:t>
      </w:r>
      <w:r w:rsidR="00A60164">
        <w:rPr>
          <w:rFonts w:ascii="David" w:hAnsi="David" w:cs="David" w:hint="cs"/>
          <w:rtl/>
        </w:rPr>
        <w:t xml:space="preserve"> בחברה</w:t>
      </w:r>
      <w:r w:rsidR="00BA6338">
        <w:rPr>
          <w:rFonts w:ascii="David" w:hAnsi="David" w:cs="David" w:hint="cs"/>
          <w:rtl/>
        </w:rPr>
        <w:t xml:space="preserve">. הכרה בשונות אינה מחייבת קבלת </w:t>
      </w:r>
      <w:r w:rsidR="00601A64">
        <w:rPr>
          <w:rFonts w:ascii="David" w:hAnsi="David" w:cs="David" w:hint="cs"/>
          <w:rtl/>
        </w:rPr>
        <w:t xml:space="preserve">כל פרקטיקה תרבותית, אלא מחייבת איזון של האינטרסים המתנגשים </w:t>
      </w:r>
      <w:r w:rsidR="00A41962">
        <w:rPr>
          <w:rFonts w:ascii="David" w:hAnsi="David" w:cs="David" w:hint="cs"/>
          <w:rtl/>
        </w:rPr>
        <w:t>לפי הנסיבות</w:t>
      </w:r>
      <w:r w:rsidR="00601A64">
        <w:rPr>
          <w:rFonts w:ascii="David" w:hAnsi="David" w:cs="David" w:hint="cs"/>
          <w:rtl/>
        </w:rPr>
        <w:t xml:space="preserve">. </w:t>
      </w:r>
      <w:r w:rsidR="00973D4E">
        <w:rPr>
          <w:rFonts w:ascii="David" w:hAnsi="David" w:cs="David" w:hint="cs"/>
          <w:rtl/>
        </w:rPr>
        <w:t xml:space="preserve">הגנה על זהותה של </w:t>
      </w:r>
      <w:r w:rsidR="00A41962">
        <w:rPr>
          <w:rFonts w:ascii="David" w:hAnsi="David" w:cs="David" w:hint="cs"/>
          <w:rtl/>
        </w:rPr>
        <w:t>קבוצה</w:t>
      </w:r>
      <w:r w:rsidR="00973D4E">
        <w:rPr>
          <w:rFonts w:ascii="David" w:hAnsi="David" w:cs="David" w:hint="cs"/>
          <w:rtl/>
        </w:rPr>
        <w:t xml:space="preserve">, </w:t>
      </w:r>
      <w:r w:rsidR="00373F40">
        <w:rPr>
          <w:rFonts w:ascii="David" w:hAnsi="David" w:cs="David" w:hint="cs"/>
          <w:rtl/>
        </w:rPr>
        <w:t>אינה גורעת מ</w:t>
      </w:r>
      <w:r w:rsidR="00973D4E">
        <w:rPr>
          <w:rFonts w:ascii="David" w:hAnsi="David" w:cs="David" w:hint="cs"/>
          <w:rtl/>
        </w:rPr>
        <w:t xml:space="preserve">שמירת ערכי היסוד של חברה דמוקרטית. </w:t>
      </w:r>
      <w:r w:rsidR="00D24E30">
        <w:rPr>
          <w:rFonts w:ascii="David" w:hAnsi="David" w:cs="David" w:hint="cs"/>
          <w:rtl/>
        </w:rPr>
        <w:t>יתרה מכך,</w:t>
      </w:r>
      <w:r w:rsidR="006645A8">
        <w:rPr>
          <w:rFonts w:ascii="David" w:hAnsi="David" w:cs="David" w:hint="cs"/>
          <w:rtl/>
        </w:rPr>
        <w:t xml:space="preserve"> </w:t>
      </w:r>
      <w:r w:rsidR="00373F40">
        <w:rPr>
          <w:rFonts w:ascii="David" w:hAnsi="David" w:cs="David" w:hint="cs"/>
          <w:rtl/>
        </w:rPr>
        <w:t xml:space="preserve">גישה זו אינה מבקשת להעניק </w:t>
      </w:r>
      <w:r w:rsidR="006F608A">
        <w:rPr>
          <w:rFonts w:ascii="David" w:hAnsi="David" w:cs="David" w:hint="cs"/>
          <w:rtl/>
        </w:rPr>
        <w:t xml:space="preserve">לקבוצות המיעוט זכויות יתר, אלא </w:t>
      </w:r>
      <w:r w:rsidR="003C2B86" w:rsidRPr="003C2B86">
        <w:rPr>
          <w:rFonts w:ascii="David" w:hAnsi="David" w:cs="David"/>
          <w:rtl/>
        </w:rPr>
        <w:t>למנוע את עיצובו של המרחב הציבורי בהתאם לערכיה של תרבות הרוב</w:t>
      </w:r>
      <w:r w:rsidR="00EF2A04">
        <w:rPr>
          <w:rFonts w:ascii="David" w:hAnsi="David" w:cs="David" w:hint="cs"/>
          <w:rtl/>
        </w:rPr>
        <w:t xml:space="preserve"> בלבד</w:t>
      </w:r>
      <w:r w:rsidR="003C2B86" w:rsidRPr="003C2B86">
        <w:rPr>
          <w:rFonts w:ascii="David" w:hAnsi="David" w:cs="David"/>
        </w:rPr>
        <w:t>.</w:t>
      </w:r>
      <w:r w:rsidR="004E38A3">
        <w:rPr>
          <w:rFonts w:ascii="David" w:hAnsi="David" w:cs="David" w:hint="cs"/>
          <w:rtl/>
        </w:rPr>
        <w:t xml:space="preserve"> </w:t>
      </w:r>
      <w:r w:rsidR="003F3F1D">
        <w:rPr>
          <w:rFonts w:ascii="David" w:hAnsi="David" w:cs="David" w:hint="cs"/>
          <w:rtl/>
        </w:rPr>
        <w:t xml:space="preserve">תפקידה של המדינה, ובית המשפט בפרט, </w:t>
      </w:r>
      <w:r w:rsidR="009330FD">
        <w:rPr>
          <w:rFonts w:ascii="David" w:hAnsi="David" w:cs="David" w:hint="cs"/>
          <w:rtl/>
        </w:rPr>
        <w:t>הוא להבטיח שוויון מהותי בין כלל הקבוצות התרבותיות.</w:t>
      </w:r>
    </w:p>
    <w:p w14:paraId="0E90C1DD" w14:textId="30AF6DE3" w:rsidR="00FC3A85" w:rsidRPr="00EA410D" w:rsidRDefault="00D940F1" w:rsidP="00F55F84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חלק ב'</w:t>
      </w:r>
      <w:r w:rsidR="002141B5">
        <w:rPr>
          <w:rFonts w:ascii="David" w:hAnsi="David" w:cs="David" w:hint="cs"/>
          <w:b/>
          <w:bCs/>
          <w:rtl/>
        </w:rPr>
        <w:t>:</w:t>
      </w:r>
      <w:r w:rsidR="00FC3A85">
        <w:rPr>
          <w:rFonts w:ascii="David" w:hAnsi="David" w:cs="David" w:hint="cs"/>
          <w:b/>
          <w:bCs/>
          <w:rtl/>
        </w:rPr>
        <w:t xml:space="preserve"> </w:t>
      </w:r>
      <w:r w:rsidR="006121EE" w:rsidRPr="006C3BCD">
        <w:rPr>
          <w:rFonts w:ascii="David" w:hAnsi="David" w:cs="David" w:hint="cs"/>
          <w:highlight w:val="yellow"/>
          <w:rtl/>
        </w:rPr>
        <w:t xml:space="preserve">האם החלטה המבוססת על מקסום התועלת המצרפית מהווה חלוקה צודקת של משאבי בריאות מוגבלים, או שמא עלולה להוביל לפגיעה בלתי מידתית </w:t>
      </w:r>
      <w:r w:rsidR="002A74D9">
        <w:rPr>
          <w:rFonts w:ascii="David" w:hAnsi="David" w:cs="David" w:hint="cs"/>
          <w:highlight w:val="yellow"/>
          <w:rtl/>
        </w:rPr>
        <w:t>בפרטים הנותרים</w:t>
      </w:r>
      <w:r w:rsidR="00BB123C" w:rsidRPr="006C3BCD">
        <w:rPr>
          <w:rFonts w:ascii="David" w:hAnsi="David" w:cs="David" w:hint="cs"/>
          <w:highlight w:val="yellow"/>
          <w:rtl/>
        </w:rPr>
        <w:t xml:space="preserve"> מחוץ לסל?</w:t>
      </w:r>
    </w:p>
    <w:p w14:paraId="5912A02D" w14:textId="18685C00" w:rsidR="00BB123C" w:rsidRDefault="00682B81" w:rsidP="00F55F84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מדי שנה נדרשת הוועדה הציבורית להרחבת סל שירותי הבריאות (להלן</w:t>
      </w:r>
      <w:r w:rsidR="00244B2A">
        <w:rPr>
          <w:rFonts w:ascii="David" w:hAnsi="David" w:cs="David" w:hint="cs"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="0093155B">
        <w:rPr>
          <w:rFonts w:ascii="David" w:hAnsi="David" w:cs="David" w:hint="cs"/>
          <w:rtl/>
        </w:rPr>
        <w:t>ה</w:t>
      </w:r>
      <w:r w:rsidR="00F15152">
        <w:rPr>
          <w:rFonts w:ascii="David" w:hAnsi="David" w:cs="David" w:hint="cs"/>
          <w:rtl/>
        </w:rPr>
        <w:t>וועדה</w:t>
      </w:r>
      <w:r>
        <w:rPr>
          <w:rFonts w:ascii="David" w:hAnsi="David" w:cs="David" w:hint="cs"/>
          <w:rtl/>
        </w:rPr>
        <w:t>)</w:t>
      </w:r>
      <w:r w:rsidR="002513A9">
        <w:rPr>
          <w:rFonts w:ascii="David" w:hAnsi="David" w:cs="David" w:hint="cs"/>
          <w:rtl/>
        </w:rPr>
        <w:t xml:space="preserve"> להכריע אילו תרופות וטכנולוגיות רפואיות ייכללו בסל הבריאות הציבורי. </w:t>
      </w:r>
      <w:r w:rsidR="002459F3">
        <w:rPr>
          <w:rFonts w:ascii="David" w:hAnsi="David" w:cs="David" w:hint="cs"/>
          <w:rtl/>
        </w:rPr>
        <w:t>הכרעה זו כבולה למסגרת תקציב מוגבלת</w:t>
      </w:r>
      <w:r w:rsidR="00CB54CC">
        <w:rPr>
          <w:rFonts w:ascii="David" w:hAnsi="David" w:cs="David" w:hint="cs"/>
          <w:rtl/>
        </w:rPr>
        <w:t>,</w:t>
      </w:r>
      <w:r w:rsidR="002459F3">
        <w:rPr>
          <w:rFonts w:ascii="David" w:hAnsi="David" w:cs="David" w:hint="cs"/>
          <w:rtl/>
        </w:rPr>
        <w:t xml:space="preserve"> הנקבעת על-ידי הממשלה</w:t>
      </w:r>
      <w:r w:rsidR="00427447">
        <w:rPr>
          <w:rFonts w:ascii="David" w:hAnsi="David" w:cs="David" w:hint="cs"/>
          <w:rtl/>
        </w:rPr>
        <w:t>,</w:t>
      </w:r>
      <w:r w:rsidR="00244B2A">
        <w:rPr>
          <w:rFonts w:ascii="David" w:hAnsi="David" w:cs="David" w:hint="cs"/>
          <w:rtl/>
        </w:rPr>
        <w:t xml:space="preserve"> </w:t>
      </w:r>
      <w:r w:rsidR="00427447">
        <w:rPr>
          <w:rFonts w:ascii="David" w:hAnsi="David" w:cs="David" w:hint="cs"/>
          <w:rtl/>
        </w:rPr>
        <w:t>ו</w:t>
      </w:r>
      <w:r w:rsidR="00244B2A">
        <w:rPr>
          <w:rFonts w:ascii="David" w:hAnsi="David" w:cs="David" w:hint="cs"/>
          <w:rtl/>
        </w:rPr>
        <w:t>בהתאם לחוק ביטוח בריאות ממלכתי,</w:t>
      </w:r>
      <w:r w:rsidR="00E4101F">
        <w:rPr>
          <w:rStyle w:val="FootnoteReference"/>
          <w:rFonts w:ascii="David" w:hAnsi="David" w:cs="David"/>
          <w:rtl/>
        </w:rPr>
        <w:footnoteReference w:id="21"/>
      </w:r>
      <w:r w:rsidR="00244B2A">
        <w:rPr>
          <w:rFonts w:ascii="David" w:hAnsi="David" w:cs="David" w:hint="cs"/>
          <w:rtl/>
        </w:rPr>
        <w:t xml:space="preserve"> המעגן את עקרונות היסוד של מערכת הבריאות</w:t>
      </w:r>
      <w:r w:rsidR="002459F3">
        <w:rPr>
          <w:rFonts w:ascii="David" w:hAnsi="David" w:cs="David" w:hint="cs"/>
          <w:rtl/>
        </w:rPr>
        <w:t xml:space="preserve">. </w:t>
      </w:r>
      <w:r w:rsidR="00F3569A">
        <w:rPr>
          <w:rFonts w:ascii="David" w:hAnsi="David" w:cs="David" w:hint="cs"/>
          <w:rtl/>
        </w:rPr>
        <w:t xml:space="preserve">עקרונות אלו אמנם כוללים </w:t>
      </w:r>
      <w:r w:rsidR="001B7175">
        <w:rPr>
          <w:rFonts w:ascii="David" w:hAnsi="David" w:cs="David" w:hint="cs"/>
          <w:rtl/>
        </w:rPr>
        <w:t xml:space="preserve">ערכי צדק </w:t>
      </w:r>
      <w:r w:rsidR="00093BD1">
        <w:rPr>
          <w:rFonts w:ascii="David" w:hAnsi="David" w:cs="David" w:hint="cs"/>
          <w:rtl/>
        </w:rPr>
        <w:t>ו</w:t>
      </w:r>
      <w:r w:rsidR="001B7175">
        <w:rPr>
          <w:rFonts w:ascii="David" w:hAnsi="David" w:cs="David" w:hint="cs"/>
          <w:rtl/>
        </w:rPr>
        <w:t>שוויון</w:t>
      </w:r>
      <w:r w:rsidR="00093BD1">
        <w:rPr>
          <w:rFonts w:ascii="David" w:hAnsi="David" w:cs="David" w:hint="cs"/>
          <w:rtl/>
        </w:rPr>
        <w:t xml:space="preserve">, אך </w:t>
      </w:r>
      <w:r w:rsidR="00406A42">
        <w:rPr>
          <w:rFonts w:ascii="David" w:hAnsi="David" w:cs="David" w:hint="cs"/>
          <w:rtl/>
        </w:rPr>
        <w:t xml:space="preserve">בשל </w:t>
      </w:r>
      <w:r w:rsidR="0045608C">
        <w:rPr>
          <w:rFonts w:ascii="David" w:hAnsi="David" w:cs="David" w:hint="cs"/>
          <w:rtl/>
        </w:rPr>
        <w:t xml:space="preserve">משאבים תקציביים, </w:t>
      </w:r>
      <w:r w:rsidR="00F15152">
        <w:rPr>
          <w:rFonts w:ascii="David" w:hAnsi="David" w:cs="David" w:hint="cs"/>
          <w:rtl/>
        </w:rPr>
        <w:t>הוועדה</w:t>
      </w:r>
      <w:r w:rsidR="0045608C">
        <w:rPr>
          <w:rFonts w:ascii="David" w:hAnsi="David" w:cs="David" w:hint="cs"/>
          <w:rtl/>
        </w:rPr>
        <w:t xml:space="preserve"> נדרשת לאזן זאת עם שיקול</w:t>
      </w:r>
      <w:r w:rsidR="00F6069F">
        <w:rPr>
          <w:rFonts w:ascii="David" w:hAnsi="David" w:cs="David" w:hint="cs"/>
          <w:rtl/>
        </w:rPr>
        <w:t>י יעילות ותועלת ציבורית</w:t>
      </w:r>
      <w:r w:rsidR="0045608C">
        <w:rPr>
          <w:rFonts w:ascii="David" w:hAnsi="David" w:cs="David" w:hint="cs"/>
          <w:rtl/>
        </w:rPr>
        <w:t>.</w:t>
      </w:r>
      <w:r w:rsidR="00325BC6">
        <w:rPr>
          <w:rStyle w:val="FootnoteReference"/>
          <w:rFonts w:ascii="David" w:hAnsi="David" w:cs="David"/>
          <w:rtl/>
        </w:rPr>
        <w:footnoteReference w:id="22"/>
      </w:r>
      <w:r w:rsidR="0045608C">
        <w:rPr>
          <w:rFonts w:ascii="David" w:hAnsi="David" w:cs="David" w:hint="cs"/>
          <w:rtl/>
        </w:rPr>
        <w:t xml:space="preserve"> </w:t>
      </w:r>
      <w:r w:rsidR="00EC59B1">
        <w:rPr>
          <w:rFonts w:ascii="David" w:hAnsi="David" w:cs="David" w:hint="cs"/>
          <w:rtl/>
        </w:rPr>
        <w:t xml:space="preserve">שכן, הרחבת סל הבריאות משמעותה הקטנת המשאבים עבור אינטרסים מתחרים, כגון חינוך או </w:t>
      </w:r>
      <w:r w:rsidR="00073FF5">
        <w:rPr>
          <w:rFonts w:ascii="David" w:hAnsi="David" w:cs="David" w:hint="cs"/>
          <w:rtl/>
        </w:rPr>
        <w:t xml:space="preserve">ביטחון. </w:t>
      </w:r>
      <w:r w:rsidR="00C57406">
        <w:rPr>
          <w:rFonts w:ascii="David" w:hAnsi="David" w:cs="David" w:hint="cs"/>
          <w:rtl/>
        </w:rPr>
        <w:t>בשנת 2026</w:t>
      </w:r>
      <w:r w:rsidR="009B7691">
        <w:rPr>
          <w:rFonts w:ascii="David" w:hAnsi="David" w:cs="David" w:hint="cs"/>
          <w:rtl/>
        </w:rPr>
        <w:t xml:space="preserve"> עמד התקציב השנתי על 650 מיליון ש"ח</w:t>
      </w:r>
      <w:r w:rsidR="00650722">
        <w:rPr>
          <w:rFonts w:ascii="David" w:hAnsi="David" w:cs="David" w:hint="cs"/>
          <w:rtl/>
        </w:rPr>
        <w:t xml:space="preserve"> </w:t>
      </w:r>
      <w:r w:rsidR="00DF1EA3">
        <w:rPr>
          <w:rFonts w:ascii="David" w:hAnsi="David" w:cs="David" w:hint="cs"/>
          <w:rtl/>
        </w:rPr>
        <w:t>ו</w:t>
      </w:r>
      <w:r w:rsidR="00650722">
        <w:rPr>
          <w:rFonts w:ascii="David" w:hAnsi="David" w:cs="David" w:hint="cs"/>
          <w:rtl/>
        </w:rPr>
        <w:t xml:space="preserve">הוגשו למעלה מ-600 תרופות וטכנולוגיות רפואיות </w:t>
      </w:r>
      <w:r w:rsidR="008C49D3">
        <w:rPr>
          <w:rFonts w:ascii="David" w:hAnsi="David" w:cs="David" w:hint="cs"/>
          <w:rtl/>
        </w:rPr>
        <w:t>אשר עלותן עומדת על כחמישה מיליארד ש"ח.</w:t>
      </w:r>
      <w:r w:rsidR="00325BC6">
        <w:rPr>
          <w:rStyle w:val="FootnoteReference"/>
          <w:rFonts w:ascii="David" w:hAnsi="David" w:cs="David"/>
          <w:rtl/>
        </w:rPr>
        <w:footnoteReference w:id="23"/>
      </w:r>
      <w:r w:rsidR="008C49D3">
        <w:rPr>
          <w:rFonts w:ascii="David" w:hAnsi="David" w:cs="David" w:hint="cs"/>
          <w:rtl/>
        </w:rPr>
        <w:t xml:space="preserve"> לאור האמור, </w:t>
      </w:r>
      <w:r w:rsidR="007457D7">
        <w:rPr>
          <w:rFonts w:ascii="David" w:hAnsi="David" w:cs="David" w:hint="cs"/>
          <w:rtl/>
        </w:rPr>
        <w:t xml:space="preserve">כל החלטה מטעם </w:t>
      </w:r>
      <w:r w:rsidR="00F15152">
        <w:rPr>
          <w:rFonts w:ascii="David" w:hAnsi="David" w:cs="David" w:hint="cs"/>
          <w:rtl/>
        </w:rPr>
        <w:t>הוועדה</w:t>
      </w:r>
      <w:r w:rsidR="007457D7">
        <w:rPr>
          <w:rFonts w:ascii="David" w:hAnsi="David" w:cs="David" w:hint="cs"/>
          <w:rtl/>
        </w:rPr>
        <w:t xml:space="preserve"> תגרור לוויתור על תרופות אחרות, אשר עשויות להציל חיי אדם או להקל על כאבם. </w:t>
      </w:r>
    </w:p>
    <w:p w14:paraId="2D81AA7C" w14:textId="251BCB99" w:rsidR="00345559" w:rsidRDefault="00590171" w:rsidP="00F55F84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סוגייה זו עומדת בליבה של תיאוריית התועלתנות. </w:t>
      </w:r>
      <w:r w:rsidR="00FE56CD">
        <w:rPr>
          <w:rFonts w:ascii="David" w:hAnsi="David" w:cs="David" w:hint="cs"/>
          <w:rtl/>
        </w:rPr>
        <w:t xml:space="preserve">לפי </w:t>
      </w:r>
      <w:r w:rsidR="002A74D9">
        <w:rPr>
          <w:rFonts w:ascii="David" w:hAnsi="David" w:cs="David" w:hint="cs"/>
          <w:rtl/>
        </w:rPr>
        <w:t>בנת</w:t>
      </w:r>
      <w:r w:rsidR="002A74D9">
        <w:rPr>
          <w:rFonts w:ascii="David" w:hAnsi="David" w:cs="David"/>
          <w:rtl/>
        </w:rPr>
        <w:t>’</w:t>
      </w:r>
      <w:r w:rsidR="002A74D9">
        <w:rPr>
          <w:rFonts w:ascii="David" w:hAnsi="David" w:cs="David" w:hint="cs"/>
          <w:rtl/>
        </w:rPr>
        <w:t>ם</w:t>
      </w:r>
      <w:r w:rsidR="00FE56CD">
        <w:rPr>
          <w:rFonts w:ascii="David" w:hAnsi="David" w:cs="David" w:hint="cs"/>
          <w:rtl/>
        </w:rPr>
        <w:t xml:space="preserve">, </w:t>
      </w:r>
      <w:r w:rsidR="005F52E0">
        <w:rPr>
          <w:rFonts w:ascii="David" w:hAnsi="David" w:cs="David" w:hint="cs"/>
          <w:rtl/>
        </w:rPr>
        <w:t>נקודת המוצא של תיאוריה זו היא שמוסריותם של מעשים</w:t>
      </w:r>
      <w:r w:rsidR="00B736A8">
        <w:rPr>
          <w:rFonts w:ascii="David" w:hAnsi="David" w:cs="David" w:hint="cs"/>
          <w:rtl/>
        </w:rPr>
        <w:t>, מדיניות ומוסדות</w:t>
      </w:r>
      <w:r w:rsidR="002C390D">
        <w:rPr>
          <w:rFonts w:ascii="David" w:hAnsi="David" w:cs="David" w:hint="cs"/>
          <w:rtl/>
        </w:rPr>
        <w:t xml:space="preserve"> נמדד</w:t>
      </w:r>
      <w:r w:rsidR="00D66850">
        <w:rPr>
          <w:rFonts w:ascii="David" w:hAnsi="David" w:cs="David" w:hint="cs"/>
          <w:rtl/>
        </w:rPr>
        <w:t>ת</w:t>
      </w:r>
      <w:r w:rsidR="002C390D">
        <w:rPr>
          <w:rFonts w:ascii="David" w:hAnsi="David" w:cs="David" w:hint="cs"/>
          <w:rtl/>
        </w:rPr>
        <w:t xml:space="preserve"> לפי התוצאות הנוצרות בפועל. </w:t>
      </w:r>
      <w:r w:rsidR="003D42C9">
        <w:rPr>
          <w:rFonts w:ascii="David" w:hAnsi="David" w:cs="David" w:hint="cs"/>
          <w:rtl/>
        </w:rPr>
        <w:t>כפועל יוצא</w:t>
      </w:r>
      <w:r w:rsidR="002C390D">
        <w:rPr>
          <w:rFonts w:ascii="David" w:hAnsi="David" w:cs="David" w:hint="cs"/>
          <w:rtl/>
        </w:rPr>
        <w:t xml:space="preserve">, </w:t>
      </w:r>
      <w:r w:rsidR="00B61F04">
        <w:rPr>
          <w:rFonts w:ascii="David" w:hAnsi="David" w:cs="David" w:hint="cs"/>
          <w:rtl/>
        </w:rPr>
        <w:t>מוסריותה של פעולה אינה נקבעת על-פי עצם קיומם של כללים מוסריים או זכויות.</w:t>
      </w:r>
      <w:r w:rsidR="005B6A3F">
        <w:rPr>
          <w:rFonts w:ascii="David" w:hAnsi="David" w:cs="David" w:hint="cs"/>
          <w:rtl/>
        </w:rPr>
        <w:t xml:space="preserve"> בהתאם, </w:t>
      </w:r>
      <w:r w:rsidR="006954D5" w:rsidRPr="006954D5">
        <w:rPr>
          <w:rFonts w:ascii="David" w:hAnsi="David" w:cs="David"/>
          <w:rtl/>
        </w:rPr>
        <w:t>פעולה תיחשב ראויה מבחינה מוסרית אם היא מובילה למ</w:t>
      </w:r>
      <w:r w:rsidR="006954D5">
        <w:rPr>
          <w:rFonts w:ascii="David" w:hAnsi="David" w:cs="David" w:hint="cs"/>
          <w:rtl/>
        </w:rPr>
        <w:t>י</w:t>
      </w:r>
      <w:r w:rsidR="006954D5" w:rsidRPr="006954D5">
        <w:rPr>
          <w:rFonts w:ascii="David" w:hAnsi="David" w:cs="David"/>
          <w:rtl/>
        </w:rPr>
        <w:t>קסום התועלת, המתבטאת בהשגת מירב האושר והרווחה עבור כלל האנשים המושפעים ממנה</w:t>
      </w:r>
      <w:r w:rsidR="006954D5" w:rsidRPr="006954D5">
        <w:rPr>
          <w:rFonts w:ascii="David" w:hAnsi="David" w:cs="David"/>
        </w:rPr>
        <w:t>.</w:t>
      </w:r>
      <w:r w:rsidR="00D5118D">
        <w:rPr>
          <w:rFonts w:ascii="David" w:hAnsi="David" w:cs="David" w:hint="cs"/>
          <w:rtl/>
        </w:rPr>
        <w:t xml:space="preserve"> מאפיין </w:t>
      </w:r>
      <w:r w:rsidR="009C0D42">
        <w:rPr>
          <w:rFonts w:ascii="David" w:hAnsi="David" w:cs="David" w:hint="cs"/>
          <w:rtl/>
        </w:rPr>
        <w:t xml:space="preserve">מהותי נוסף של תיאוריה זו הוא עקרון המקסימיזציה. לפיו, </w:t>
      </w:r>
      <w:r w:rsidR="009B70B9" w:rsidRPr="009B70B9">
        <w:rPr>
          <w:rFonts w:ascii="David" w:hAnsi="David" w:cs="David"/>
          <w:rtl/>
        </w:rPr>
        <w:t>כאשר ניצבות מספר חלופות אפשריות, יש להעדיף את זו אשר תניב את התועלת המצרפית הגבוהה ביותר</w:t>
      </w:r>
      <w:r w:rsidR="009B70B9" w:rsidRPr="009B70B9">
        <w:rPr>
          <w:rFonts w:ascii="David" w:hAnsi="David" w:cs="David"/>
        </w:rPr>
        <w:t>.</w:t>
      </w:r>
      <w:r w:rsidR="00102F22">
        <w:rPr>
          <w:rStyle w:val="FootnoteReference"/>
          <w:rFonts w:ascii="David" w:hAnsi="David" w:cs="David"/>
          <w:rtl/>
        </w:rPr>
        <w:footnoteReference w:id="24"/>
      </w:r>
      <w:r w:rsidR="00045B48">
        <w:rPr>
          <w:rFonts w:ascii="David" w:hAnsi="David" w:cs="David" w:hint="cs"/>
          <w:rtl/>
        </w:rPr>
        <w:t xml:space="preserve"> </w:t>
      </w:r>
      <w:r w:rsidR="00345559">
        <w:rPr>
          <w:rFonts w:ascii="David" w:hAnsi="David" w:cs="David" w:hint="cs"/>
          <w:rtl/>
        </w:rPr>
        <w:t xml:space="preserve">תיאוריה זו באה לידי ביטוי </w:t>
      </w:r>
      <w:r w:rsidR="00891867">
        <w:rPr>
          <w:rFonts w:ascii="David" w:hAnsi="David" w:cs="David" w:hint="cs"/>
          <w:rtl/>
        </w:rPr>
        <w:t>בהחלטותיה</w:t>
      </w:r>
      <w:r w:rsidR="00345559">
        <w:rPr>
          <w:rFonts w:ascii="David" w:hAnsi="David" w:cs="David" w:hint="cs"/>
          <w:rtl/>
        </w:rPr>
        <w:t xml:space="preserve"> של </w:t>
      </w:r>
      <w:r w:rsidR="00F15152">
        <w:rPr>
          <w:rFonts w:ascii="David" w:hAnsi="David" w:cs="David" w:hint="cs"/>
          <w:rtl/>
        </w:rPr>
        <w:t>הוועדה</w:t>
      </w:r>
      <w:r w:rsidR="00345559">
        <w:rPr>
          <w:rFonts w:ascii="David" w:hAnsi="David" w:cs="David" w:hint="cs"/>
          <w:rtl/>
        </w:rPr>
        <w:t xml:space="preserve">. </w:t>
      </w:r>
      <w:r w:rsidR="00505472" w:rsidRPr="00505472">
        <w:rPr>
          <w:rFonts w:ascii="David" w:hAnsi="David" w:cs="David"/>
          <w:rtl/>
        </w:rPr>
        <w:t>לנוכח המשאבים הציבוריים המוגבלים, הוועדה אינה יכולה לאשר את כלל התרופות והטכנולוגיות הרפואיות המוצעות לה</w:t>
      </w:r>
      <w:r w:rsidR="00B252E2">
        <w:rPr>
          <w:rFonts w:ascii="David" w:hAnsi="David" w:cs="David" w:hint="cs"/>
          <w:rtl/>
        </w:rPr>
        <w:t>, שכן הצרכים הרפואיים עולים במידה ניכרת על התקציב העומד לרשותה</w:t>
      </w:r>
      <w:r w:rsidR="00505472" w:rsidRPr="00505472">
        <w:rPr>
          <w:rFonts w:ascii="David" w:hAnsi="David" w:cs="David"/>
          <w:rtl/>
        </w:rPr>
        <w:t xml:space="preserve">. </w:t>
      </w:r>
      <w:r w:rsidR="002B4BD6">
        <w:rPr>
          <w:rFonts w:ascii="David" w:hAnsi="David" w:cs="David" w:hint="cs"/>
          <w:rtl/>
        </w:rPr>
        <w:t xml:space="preserve">במסגרת כך, </w:t>
      </w:r>
      <w:r w:rsidR="00F15152">
        <w:rPr>
          <w:rFonts w:ascii="David" w:hAnsi="David" w:cs="David" w:hint="cs"/>
          <w:rtl/>
        </w:rPr>
        <w:t>הוועדה</w:t>
      </w:r>
      <w:r w:rsidR="00505472" w:rsidRPr="00505472">
        <w:rPr>
          <w:rFonts w:ascii="David" w:hAnsi="David" w:cs="David"/>
          <w:rtl/>
        </w:rPr>
        <w:t xml:space="preserve"> </w:t>
      </w:r>
      <w:r w:rsidR="004972C2">
        <w:rPr>
          <w:rFonts w:ascii="David" w:hAnsi="David" w:cs="David" w:hint="cs"/>
          <w:rtl/>
        </w:rPr>
        <w:t>אינה בוחנת כל תרופה במנותק</w:t>
      </w:r>
      <w:r w:rsidR="00264844">
        <w:rPr>
          <w:rFonts w:ascii="David" w:hAnsi="David" w:cs="David" w:hint="cs"/>
          <w:rtl/>
        </w:rPr>
        <w:t xml:space="preserve">, אלא </w:t>
      </w:r>
      <w:r w:rsidR="00505472" w:rsidRPr="00505472">
        <w:rPr>
          <w:rFonts w:ascii="David" w:hAnsi="David" w:cs="David"/>
          <w:rtl/>
        </w:rPr>
        <w:t>נדרשת ל</w:t>
      </w:r>
      <w:r w:rsidR="00F81DBB">
        <w:rPr>
          <w:rFonts w:ascii="David" w:hAnsi="David" w:cs="David" w:hint="cs"/>
          <w:rtl/>
        </w:rPr>
        <w:t>השוות בין כלל</w:t>
      </w:r>
      <w:r w:rsidR="00505472" w:rsidRPr="00505472">
        <w:rPr>
          <w:rFonts w:ascii="David" w:hAnsi="David" w:cs="David"/>
          <w:rtl/>
        </w:rPr>
        <w:t xml:space="preserve"> </w:t>
      </w:r>
      <w:r w:rsidR="00264844">
        <w:rPr>
          <w:rFonts w:ascii="David" w:hAnsi="David" w:cs="David" w:hint="cs"/>
          <w:rtl/>
        </w:rPr>
        <w:t>ה</w:t>
      </w:r>
      <w:r w:rsidR="00505472" w:rsidRPr="00505472">
        <w:rPr>
          <w:rFonts w:ascii="David" w:hAnsi="David" w:cs="David"/>
          <w:rtl/>
        </w:rPr>
        <w:t>חלופ</w:t>
      </w:r>
      <w:r w:rsidR="00F81DBB">
        <w:rPr>
          <w:rFonts w:ascii="David" w:hAnsi="David" w:cs="David" w:hint="cs"/>
          <w:rtl/>
        </w:rPr>
        <w:t>ו</w:t>
      </w:r>
      <w:r w:rsidR="00505472" w:rsidRPr="00505472">
        <w:rPr>
          <w:rFonts w:ascii="David" w:hAnsi="David" w:cs="David"/>
          <w:rtl/>
        </w:rPr>
        <w:t>ת</w:t>
      </w:r>
      <w:r w:rsidR="00264844">
        <w:rPr>
          <w:rFonts w:ascii="David" w:hAnsi="David" w:cs="David" w:hint="cs"/>
          <w:rtl/>
        </w:rPr>
        <w:t xml:space="preserve"> האפשריות</w:t>
      </w:r>
      <w:r w:rsidR="00505472" w:rsidRPr="00505472">
        <w:rPr>
          <w:rFonts w:ascii="David" w:hAnsi="David" w:cs="David"/>
          <w:rtl/>
        </w:rPr>
        <w:t xml:space="preserve"> </w:t>
      </w:r>
      <w:r w:rsidR="00264844">
        <w:rPr>
          <w:rFonts w:ascii="David" w:hAnsi="David" w:cs="David" w:hint="cs"/>
          <w:rtl/>
        </w:rPr>
        <w:t>ול</w:t>
      </w:r>
      <w:r w:rsidR="00264844" w:rsidRPr="00505472">
        <w:rPr>
          <w:rFonts w:ascii="David" w:hAnsi="David" w:cs="David"/>
          <w:rtl/>
        </w:rPr>
        <w:t xml:space="preserve">הכריע </w:t>
      </w:r>
      <w:r w:rsidR="007B7786">
        <w:rPr>
          <w:rFonts w:ascii="David" w:hAnsi="David" w:cs="David" w:hint="cs"/>
          <w:rtl/>
        </w:rPr>
        <w:t>בחלופת ה</w:t>
      </w:r>
      <w:r w:rsidR="00505472" w:rsidRPr="00505472">
        <w:rPr>
          <w:rFonts w:ascii="David" w:hAnsi="David" w:cs="David"/>
          <w:rtl/>
        </w:rPr>
        <w:t xml:space="preserve">הקצאה </w:t>
      </w:r>
      <w:r w:rsidR="007B7786">
        <w:rPr>
          <w:rFonts w:ascii="David" w:hAnsi="David" w:cs="David" w:hint="cs"/>
          <w:rtl/>
        </w:rPr>
        <w:t xml:space="preserve">אשר </w:t>
      </w:r>
      <w:r w:rsidR="00505472" w:rsidRPr="00505472">
        <w:rPr>
          <w:rFonts w:ascii="David" w:hAnsi="David" w:cs="David"/>
          <w:rtl/>
        </w:rPr>
        <w:t>תוביל לתועלת המרבית עבור הציבור כולו</w:t>
      </w:r>
      <w:r w:rsidR="00505472" w:rsidRPr="00505472">
        <w:rPr>
          <w:rFonts w:ascii="David" w:hAnsi="David" w:cs="David"/>
        </w:rPr>
        <w:t>.</w:t>
      </w:r>
      <w:r w:rsidR="0027493A">
        <w:rPr>
          <w:rFonts w:ascii="David" w:hAnsi="David" w:cs="David" w:hint="cs"/>
          <w:rtl/>
        </w:rPr>
        <w:t xml:space="preserve"> </w:t>
      </w:r>
      <w:r w:rsidR="008C17CD" w:rsidRPr="008C17CD">
        <w:rPr>
          <w:rFonts w:ascii="David" w:hAnsi="David" w:cs="David"/>
          <w:rtl/>
        </w:rPr>
        <w:t>במסגרת בחינה זו נשקלים, בין היתר, חומרת המחלה, יעילות הטיפול, קיומן של חלופות טיפוליות, השפעת הטכנולוגיה על איכות ותוחלת החיים ועלותה הכלכלית.</w:t>
      </w:r>
      <w:r w:rsidR="009A32A8">
        <w:rPr>
          <w:rStyle w:val="FootnoteReference"/>
          <w:rFonts w:ascii="David" w:hAnsi="David" w:cs="David"/>
          <w:rtl/>
        </w:rPr>
        <w:footnoteReference w:id="25"/>
      </w:r>
      <w:r w:rsidR="008C17CD" w:rsidRPr="008C17CD">
        <w:rPr>
          <w:rFonts w:ascii="David" w:hAnsi="David" w:cs="David"/>
          <w:rtl/>
        </w:rPr>
        <w:t xml:space="preserve"> מכלול שיקולים זה נועד לאפשר לוועדה להעריך איזו חלופת הקצאה תוביל לתועלת הציבורית הגבוהה ביותר במסגרת התקציב הנתון</w:t>
      </w:r>
      <w:r w:rsidR="008C17CD" w:rsidRPr="008C17CD">
        <w:rPr>
          <w:rFonts w:ascii="David" w:hAnsi="David" w:cs="David"/>
        </w:rPr>
        <w:t>.</w:t>
      </w:r>
      <w:r w:rsidR="008C17CD">
        <w:rPr>
          <w:rFonts w:ascii="David" w:hAnsi="David" w:cs="David" w:hint="cs"/>
          <w:rtl/>
        </w:rPr>
        <w:t xml:space="preserve"> </w:t>
      </w:r>
    </w:p>
    <w:p w14:paraId="06D39624" w14:textId="270130DB" w:rsidR="008D7F55" w:rsidRDefault="00A95DAF" w:rsidP="00F55F84">
      <w:pPr>
        <w:spacing w:line="360" w:lineRule="auto"/>
        <w:jc w:val="both"/>
        <w:rPr>
          <w:rFonts w:ascii="David" w:hAnsi="David" w:cs="David"/>
          <w:rtl/>
        </w:rPr>
      </w:pPr>
      <w:r w:rsidRPr="00A95DAF">
        <w:rPr>
          <w:rFonts w:ascii="David" w:hAnsi="David" w:cs="David"/>
          <w:rtl/>
        </w:rPr>
        <w:t xml:space="preserve">עם זאת, יישום עקרונות התועלתנות במסגרת עבודתה של </w:t>
      </w:r>
      <w:r w:rsidR="00F15152">
        <w:rPr>
          <w:rFonts w:ascii="David" w:hAnsi="David" w:cs="David" w:hint="cs"/>
          <w:rtl/>
        </w:rPr>
        <w:t>הוועדה</w:t>
      </w:r>
      <w:r w:rsidRPr="00A95DAF">
        <w:rPr>
          <w:rFonts w:ascii="David" w:hAnsi="David" w:cs="David"/>
          <w:rtl/>
        </w:rPr>
        <w:t xml:space="preserve"> מעורר קושי מוסרי. השאיפה למ</w:t>
      </w:r>
      <w:r>
        <w:rPr>
          <w:rFonts w:ascii="David" w:hAnsi="David" w:cs="David" w:hint="cs"/>
          <w:rtl/>
        </w:rPr>
        <w:t>י</w:t>
      </w:r>
      <w:r w:rsidRPr="00A95DAF">
        <w:rPr>
          <w:rFonts w:ascii="David" w:hAnsi="David" w:cs="David"/>
          <w:rtl/>
        </w:rPr>
        <w:t xml:space="preserve">קסום התועלת המצרפית עלולה להוביל לכך שתרופות המיועדות לקבוצת מטופלים מצומצמת לא ייכללו בסל הבריאות, אף כאשר מדובר בטיפולים חיוניים או מצילי חיים. </w:t>
      </w:r>
      <w:r w:rsidR="00F20CD6">
        <w:rPr>
          <w:rFonts w:ascii="David" w:hAnsi="David" w:cs="David" w:hint="cs"/>
          <w:rtl/>
        </w:rPr>
        <w:t>לפיכך</w:t>
      </w:r>
      <w:r w:rsidRPr="00A95DAF">
        <w:rPr>
          <w:rFonts w:ascii="David" w:hAnsi="David" w:cs="David"/>
          <w:rtl/>
        </w:rPr>
        <w:t xml:space="preserve">, ההחלטה המיטיבה עם מרבית הציבור עשויה לבוא על חשבונם של יחידים, אשר צורכיהם הרפואיים נותרים ללא מענה. </w:t>
      </w:r>
      <w:r w:rsidR="0066418A" w:rsidRPr="0066418A">
        <w:rPr>
          <w:rFonts w:ascii="David" w:hAnsi="David" w:cs="David"/>
          <w:rtl/>
        </w:rPr>
        <w:t xml:space="preserve">עצם הכללתה של תרופה אחת בסל הבריאות </w:t>
      </w:r>
      <w:r w:rsidR="000C06BF">
        <w:rPr>
          <w:rFonts w:ascii="David" w:hAnsi="David" w:cs="David" w:hint="cs"/>
          <w:rtl/>
        </w:rPr>
        <w:t xml:space="preserve">ממחישה מצב דברים בו ישנה </w:t>
      </w:r>
      <w:r w:rsidR="0066418A" w:rsidRPr="0066418A">
        <w:rPr>
          <w:rFonts w:ascii="David" w:hAnsi="David" w:cs="David"/>
          <w:rtl/>
        </w:rPr>
        <w:t xml:space="preserve">החלטה חיובית עבור קבוצת מטופלים מסוימת, </w:t>
      </w:r>
      <w:r w:rsidR="000C06BF">
        <w:rPr>
          <w:rFonts w:ascii="David" w:hAnsi="David" w:cs="David" w:hint="cs"/>
          <w:rtl/>
        </w:rPr>
        <w:t>לצד</w:t>
      </w:r>
      <w:r w:rsidR="0066418A" w:rsidRPr="0066418A">
        <w:rPr>
          <w:rFonts w:ascii="David" w:hAnsi="David" w:cs="David"/>
          <w:rtl/>
        </w:rPr>
        <w:t xml:space="preserve"> החלטה שלילית עבור מטופלים אחרים</w:t>
      </w:r>
      <w:r w:rsidR="000C06BF">
        <w:rPr>
          <w:rFonts w:ascii="David" w:hAnsi="David" w:cs="David" w:hint="cs"/>
          <w:rtl/>
        </w:rPr>
        <w:t>.</w:t>
      </w:r>
      <w:r w:rsidR="00045B48">
        <w:rPr>
          <w:rFonts w:ascii="David" w:hAnsi="David" w:cs="David" w:hint="cs"/>
          <w:rtl/>
        </w:rPr>
        <w:t xml:space="preserve"> </w:t>
      </w:r>
      <w:r w:rsidR="003218AF" w:rsidRPr="003218AF">
        <w:rPr>
          <w:rFonts w:ascii="David" w:hAnsi="David" w:cs="David"/>
          <w:rtl/>
        </w:rPr>
        <w:t xml:space="preserve">ביקורת זו עולה בקנה אחד עם גישתו של רולס, הסבור כי התועלתנות אינה מעניקה משקל מספק להבדלים בין בני האדם. לשיטתו, התיאוריה מתייחסת אל החברה </w:t>
      </w:r>
      <w:r w:rsidR="009D09CE">
        <w:rPr>
          <w:rFonts w:ascii="David" w:hAnsi="David" w:cs="David" w:hint="cs"/>
          <w:rtl/>
        </w:rPr>
        <w:t>כ</w:t>
      </w:r>
      <w:r w:rsidR="003218AF" w:rsidRPr="003218AF">
        <w:rPr>
          <w:rFonts w:ascii="David" w:hAnsi="David" w:cs="David"/>
          <w:rtl/>
        </w:rPr>
        <w:t xml:space="preserve">אדם אחד, ולכן עשויה להצדיק פגיעה באינטרסים חיוניים של יחידים, </w:t>
      </w:r>
      <w:r w:rsidR="009D09CE">
        <w:rPr>
          <w:rFonts w:ascii="David" w:hAnsi="David" w:cs="David" w:hint="cs"/>
          <w:rtl/>
        </w:rPr>
        <w:t>בתנאי ש</w:t>
      </w:r>
      <w:r w:rsidR="00D77699">
        <w:rPr>
          <w:rFonts w:ascii="David" w:hAnsi="David" w:cs="David" w:hint="cs"/>
          <w:rtl/>
        </w:rPr>
        <w:t>הפגיעה תוביל</w:t>
      </w:r>
      <w:r w:rsidR="003218AF" w:rsidRPr="003218AF">
        <w:rPr>
          <w:rFonts w:ascii="David" w:hAnsi="David" w:cs="David"/>
          <w:rtl/>
        </w:rPr>
        <w:t xml:space="preserve"> להגדלת התועלת הכללית.</w:t>
      </w:r>
      <w:r w:rsidR="009A32A8">
        <w:rPr>
          <w:rStyle w:val="FootnoteReference"/>
          <w:rFonts w:ascii="David" w:hAnsi="David" w:cs="David"/>
          <w:rtl/>
        </w:rPr>
        <w:footnoteReference w:id="26"/>
      </w:r>
      <w:r w:rsidR="003218AF" w:rsidRPr="003218AF">
        <w:rPr>
          <w:rFonts w:ascii="David" w:hAnsi="David" w:cs="David"/>
          <w:rtl/>
        </w:rPr>
        <w:t xml:space="preserve"> </w:t>
      </w:r>
      <w:r w:rsidR="00D77699">
        <w:rPr>
          <w:rFonts w:ascii="David" w:hAnsi="David" w:cs="David" w:hint="cs"/>
          <w:rtl/>
        </w:rPr>
        <w:t>כתוצאה מכך</w:t>
      </w:r>
      <w:r w:rsidR="003218AF" w:rsidRPr="003218AF">
        <w:rPr>
          <w:rFonts w:ascii="David" w:hAnsi="David" w:cs="David"/>
          <w:rtl/>
        </w:rPr>
        <w:t xml:space="preserve">, קבלת החלטות על בסיס התועלת המצרפית בלבד עלולה </w:t>
      </w:r>
      <w:r w:rsidR="005D3BAD">
        <w:rPr>
          <w:rFonts w:ascii="David" w:hAnsi="David" w:cs="David" w:hint="cs"/>
          <w:rtl/>
        </w:rPr>
        <w:t>להוביל</w:t>
      </w:r>
      <w:r w:rsidR="003218AF" w:rsidRPr="003218AF">
        <w:rPr>
          <w:rFonts w:ascii="David" w:hAnsi="David" w:cs="David"/>
          <w:rtl/>
        </w:rPr>
        <w:t xml:space="preserve"> לכך שמטופלים מסוימים ישמשו אמצעי לקידום רווחתו של הרוב, במקום להיתפס כבעלי ערך כשלעצמם.</w:t>
      </w:r>
      <w:r w:rsidR="00E31803">
        <w:rPr>
          <w:rFonts w:ascii="David" w:hAnsi="David" w:cs="David" w:hint="cs"/>
          <w:rtl/>
        </w:rPr>
        <w:t xml:space="preserve"> </w:t>
      </w:r>
      <w:r w:rsidR="008D7F55">
        <w:rPr>
          <w:rFonts w:ascii="David" w:hAnsi="David" w:cs="David" w:hint="cs"/>
          <w:rtl/>
        </w:rPr>
        <w:t xml:space="preserve">כמו כן, לפי גישתו של דבורקין, </w:t>
      </w:r>
      <w:r w:rsidR="00B666B3" w:rsidRPr="00B666B3">
        <w:rPr>
          <w:rFonts w:ascii="David" w:hAnsi="David" w:cs="David"/>
          <w:rtl/>
        </w:rPr>
        <w:t>זכויות אדם אינן צריכות להיות מוכרעות באמצעות חישוב של עלויות ותועלות, שכן תפקידן הוא להגן על היחיד מפני החלטות המיטיבות עם הרוב</w:t>
      </w:r>
      <w:r w:rsidR="001D7A5D">
        <w:rPr>
          <w:rFonts w:ascii="David" w:hAnsi="David" w:cs="David" w:hint="cs"/>
          <w:rtl/>
        </w:rPr>
        <w:t xml:space="preserve">. </w:t>
      </w:r>
      <w:r w:rsidR="00E4470E" w:rsidRPr="00E4470E">
        <w:rPr>
          <w:rFonts w:ascii="David" w:hAnsi="David" w:cs="David"/>
          <w:rtl/>
        </w:rPr>
        <w:t xml:space="preserve">בהתאם, </w:t>
      </w:r>
      <w:r w:rsidR="00E4470E">
        <w:rPr>
          <w:rFonts w:ascii="David" w:hAnsi="David" w:cs="David" w:hint="cs"/>
          <w:rtl/>
        </w:rPr>
        <w:t>אף</w:t>
      </w:r>
      <w:r w:rsidR="00E4470E" w:rsidRPr="00E4470E">
        <w:rPr>
          <w:rFonts w:ascii="David" w:hAnsi="David" w:cs="David"/>
          <w:rtl/>
        </w:rPr>
        <w:t xml:space="preserve"> אם ה</w:t>
      </w:r>
      <w:r w:rsidR="00E4470E">
        <w:rPr>
          <w:rFonts w:ascii="David" w:hAnsi="David" w:cs="David" w:hint="cs"/>
          <w:rtl/>
        </w:rPr>
        <w:t>החלטה</w:t>
      </w:r>
      <w:r w:rsidR="00E4470E" w:rsidRPr="00E4470E">
        <w:rPr>
          <w:rFonts w:ascii="David" w:hAnsi="David" w:cs="David"/>
          <w:rtl/>
        </w:rPr>
        <w:t xml:space="preserve"> מובילה למ</w:t>
      </w:r>
      <w:r w:rsidR="001E102E">
        <w:rPr>
          <w:rFonts w:ascii="David" w:hAnsi="David" w:cs="David" w:hint="cs"/>
          <w:rtl/>
        </w:rPr>
        <w:t>י</w:t>
      </w:r>
      <w:r w:rsidR="00E4470E" w:rsidRPr="00E4470E">
        <w:rPr>
          <w:rFonts w:ascii="David" w:hAnsi="David" w:cs="David"/>
          <w:rtl/>
        </w:rPr>
        <w:t>קסום התועלת המצרפית עבור הציבור בכללותו, אין בכך, כשלעצמו, כדי להצדיק את הפגיעה במטופלים שתרופותיהם נותרו מחוץ לסל הבריאות</w:t>
      </w:r>
      <w:r w:rsidR="00E4470E" w:rsidRPr="00E4470E">
        <w:rPr>
          <w:rFonts w:ascii="David" w:hAnsi="David" w:cs="David"/>
        </w:rPr>
        <w:t>.</w:t>
      </w:r>
      <w:r w:rsidR="00CF01F9">
        <w:rPr>
          <w:rFonts w:ascii="David" w:hAnsi="David" w:cs="David" w:hint="cs"/>
          <w:rtl/>
        </w:rPr>
        <w:t xml:space="preserve"> </w:t>
      </w:r>
    </w:p>
    <w:p w14:paraId="6C3C1FF6" w14:textId="7BCC0304" w:rsidR="001F37D5" w:rsidRPr="00AE02CA" w:rsidRDefault="005206A7" w:rsidP="008E16EE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לגישתי, </w:t>
      </w:r>
      <w:r w:rsidR="006711B4">
        <w:rPr>
          <w:rFonts w:ascii="David" w:hAnsi="David" w:cs="David" w:hint="cs"/>
          <w:rtl/>
        </w:rPr>
        <w:t xml:space="preserve">תיאוריית התועלתנות מספקת </w:t>
      </w:r>
      <w:r w:rsidR="00F449A8">
        <w:rPr>
          <w:rFonts w:ascii="David" w:hAnsi="David" w:cs="David" w:hint="cs"/>
          <w:rtl/>
        </w:rPr>
        <w:t xml:space="preserve">בסיס ראוי להחלטותיה של </w:t>
      </w:r>
      <w:r w:rsidR="00F15152">
        <w:rPr>
          <w:rFonts w:ascii="David" w:hAnsi="David" w:cs="David" w:hint="cs"/>
          <w:rtl/>
        </w:rPr>
        <w:t>הוועדה</w:t>
      </w:r>
      <w:r w:rsidR="00F449A8">
        <w:rPr>
          <w:rFonts w:ascii="David" w:hAnsi="David" w:cs="David" w:hint="cs"/>
          <w:rtl/>
        </w:rPr>
        <w:t>. זאת, מכיוון שהיא מאפשרת קבלת החלטות מושכלת במציאות בה המשאבים הציבוריים מוגבלים</w:t>
      </w:r>
      <w:r w:rsidR="00790AB9">
        <w:rPr>
          <w:rFonts w:ascii="David" w:hAnsi="David" w:cs="David" w:hint="cs"/>
          <w:rtl/>
        </w:rPr>
        <w:t xml:space="preserve">, והצרכים הרפואיים עולים במידה ניכרת על היכולת התקציבית. </w:t>
      </w:r>
      <w:r w:rsidR="0090698B" w:rsidRPr="0090698B">
        <w:rPr>
          <w:rFonts w:ascii="David" w:hAnsi="David" w:cs="David"/>
          <w:rtl/>
        </w:rPr>
        <w:t xml:space="preserve">תכליתה של </w:t>
      </w:r>
      <w:r w:rsidR="00F15152">
        <w:rPr>
          <w:rFonts w:ascii="David" w:hAnsi="David" w:cs="David" w:hint="cs"/>
          <w:rtl/>
        </w:rPr>
        <w:t>הוועדה</w:t>
      </w:r>
      <w:r w:rsidR="0090698B" w:rsidRPr="0090698B">
        <w:rPr>
          <w:rFonts w:ascii="David" w:hAnsi="David" w:cs="David"/>
          <w:rtl/>
        </w:rPr>
        <w:t xml:space="preserve"> אינה לחסוך בעלויות, אלא להקצות את המשאבים הציבוריים באופן שיוביל לתועלת הבריאותית המרבית עבור הציבור בכללותו</w:t>
      </w:r>
      <w:r w:rsidR="0090698B" w:rsidRPr="0090698B">
        <w:rPr>
          <w:rFonts w:ascii="David" w:hAnsi="David" w:cs="David"/>
        </w:rPr>
        <w:t>.</w:t>
      </w:r>
      <w:r w:rsidR="005D395E">
        <w:rPr>
          <w:rFonts w:ascii="David" w:hAnsi="David" w:cs="David" w:hint="cs"/>
          <w:rtl/>
        </w:rPr>
        <w:t xml:space="preserve"> </w:t>
      </w:r>
      <w:r w:rsidR="005D395E" w:rsidRPr="00790AB9">
        <w:rPr>
          <w:rFonts w:ascii="David" w:hAnsi="David" w:cs="David"/>
          <w:rtl/>
        </w:rPr>
        <w:t xml:space="preserve">עם זאת, </w:t>
      </w:r>
      <w:r w:rsidR="00D46FD0">
        <w:rPr>
          <w:rFonts w:ascii="David" w:hAnsi="David" w:cs="David" w:hint="cs"/>
          <w:rtl/>
        </w:rPr>
        <w:t xml:space="preserve">לתפיסתי אין לראות את תיאוריית התועלתנות </w:t>
      </w:r>
      <w:r w:rsidR="00ED5026">
        <w:rPr>
          <w:rFonts w:ascii="David" w:hAnsi="David" w:cs="David" w:hint="cs"/>
          <w:rtl/>
        </w:rPr>
        <w:t xml:space="preserve">באופן </w:t>
      </w:r>
      <w:r w:rsidR="00DB74A2">
        <w:rPr>
          <w:rFonts w:ascii="David" w:hAnsi="David" w:cs="David" w:hint="cs"/>
          <w:rtl/>
        </w:rPr>
        <w:t>המוגבל לתועלת המיידית בלבד</w:t>
      </w:r>
      <w:r w:rsidR="00ED5026">
        <w:rPr>
          <w:rFonts w:ascii="David" w:hAnsi="David" w:cs="David" w:hint="cs"/>
          <w:rtl/>
        </w:rPr>
        <w:t xml:space="preserve">. </w:t>
      </w:r>
      <w:r w:rsidR="009F1D84">
        <w:rPr>
          <w:rFonts w:ascii="David" w:hAnsi="David" w:cs="David" w:hint="cs"/>
          <w:rtl/>
        </w:rPr>
        <w:t xml:space="preserve">בהמשך לכך, </w:t>
      </w:r>
      <w:r w:rsidR="00F10D80">
        <w:rPr>
          <w:rFonts w:ascii="David" w:hAnsi="David" w:cs="David" w:hint="cs"/>
          <w:rtl/>
        </w:rPr>
        <w:t xml:space="preserve">כאשר </w:t>
      </w:r>
      <w:r w:rsidR="00E94857">
        <w:rPr>
          <w:rFonts w:ascii="David" w:hAnsi="David" w:cs="David" w:hint="cs"/>
          <w:rtl/>
        </w:rPr>
        <w:t>ציבור היודע כי מטופלים המשתייכים לקבוצות קטנות או הסובלים ממחלות נדירות זוכים להתייחסות והכרה במסגרת החלטת הוועדה</w:t>
      </w:r>
      <w:r w:rsidR="00F10D80">
        <w:rPr>
          <w:rFonts w:ascii="David" w:hAnsi="David" w:cs="David" w:hint="cs"/>
          <w:rtl/>
        </w:rPr>
        <w:t xml:space="preserve">, מתחזק האמון במערכת הבריאות. </w:t>
      </w:r>
      <w:r w:rsidR="00ED5026">
        <w:rPr>
          <w:rFonts w:ascii="David" w:hAnsi="David" w:cs="David" w:hint="cs"/>
          <w:rtl/>
        </w:rPr>
        <w:t xml:space="preserve">שכן, שמירה על אמון הציבור במערכת הבריאות </w:t>
      </w:r>
      <w:r w:rsidR="00DB74A2">
        <w:rPr>
          <w:rFonts w:ascii="David" w:hAnsi="David" w:cs="David" w:hint="cs"/>
          <w:rtl/>
        </w:rPr>
        <w:t xml:space="preserve">מהווה אף רכיב בעל ערך תועלתני. </w:t>
      </w:r>
      <w:r w:rsidR="00F10D80">
        <w:rPr>
          <w:rFonts w:ascii="David" w:hAnsi="David" w:cs="David" w:hint="cs"/>
          <w:rtl/>
        </w:rPr>
        <w:t>זאת, מכיוון ש</w:t>
      </w:r>
      <w:r w:rsidR="004F7B50">
        <w:rPr>
          <w:rFonts w:ascii="David" w:hAnsi="David" w:cs="David" w:hint="cs"/>
          <w:rtl/>
        </w:rPr>
        <w:t xml:space="preserve">הסתמכות על מערכת הבריאות הציבורית תחזק את יציבותה לאורך זמן ובכך </w:t>
      </w:r>
      <w:r w:rsidR="00615906">
        <w:rPr>
          <w:rFonts w:ascii="David" w:hAnsi="David" w:cs="David" w:hint="cs"/>
          <w:rtl/>
        </w:rPr>
        <w:t xml:space="preserve">תתרום למימוש התועלת הציבורית הכוללת. אציין כי אין </w:t>
      </w:r>
      <w:r w:rsidR="00A674AF">
        <w:rPr>
          <w:rFonts w:ascii="David" w:hAnsi="David" w:cs="David" w:hint="cs"/>
          <w:rtl/>
        </w:rPr>
        <w:t xml:space="preserve">זה קובע שיש להעניק קדימות אוטומטית לקבוצות אלו, שכן החלטה לטובת תרופה אחת כרוכה בהכרח בוויתור על אחרת. </w:t>
      </w:r>
      <w:r w:rsidR="002C1A4F">
        <w:rPr>
          <w:rFonts w:ascii="David" w:hAnsi="David" w:cs="David" w:hint="cs"/>
          <w:rtl/>
        </w:rPr>
        <w:t xml:space="preserve">לפיכך, הוועדה נדרשת </w:t>
      </w:r>
      <w:r w:rsidR="00C21FB3">
        <w:rPr>
          <w:rFonts w:ascii="David" w:hAnsi="David" w:cs="David" w:hint="cs"/>
          <w:rtl/>
        </w:rPr>
        <w:t xml:space="preserve">לאזן בין </w:t>
      </w:r>
      <w:r w:rsidR="009934C5">
        <w:rPr>
          <w:rFonts w:ascii="David" w:hAnsi="David" w:cs="David" w:hint="cs"/>
          <w:rtl/>
        </w:rPr>
        <w:t>אינטרסים מתחרים במסגרת התקציב המוגבל.</w:t>
      </w:r>
      <w:r w:rsidR="00434131">
        <w:rPr>
          <w:rFonts w:ascii="David" w:hAnsi="David" w:cs="David" w:hint="cs"/>
          <w:rtl/>
        </w:rPr>
        <w:t xml:space="preserve"> </w:t>
      </w:r>
    </w:p>
    <w:sectPr w:rsidR="001F37D5" w:rsidRPr="00AE02CA" w:rsidSect="00CA2D3C">
      <w:headerReference w:type="default" r:id="rId7"/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99B7" w14:textId="77777777" w:rsidR="00951250" w:rsidRDefault="00951250" w:rsidP="00261111">
      <w:pPr>
        <w:spacing w:after="0" w:line="240" w:lineRule="auto"/>
      </w:pPr>
      <w:r>
        <w:separator/>
      </w:r>
    </w:p>
  </w:endnote>
  <w:endnote w:type="continuationSeparator" w:id="0">
    <w:p w14:paraId="30CC2D3D" w14:textId="77777777" w:rsidR="00951250" w:rsidRDefault="00951250" w:rsidP="00261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6C4D" w14:textId="77777777" w:rsidR="00951250" w:rsidRDefault="00951250" w:rsidP="00261111">
      <w:pPr>
        <w:spacing w:after="0" w:line="240" w:lineRule="auto"/>
      </w:pPr>
      <w:r>
        <w:separator/>
      </w:r>
    </w:p>
  </w:footnote>
  <w:footnote w:type="continuationSeparator" w:id="0">
    <w:p w14:paraId="50A6D921" w14:textId="77777777" w:rsidR="00951250" w:rsidRDefault="00951250" w:rsidP="00261111">
      <w:pPr>
        <w:spacing w:after="0" w:line="240" w:lineRule="auto"/>
      </w:pPr>
      <w:r>
        <w:continuationSeparator/>
      </w:r>
    </w:p>
  </w:footnote>
  <w:footnote w:id="1">
    <w:p w14:paraId="33BE1B51" w14:textId="121727BA" w:rsidR="00900552" w:rsidRDefault="0090055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025BCA" w:rsidRPr="00C90959">
        <w:rPr>
          <w:rFonts w:ascii="David" w:hAnsi="David" w:cs="David"/>
          <w:rtl/>
        </w:rPr>
        <w:t>"סערת איסור התפילה בהפרדה ברחובות ת"א" (כאן 11, 6.8.2024)</w:t>
      </w:r>
      <w:r w:rsidR="00992A75" w:rsidRPr="00C90959">
        <w:rPr>
          <w:rFonts w:ascii="David" w:hAnsi="David" w:cs="David"/>
          <w:rtl/>
        </w:rPr>
        <w:t>.</w:t>
      </w:r>
    </w:p>
  </w:footnote>
  <w:footnote w:id="2">
    <w:p w14:paraId="26FE2670" w14:textId="6D4A7BDC" w:rsidR="00B80C62" w:rsidRDefault="00B80C62" w:rsidP="00B80C62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1B5DCE" w:rsidRPr="006B163B">
        <w:rPr>
          <w:rFonts w:ascii="David" w:hAnsi="David" w:cs="David"/>
          <w:rtl/>
        </w:rPr>
        <w:t>יוסי דהאן</w:t>
      </w:r>
      <w:r w:rsidR="00C52B4F" w:rsidRPr="006B163B">
        <w:rPr>
          <w:rFonts w:ascii="David" w:hAnsi="David" w:cs="David"/>
          <w:rtl/>
        </w:rPr>
        <w:t xml:space="preserve"> </w:t>
      </w:r>
      <w:r w:rsidRPr="006B163B">
        <w:rPr>
          <w:rFonts w:ascii="David" w:hAnsi="David" w:cs="David"/>
          <w:b/>
          <w:bCs/>
          <w:rtl/>
        </w:rPr>
        <w:t>תאוריות של צדק חברתי</w:t>
      </w:r>
      <w:r w:rsidRPr="006B163B">
        <w:rPr>
          <w:rFonts w:ascii="David" w:hAnsi="David" w:cs="David"/>
          <w:rtl/>
        </w:rPr>
        <w:t xml:space="preserve"> עמודים 117</w:t>
      </w:r>
      <w:r w:rsidR="00195DFB">
        <w:rPr>
          <w:rFonts w:ascii="David" w:hAnsi="David" w:cs="David"/>
          <w:rtl/>
        </w:rPr>
        <w:t>–</w:t>
      </w:r>
      <w:r w:rsidRPr="006B163B">
        <w:rPr>
          <w:rFonts w:ascii="David" w:hAnsi="David" w:cs="David"/>
          <w:rtl/>
        </w:rPr>
        <w:t>119</w:t>
      </w:r>
      <w:r w:rsidR="00C52B4F" w:rsidRPr="006B163B">
        <w:rPr>
          <w:rFonts w:ascii="David" w:hAnsi="David" w:cs="David"/>
          <w:rtl/>
        </w:rPr>
        <w:t xml:space="preserve"> (1954)</w:t>
      </w:r>
      <w:r w:rsidR="006B163B" w:rsidRPr="006B163B">
        <w:rPr>
          <w:rFonts w:ascii="David" w:hAnsi="David" w:cs="David"/>
          <w:rtl/>
        </w:rPr>
        <w:t>.</w:t>
      </w:r>
      <w:r>
        <w:rPr>
          <w:rFonts w:hint="cs"/>
          <w:rtl/>
        </w:rPr>
        <w:t xml:space="preserve"> </w:t>
      </w:r>
    </w:p>
  </w:footnote>
  <w:footnote w:id="3">
    <w:p w14:paraId="6659E0D3" w14:textId="51C8214C" w:rsidR="00C66F8D" w:rsidRDefault="00C66F8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3E12C5">
        <w:rPr>
          <w:rFonts w:ascii="David" w:hAnsi="David" w:cs="David"/>
          <w:rtl/>
        </w:rPr>
        <w:t xml:space="preserve">עע"מ 66315-09-24 </w:t>
      </w:r>
      <w:r w:rsidRPr="003E12C5">
        <w:rPr>
          <w:rFonts w:ascii="David" w:hAnsi="David" w:cs="David"/>
          <w:b/>
          <w:bCs/>
          <w:rtl/>
        </w:rPr>
        <w:t>עירית לינור נ' עיריית תל אביב יפו</w:t>
      </w:r>
      <w:r w:rsidR="003E12C5" w:rsidRPr="003E12C5">
        <w:rPr>
          <w:rFonts w:ascii="David" w:hAnsi="David" w:cs="David"/>
          <w:rtl/>
        </w:rPr>
        <w:t xml:space="preserve"> (נבו, 2.4.2025).</w:t>
      </w:r>
    </w:p>
  </w:footnote>
  <w:footnote w:id="4">
    <w:p w14:paraId="095ABEB4" w14:textId="0E153ACE" w:rsidR="00D15B88" w:rsidRPr="00662A28" w:rsidRDefault="00D15B88">
      <w:pPr>
        <w:pStyle w:val="FootnoteText"/>
        <w:rPr>
          <w:b/>
          <w:bCs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96961" w:rsidRPr="00296961">
        <w:rPr>
          <w:rFonts w:ascii="David" w:hAnsi="David" w:cs="David"/>
          <w:rtl/>
        </w:rPr>
        <w:t xml:space="preserve">שם, בפס' </w:t>
      </w:r>
      <w:r w:rsidRPr="00296961">
        <w:rPr>
          <w:rFonts w:ascii="David" w:hAnsi="David" w:cs="David"/>
          <w:rtl/>
        </w:rPr>
        <w:t>29</w:t>
      </w:r>
      <w:r w:rsidR="00B63CC2">
        <w:rPr>
          <w:rFonts w:ascii="David" w:hAnsi="David" w:cs="David" w:hint="cs"/>
          <w:rtl/>
        </w:rPr>
        <w:t xml:space="preserve"> לפסק דינו של השופט כשר.</w:t>
      </w:r>
    </w:p>
  </w:footnote>
  <w:footnote w:id="5">
    <w:p w14:paraId="59F26615" w14:textId="5134A7F8" w:rsidR="00383D6F" w:rsidRDefault="00162109" w:rsidP="00383D6F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96961" w:rsidRPr="00195DFB">
        <w:rPr>
          <w:rFonts w:ascii="David" w:hAnsi="David" w:cs="David"/>
          <w:rtl/>
        </w:rPr>
        <w:t xml:space="preserve">שם, בפס' </w:t>
      </w:r>
      <w:r w:rsidR="00383D6F" w:rsidRPr="00195DFB">
        <w:rPr>
          <w:rFonts w:ascii="David" w:hAnsi="David" w:cs="David"/>
          <w:rtl/>
        </w:rPr>
        <w:t xml:space="preserve">38, </w:t>
      </w:r>
      <w:r w:rsidR="00FD69C8" w:rsidRPr="00195DFB">
        <w:rPr>
          <w:rFonts w:ascii="David" w:hAnsi="David" w:cs="David"/>
          <w:rtl/>
        </w:rPr>
        <w:t xml:space="preserve">43, </w:t>
      </w:r>
      <w:r w:rsidR="006037DD" w:rsidRPr="00195DFB">
        <w:rPr>
          <w:rFonts w:ascii="David" w:hAnsi="David" w:cs="David"/>
          <w:rtl/>
        </w:rPr>
        <w:t>50</w:t>
      </w:r>
      <w:r w:rsidR="00B63CC2">
        <w:rPr>
          <w:rFonts w:ascii="David" w:hAnsi="David" w:cs="David" w:hint="cs"/>
          <w:rtl/>
        </w:rPr>
        <w:t xml:space="preserve"> לפסק דינו של השופט כשר.</w:t>
      </w:r>
    </w:p>
  </w:footnote>
  <w:footnote w:id="6">
    <w:p w14:paraId="1A92E936" w14:textId="082AE1EA" w:rsidR="009B363A" w:rsidRDefault="009B363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195DFB" w:rsidRPr="00195DFB">
        <w:rPr>
          <w:rFonts w:ascii="David" w:hAnsi="David" w:cs="David"/>
          <w:rtl/>
        </w:rPr>
        <w:t>שם, בפס'</w:t>
      </w:r>
      <w:r w:rsidRPr="00195DFB">
        <w:rPr>
          <w:rFonts w:ascii="David" w:hAnsi="David" w:cs="David"/>
          <w:rtl/>
        </w:rPr>
        <w:t xml:space="preserve"> 60</w:t>
      </w:r>
      <w:r w:rsidR="00B63CC2">
        <w:rPr>
          <w:rFonts w:ascii="David" w:hAnsi="David" w:cs="David" w:hint="cs"/>
          <w:rtl/>
        </w:rPr>
        <w:t xml:space="preserve"> לפסק דינו של השופט כשר.</w:t>
      </w:r>
    </w:p>
  </w:footnote>
  <w:footnote w:id="7">
    <w:p w14:paraId="720EDACB" w14:textId="5A47D5A0" w:rsidR="00530DC5" w:rsidRDefault="00530DC5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195DFB" w:rsidRPr="00195DFB">
        <w:rPr>
          <w:rFonts w:ascii="David" w:hAnsi="David" w:cs="David"/>
          <w:rtl/>
        </w:rPr>
        <w:t>שם, בפס'</w:t>
      </w:r>
      <w:r w:rsidRPr="00195DFB">
        <w:rPr>
          <w:rFonts w:ascii="David" w:hAnsi="David" w:cs="David"/>
          <w:rtl/>
        </w:rPr>
        <w:t xml:space="preserve"> 28</w:t>
      </w:r>
      <w:r w:rsidR="004071C0" w:rsidRPr="00195DFB">
        <w:rPr>
          <w:rFonts w:ascii="David" w:hAnsi="David" w:cs="David"/>
          <w:rtl/>
        </w:rPr>
        <w:t>, 58</w:t>
      </w:r>
      <w:r w:rsidR="00B63CC2">
        <w:rPr>
          <w:rFonts w:ascii="David" w:hAnsi="David" w:cs="David" w:hint="cs"/>
          <w:rtl/>
        </w:rPr>
        <w:t xml:space="preserve"> לפסק דינו של השופט כשר.</w:t>
      </w:r>
    </w:p>
  </w:footnote>
  <w:footnote w:id="8">
    <w:p w14:paraId="440AB878" w14:textId="0B4545F3" w:rsidR="00C6583F" w:rsidRDefault="00C6583F" w:rsidP="00C6583F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800CD0">
        <w:rPr>
          <w:rFonts w:ascii="David" w:hAnsi="David" w:cs="David" w:hint="cs"/>
          <w:rtl/>
        </w:rPr>
        <w:t xml:space="preserve">דהאן, </w:t>
      </w:r>
      <w:r w:rsidR="00AA1945" w:rsidRPr="00096CE0">
        <w:rPr>
          <w:rFonts w:ascii="David" w:hAnsi="David" w:cs="David"/>
          <w:rtl/>
        </w:rPr>
        <w:t xml:space="preserve">לעיל, ה"ש </w:t>
      </w:r>
      <w:r w:rsidR="00096CE0" w:rsidRPr="00096CE0">
        <w:rPr>
          <w:rFonts w:ascii="David" w:hAnsi="David" w:cs="David"/>
          <w:rtl/>
        </w:rPr>
        <w:t>2, בעמ' 118.</w:t>
      </w:r>
      <w:r w:rsidR="00096CE0">
        <w:rPr>
          <w:rFonts w:hint="cs"/>
          <w:rtl/>
        </w:rPr>
        <w:t xml:space="preserve"> </w:t>
      </w:r>
      <w:r w:rsidR="00CB10B9">
        <w:rPr>
          <w:rFonts w:hint="cs"/>
          <w:rtl/>
        </w:rPr>
        <w:t xml:space="preserve"> </w:t>
      </w:r>
    </w:p>
  </w:footnote>
  <w:footnote w:id="9">
    <w:p w14:paraId="77C98150" w14:textId="0153642B" w:rsidR="00912BEF" w:rsidRDefault="00912BEF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800CD0">
        <w:rPr>
          <w:rFonts w:ascii="David" w:hAnsi="David" w:cs="David" w:hint="cs"/>
          <w:rtl/>
        </w:rPr>
        <w:t xml:space="preserve">עניין </w:t>
      </w:r>
      <w:r w:rsidR="00800CD0">
        <w:rPr>
          <w:rFonts w:ascii="David" w:hAnsi="David" w:cs="David" w:hint="cs"/>
          <w:b/>
          <w:bCs/>
          <w:rtl/>
        </w:rPr>
        <w:t xml:space="preserve">עירית </w:t>
      </w:r>
      <w:r w:rsidR="00800CD0" w:rsidRPr="00E5395C">
        <w:rPr>
          <w:rFonts w:ascii="David" w:hAnsi="David" w:cs="David" w:hint="cs"/>
          <w:b/>
          <w:bCs/>
          <w:rtl/>
        </w:rPr>
        <w:t>לינור</w:t>
      </w:r>
      <w:r w:rsidR="00800CD0">
        <w:rPr>
          <w:rFonts w:ascii="David" w:hAnsi="David" w:cs="David" w:hint="cs"/>
          <w:rtl/>
        </w:rPr>
        <w:t xml:space="preserve">, </w:t>
      </w:r>
      <w:r w:rsidR="00AB73DC" w:rsidRPr="00800CD0">
        <w:rPr>
          <w:rFonts w:ascii="David" w:hAnsi="David" w:cs="David"/>
          <w:rtl/>
        </w:rPr>
        <w:t>לעיל</w:t>
      </w:r>
      <w:r w:rsidR="00AB73DC" w:rsidRPr="00AB73DC">
        <w:rPr>
          <w:rFonts w:ascii="David" w:hAnsi="David" w:cs="David"/>
          <w:rtl/>
        </w:rPr>
        <w:t xml:space="preserve"> ה"ש 3, בפס'</w:t>
      </w:r>
      <w:r w:rsidR="00AF46BA" w:rsidRPr="00AB73DC">
        <w:rPr>
          <w:rFonts w:ascii="David" w:hAnsi="David" w:cs="David"/>
          <w:rtl/>
        </w:rPr>
        <w:t xml:space="preserve"> 17</w:t>
      </w:r>
      <w:r w:rsidR="00553410" w:rsidRPr="00AB73DC">
        <w:rPr>
          <w:rFonts w:ascii="David" w:hAnsi="David" w:cs="David"/>
          <w:rtl/>
        </w:rPr>
        <w:t>, 67</w:t>
      </w:r>
      <w:r w:rsidR="00B63CC2">
        <w:rPr>
          <w:rFonts w:ascii="David" w:hAnsi="David" w:cs="David" w:hint="cs"/>
          <w:rtl/>
        </w:rPr>
        <w:t xml:space="preserve"> לפסק דינו של השופט כשר.</w:t>
      </w:r>
    </w:p>
  </w:footnote>
  <w:footnote w:id="10">
    <w:p w14:paraId="09B7BA3E" w14:textId="5BE86FCB" w:rsidR="00EC51DB" w:rsidRDefault="00EC51DB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B63CC2" w:rsidRPr="00B63CC2">
        <w:rPr>
          <w:rFonts w:ascii="David" w:hAnsi="David" w:cs="David"/>
          <w:rtl/>
        </w:rPr>
        <w:t>שם, בעמ' 58.</w:t>
      </w:r>
    </w:p>
  </w:footnote>
  <w:footnote w:id="11">
    <w:p w14:paraId="249F93A8" w14:textId="5E420E14" w:rsidR="004F21DC" w:rsidRDefault="004F21DC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7746C" w:rsidRPr="0077746C">
        <w:rPr>
          <w:rFonts w:ascii="David" w:hAnsi="David" w:cs="David"/>
          <w:rtl/>
        </w:rPr>
        <w:t>שם, בפס' 58 לפסק דינו של השופט כשר.</w:t>
      </w:r>
    </w:p>
  </w:footnote>
  <w:footnote w:id="12">
    <w:p w14:paraId="2454517E" w14:textId="5F2DB69F" w:rsidR="007E4D4D" w:rsidRDefault="007E4D4D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7746C" w:rsidRPr="0077746C">
        <w:rPr>
          <w:rFonts w:ascii="David" w:hAnsi="David" w:cs="David"/>
          <w:rtl/>
        </w:rPr>
        <w:t xml:space="preserve">שם, בפס' </w:t>
      </w:r>
      <w:r w:rsidR="0077746C">
        <w:rPr>
          <w:rFonts w:ascii="David" w:hAnsi="David" w:cs="David" w:hint="cs"/>
          <w:rtl/>
        </w:rPr>
        <w:t>68</w:t>
      </w:r>
      <w:r w:rsidR="0077746C" w:rsidRPr="0077746C">
        <w:rPr>
          <w:rFonts w:ascii="David" w:hAnsi="David" w:cs="David"/>
          <w:rtl/>
        </w:rPr>
        <w:t xml:space="preserve"> לפסק דינו של השופט כשר.</w:t>
      </w:r>
    </w:p>
  </w:footnote>
  <w:footnote w:id="13">
    <w:p w14:paraId="0854830D" w14:textId="433BD90C" w:rsidR="00F15B9B" w:rsidRDefault="00F15B9B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7746C" w:rsidRPr="0077746C">
        <w:rPr>
          <w:rFonts w:ascii="David" w:hAnsi="David" w:cs="David"/>
          <w:rtl/>
        </w:rPr>
        <w:t xml:space="preserve">שם, בפס' </w:t>
      </w:r>
      <w:r w:rsidR="0077746C">
        <w:rPr>
          <w:rFonts w:ascii="David" w:hAnsi="David" w:cs="David" w:hint="cs"/>
          <w:rtl/>
        </w:rPr>
        <w:t>57</w:t>
      </w:r>
      <w:r w:rsidR="0077746C">
        <w:rPr>
          <w:rFonts w:ascii="David" w:hAnsi="David" w:cs="David"/>
          <w:rtl/>
        </w:rPr>
        <w:t>–</w:t>
      </w:r>
      <w:r w:rsidR="0077746C">
        <w:rPr>
          <w:rFonts w:ascii="David" w:hAnsi="David" w:cs="David" w:hint="cs"/>
          <w:rtl/>
        </w:rPr>
        <w:t>58</w:t>
      </w:r>
      <w:r w:rsidR="0077746C" w:rsidRPr="0077746C">
        <w:rPr>
          <w:rFonts w:ascii="David" w:hAnsi="David" w:cs="David"/>
          <w:rtl/>
        </w:rPr>
        <w:t xml:space="preserve"> לפסק דינו של השופט כשר.</w:t>
      </w:r>
    </w:p>
  </w:footnote>
  <w:footnote w:id="14">
    <w:p w14:paraId="6CC83396" w14:textId="625EA310" w:rsidR="00AD0B30" w:rsidRDefault="00AD0B30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7746C" w:rsidRPr="0077746C">
        <w:rPr>
          <w:rFonts w:ascii="David" w:hAnsi="David" w:cs="David"/>
          <w:rtl/>
        </w:rPr>
        <w:t xml:space="preserve">שם, בפס' </w:t>
      </w:r>
      <w:r w:rsidR="0077746C">
        <w:rPr>
          <w:rFonts w:ascii="David" w:hAnsi="David" w:cs="David" w:hint="cs"/>
          <w:rtl/>
        </w:rPr>
        <w:t>63,</w:t>
      </w:r>
      <w:r w:rsidR="0077746C" w:rsidRPr="0077746C">
        <w:rPr>
          <w:rFonts w:ascii="David" w:hAnsi="David" w:cs="David"/>
          <w:rtl/>
        </w:rPr>
        <w:t xml:space="preserve"> </w:t>
      </w:r>
      <w:r w:rsidR="0077746C">
        <w:rPr>
          <w:rFonts w:ascii="David" w:hAnsi="David" w:cs="David" w:hint="cs"/>
          <w:rtl/>
        </w:rPr>
        <w:t>65</w:t>
      </w:r>
      <w:r w:rsidR="0077746C">
        <w:rPr>
          <w:rFonts w:ascii="David" w:hAnsi="David" w:cs="David"/>
        </w:rPr>
        <w:t xml:space="preserve"> </w:t>
      </w:r>
      <w:r w:rsidR="0077746C" w:rsidRPr="0077746C">
        <w:rPr>
          <w:rFonts w:ascii="David" w:hAnsi="David" w:cs="David"/>
          <w:rtl/>
        </w:rPr>
        <w:t>לפסק דינו של השופט כשר.</w:t>
      </w:r>
    </w:p>
  </w:footnote>
  <w:footnote w:id="15">
    <w:p w14:paraId="16806544" w14:textId="38483AA7" w:rsidR="00A92B24" w:rsidRDefault="00A92B24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5395C">
        <w:rPr>
          <w:rFonts w:ascii="David" w:hAnsi="David" w:cs="David" w:hint="cs"/>
          <w:rtl/>
        </w:rPr>
        <w:t xml:space="preserve">דהאן, </w:t>
      </w:r>
      <w:r w:rsidR="0077746C" w:rsidRPr="00096CE0">
        <w:rPr>
          <w:rFonts w:ascii="David" w:hAnsi="David" w:cs="David"/>
          <w:rtl/>
        </w:rPr>
        <w:t xml:space="preserve">לעיל ה"ש 2, בעמ' </w:t>
      </w:r>
      <w:r w:rsidR="0077746C">
        <w:rPr>
          <w:rFonts w:ascii="David" w:hAnsi="David" w:cs="David" w:hint="cs"/>
          <w:rtl/>
        </w:rPr>
        <w:t>127-128</w:t>
      </w:r>
      <w:r w:rsidR="0077746C" w:rsidRPr="00096CE0">
        <w:rPr>
          <w:rFonts w:ascii="David" w:hAnsi="David" w:cs="David"/>
          <w:rtl/>
        </w:rPr>
        <w:t>.</w:t>
      </w:r>
      <w:r w:rsidR="0077746C">
        <w:rPr>
          <w:rFonts w:hint="cs"/>
          <w:rtl/>
        </w:rPr>
        <w:t xml:space="preserve">  </w:t>
      </w:r>
    </w:p>
  </w:footnote>
  <w:footnote w:id="16">
    <w:p w14:paraId="3A5D7202" w14:textId="0B39946D" w:rsidR="002873C6" w:rsidRDefault="002873C6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5395C">
        <w:rPr>
          <w:rFonts w:ascii="David" w:hAnsi="David" w:cs="David" w:hint="cs"/>
          <w:rtl/>
        </w:rPr>
        <w:t xml:space="preserve">עניין </w:t>
      </w:r>
      <w:r w:rsidR="00E5395C">
        <w:rPr>
          <w:rFonts w:ascii="David" w:hAnsi="David" w:cs="David" w:hint="cs"/>
          <w:b/>
          <w:bCs/>
          <w:rtl/>
        </w:rPr>
        <w:t xml:space="preserve">עירית </w:t>
      </w:r>
      <w:r w:rsidR="00E5395C" w:rsidRPr="00E5395C">
        <w:rPr>
          <w:rFonts w:ascii="David" w:hAnsi="David" w:cs="David" w:hint="cs"/>
          <w:b/>
          <w:bCs/>
          <w:rtl/>
        </w:rPr>
        <w:t>לינור</w:t>
      </w:r>
      <w:r w:rsidR="00E5395C">
        <w:rPr>
          <w:rFonts w:ascii="David" w:hAnsi="David" w:cs="David" w:hint="cs"/>
          <w:rtl/>
        </w:rPr>
        <w:t xml:space="preserve">, </w:t>
      </w:r>
      <w:r w:rsidR="0055385F" w:rsidRPr="00E5395C">
        <w:rPr>
          <w:rFonts w:ascii="David" w:hAnsi="David" w:cs="David" w:hint="cs"/>
          <w:rtl/>
        </w:rPr>
        <w:t>לעיל</w:t>
      </w:r>
      <w:r w:rsidR="0055385F">
        <w:rPr>
          <w:rFonts w:ascii="David" w:hAnsi="David" w:cs="David" w:hint="cs"/>
          <w:rtl/>
        </w:rPr>
        <w:t xml:space="preserve"> ה"ש 3,</w:t>
      </w:r>
      <w:r w:rsidR="0077746C" w:rsidRPr="0077746C">
        <w:rPr>
          <w:rFonts w:ascii="David" w:hAnsi="David" w:cs="David"/>
          <w:rtl/>
        </w:rPr>
        <w:t xml:space="preserve"> בפס' </w:t>
      </w:r>
      <w:r w:rsidR="0077746C">
        <w:rPr>
          <w:rFonts w:ascii="David" w:hAnsi="David" w:cs="David" w:hint="cs"/>
          <w:rtl/>
        </w:rPr>
        <w:t>68</w:t>
      </w:r>
      <w:r w:rsidR="0077746C">
        <w:rPr>
          <w:rFonts w:ascii="David" w:hAnsi="David" w:cs="David"/>
        </w:rPr>
        <w:t xml:space="preserve"> </w:t>
      </w:r>
      <w:r w:rsidR="0077746C" w:rsidRPr="0077746C">
        <w:rPr>
          <w:rFonts w:ascii="David" w:hAnsi="David" w:cs="David"/>
          <w:rtl/>
        </w:rPr>
        <w:t>לפסק דינו של השופט כשר.</w:t>
      </w:r>
    </w:p>
  </w:footnote>
  <w:footnote w:id="17">
    <w:p w14:paraId="38037A36" w14:textId="45FEEB77" w:rsidR="00F948C3" w:rsidRDefault="00F948C3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CD3F87">
        <w:rPr>
          <w:rFonts w:ascii="David" w:hAnsi="David" w:cs="David" w:hint="cs"/>
          <w:rtl/>
        </w:rPr>
        <w:t>דהאן, ל</w:t>
      </w:r>
      <w:r w:rsidR="0077746C" w:rsidRPr="00096CE0">
        <w:rPr>
          <w:rFonts w:ascii="David" w:hAnsi="David" w:cs="David"/>
          <w:rtl/>
        </w:rPr>
        <w:t xml:space="preserve">עיל ה"ש 2, בעמ' </w:t>
      </w:r>
      <w:r w:rsidR="0077746C">
        <w:rPr>
          <w:rFonts w:ascii="David" w:hAnsi="David" w:cs="David" w:hint="cs"/>
          <w:rtl/>
        </w:rPr>
        <w:t>126.</w:t>
      </w:r>
    </w:p>
  </w:footnote>
  <w:footnote w:id="18">
    <w:p w14:paraId="4029DCD1" w14:textId="5E986AC5" w:rsidR="0040255F" w:rsidRPr="00012D84" w:rsidRDefault="00041BFC" w:rsidP="0040255F">
      <w:pPr>
        <w:pStyle w:val="FootnoteText"/>
        <w:rPr>
          <w:rFonts w:ascii="David" w:hAnsi="David" w:cs="David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012D84">
        <w:rPr>
          <w:rFonts w:ascii="David" w:hAnsi="David" w:cs="David"/>
        </w:rPr>
        <w:t xml:space="preserve">"The Fox </w:t>
      </w:r>
      <w:r w:rsidR="0040255F" w:rsidRPr="00012D84">
        <w:rPr>
          <w:rFonts w:ascii="David" w:hAnsi="David" w:cs="David"/>
        </w:rPr>
        <w:t xml:space="preserve">and the Stork", </w:t>
      </w:r>
      <w:r w:rsidR="000A455A" w:rsidRPr="00012D84">
        <w:rPr>
          <w:rFonts w:ascii="David" w:hAnsi="David" w:cs="David"/>
          <w:b/>
          <w:bCs/>
        </w:rPr>
        <w:t>WorldStories</w:t>
      </w:r>
      <w:r w:rsidR="000A455A" w:rsidRPr="00012D84">
        <w:rPr>
          <w:rFonts w:ascii="David" w:hAnsi="David" w:cs="David"/>
        </w:rPr>
        <w:t>,</w:t>
      </w:r>
      <w:r w:rsidR="00E5131A" w:rsidRPr="00012D84">
        <w:rPr>
          <w:rFonts w:ascii="David" w:hAnsi="David" w:cs="David"/>
        </w:rPr>
        <w:t xml:space="preserve"> </w:t>
      </w:r>
      <w:hyperlink r:id="rId1" w:history="1">
        <w:r w:rsidR="00E5131A" w:rsidRPr="00012D84">
          <w:rPr>
            <w:rStyle w:val="Hyperlink"/>
            <w:rFonts w:ascii="David" w:hAnsi="David" w:cs="David"/>
          </w:rPr>
          <w:t>https://worldstories.org.uk/reader/the-fox-and-the-stork/english/657#</w:t>
        </w:r>
      </w:hyperlink>
      <w:r w:rsidR="001A65DE" w:rsidRPr="00012D84">
        <w:rPr>
          <w:rFonts w:ascii="David" w:hAnsi="David" w:cs="David"/>
          <w:rtl/>
        </w:rPr>
        <w:t>.</w:t>
      </w:r>
    </w:p>
  </w:footnote>
  <w:footnote w:id="19">
    <w:p w14:paraId="5D6535E7" w14:textId="4E08C519" w:rsidR="00A056BB" w:rsidRPr="00980862" w:rsidRDefault="00851D15" w:rsidP="00A056BB">
      <w:pPr>
        <w:pStyle w:val="FootnoteText"/>
        <w:rPr>
          <w:rtl/>
        </w:rPr>
      </w:pPr>
      <w:r w:rsidRPr="00012D84">
        <w:rPr>
          <w:rStyle w:val="FootnoteReference"/>
          <w:rFonts w:ascii="David" w:hAnsi="David" w:cs="David"/>
        </w:rPr>
        <w:footnoteRef/>
      </w:r>
      <w:r w:rsidR="00CB5F94" w:rsidRPr="00012D84">
        <w:rPr>
          <w:rFonts w:ascii="David" w:hAnsi="David" w:cs="David"/>
        </w:rPr>
        <w:t>Aesop, "</w:t>
      </w:r>
      <w:r w:rsidR="00D84003" w:rsidRPr="00012D84">
        <w:rPr>
          <w:rFonts w:ascii="David" w:hAnsi="David" w:cs="David"/>
        </w:rPr>
        <w:t xml:space="preserve">The Fables </w:t>
      </w:r>
      <w:r w:rsidR="004C5A7D" w:rsidRPr="00012D84">
        <w:rPr>
          <w:rFonts w:ascii="David" w:hAnsi="David" w:cs="David"/>
        </w:rPr>
        <w:t>of</w:t>
      </w:r>
      <w:r w:rsidR="00D84003" w:rsidRPr="00012D84">
        <w:rPr>
          <w:rFonts w:ascii="David" w:hAnsi="David" w:cs="David"/>
        </w:rPr>
        <w:t xml:space="preserve"> Aesop" </w:t>
      </w:r>
      <w:r w:rsidR="00A34D40" w:rsidRPr="00012D84">
        <w:rPr>
          <w:rFonts w:ascii="David" w:hAnsi="David" w:cs="David"/>
          <w:b/>
          <w:bCs/>
        </w:rPr>
        <w:t>Project Gutenberg</w:t>
      </w:r>
      <w:r w:rsidR="0059275C" w:rsidRPr="00012D84">
        <w:rPr>
          <w:rFonts w:ascii="David" w:hAnsi="David" w:cs="David"/>
          <w:b/>
          <w:bCs/>
        </w:rPr>
        <w:t xml:space="preserve"> </w:t>
      </w:r>
      <w:r w:rsidR="0059275C" w:rsidRPr="00012D84">
        <w:rPr>
          <w:rFonts w:ascii="David" w:hAnsi="David" w:cs="David"/>
        </w:rPr>
        <w:t xml:space="preserve">"The Fox and the </w:t>
      </w:r>
      <w:r w:rsidR="004E3FB9" w:rsidRPr="00012D84">
        <w:rPr>
          <w:rFonts w:ascii="David" w:hAnsi="David" w:cs="David"/>
        </w:rPr>
        <w:t>Stork</w:t>
      </w:r>
      <w:r w:rsidR="0059275C" w:rsidRPr="00012D84">
        <w:rPr>
          <w:rFonts w:ascii="David" w:hAnsi="David" w:cs="David"/>
        </w:rPr>
        <w:t>"</w:t>
      </w:r>
      <w:r w:rsidR="00AC5BAC" w:rsidRPr="00012D84">
        <w:rPr>
          <w:rFonts w:ascii="David" w:hAnsi="David" w:cs="David"/>
        </w:rPr>
        <w:t xml:space="preserve"> (1.3.1992)</w:t>
      </w:r>
      <w:r w:rsidR="00837ADA" w:rsidRPr="00012D84">
        <w:rPr>
          <w:rFonts w:ascii="David" w:hAnsi="David" w:cs="David"/>
        </w:rPr>
        <w:t xml:space="preserve"> </w:t>
      </w:r>
      <w:hyperlink r:id="rId2" w:history="1">
        <w:r w:rsidR="00A056BB" w:rsidRPr="00012D84">
          <w:rPr>
            <w:rStyle w:val="Hyperlink"/>
            <w:rFonts w:ascii="David" w:hAnsi="David" w:cs="David"/>
          </w:rPr>
          <w:t>https://www.gutenberg.org/cache/epub/28/pg28-images.html</w:t>
        </w:r>
      </w:hyperlink>
      <w:r w:rsidR="00521CA4">
        <w:rPr>
          <w:rFonts w:ascii="David" w:hAnsi="David" w:cs="David" w:hint="cs"/>
          <w:rtl/>
        </w:rPr>
        <w:t>;</w:t>
      </w:r>
      <w:r w:rsidR="00521CA4">
        <w:rPr>
          <w:rFonts w:ascii="David" w:hAnsi="David" w:cs="David"/>
        </w:rPr>
        <w:t xml:space="preserve"> </w:t>
      </w:r>
      <w:r w:rsidR="001B1C08">
        <w:rPr>
          <w:rFonts w:ascii="David" w:hAnsi="David" w:cs="David" w:hint="cs"/>
          <w:rtl/>
        </w:rPr>
        <w:t xml:space="preserve">טוביה צפיר </w:t>
      </w:r>
      <w:r w:rsidR="00FB5EBE">
        <w:rPr>
          <w:rFonts w:ascii="David" w:hAnsi="David" w:cs="David" w:hint="cs"/>
          <w:rtl/>
        </w:rPr>
        <w:t>"</w:t>
      </w:r>
      <w:r w:rsidR="00634169">
        <w:rPr>
          <w:rFonts w:ascii="David" w:hAnsi="David" w:cs="David" w:hint="cs"/>
          <w:rtl/>
        </w:rPr>
        <w:t xml:space="preserve">סבא טוביה </w:t>
      </w:r>
      <w:r w:rsidR="00634169">
        <w:rPr>
          <w:rFonts w:ascii="David" w:hAnsi="David" w:cs="David"/>
          <w:rtl/>
        </w:rPr>
        <w:t>–</w:t>
      </w:r>
      <w:r w:rsidR="00634169">
        <w:rPr>
          <w:rFonts w:ascii="David" w:hAnsi="David" w:cs="David" w:hint="cs"/>
          <w:rtl/>
        </w:rPr>
        <w:t xml:space="preserve"> השועל והחסידה"</w:t>
      </w:r>
      <w:r w:rsidR="00980862">
        <w:rPr>
          <w:rFonts w:ascii="David" w:hAnsi="David" w:cs="David" w:hint="cs"/>
          <w:rtl/>
        </w:rPr>
        <w:t xml:space="preserve"> </w:t>
      </w:r>
      <w:r w:rsidR="00980862">
        <w:rPr>
          <w:rFonts w:ascii="David" w:hAnsi="David" w:cs="David" w:hint="cs"/>
          <w:b/>
          <w:bCs/>
          <w:rtl/>
        </w:rPr>
        <w:t>יוטיוב</w:t>
      </w:r>
      <w:r w:rsidR="00D46085">
        <w:rPr>
          <w:rFonts w:ascii="David" w:hAnsi="David" w:cs="David" w:hint="cs"/>
          <w:rtl/>
        </w:rPr>
        <w:t xml:space="preserve"> (15.7.</w:t>
      </w:r>
      <w:r w:rsidR="00162CE9">
        <w:rPr>
          <w:rFonts w:ascii="David" w:hAnsi="David" w:cs="David" w:hint="cs"/>
          <w:rtl/>
        </w:rPr>
        <w:t>2012).</w:t>
      </w:r>
    </w:p>
  </w:footnote>
  <w:footnote w:id="20">
    <w:p w14:paraId="09AA8EA2" w14:textId="0EE4F9E4" w:rsidR="00E75A88" w:rsidRDefault="00E75A8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CE52AB">
        <w:rPr>
          <w:rFonts w:ascii="David" w:hAnsi="David" w:cs="David" w:hint="cs"/>
          <w:rtl/>
        </w:rPr>
        <w:t xml:space="preserve">דהאן, </w:t>
      </w:r>
      <w:r w:rsidR="0055385F" w:rsidRPr="00096CE0">
        <w:rPr>
          <w:rFonts w:ascii="David" w:hAnsi="David" w:cs="David"/>
          <w:rtl/>
        </w:rPr>
        <w:t>לעיל</w:t>
      </w:r>
      <w:r w:rsidR="00CE52AB">
        <w:rPr>
          <w:rFonts w:ascii="David" w:hAnsi="David" w:cs="David" w:hint="cs"/>
          <w:rtl/>
        </w:rPr>
        <w:t xml:space="preserve"> </w:t>
      </w:r>
      <w:r w:rsidR="0055385F" w:rsidRPr="00096CE0">
        <w:rPr>
          <w:rFonts w:ascii="David" w:hAnsi="David" w:cs="David"/>
          <w:rtl/>
        </w:rPr>
        <w:t xml:space="preserve">ה"ש 2, בעמ' </w:t>
      </w:r>
      <w:r w:rsidR="0055385F">
        <w:rPr>
          <w:rFonts w:ascii="David" w:hAnsi="David" w:cs="David" w:hint="cs"/>
          <w:rtl/>
        </w:rPr>
        <w:t>120</w:t>
      </w:r>
      <w:r w:rsidR="0055385F">
        <w:rPr>
          <w:rFonts w:ascii="David" w:hAnsi="David" w:cs="David"/>
          <w:rtl/>
        </w:rPr>
        <w:t>–</w:t>
      </w:r>
      <w:r w:rsidR="0055385F">
        <w:rPr>
          <w:rFonts w:ascii="David" w:hAnsi="David" w:cs="David" w:hint="cs"/>
          <w:rtl/>
        </w:rPr>
        <w:t>121.</w:t>
      </w:r>
    </w:p>
  </w:footnote>
  <w:footnote w:id="21">
    <w:p w14:paraId="769E1AFA" w14:textId="12247170" w:rsidR="00E4101F" w:rsidRPr="00E4101F" w:rsidRDefault="00E4101F">
      <w:pPr>
        <w:pStyle w:val="FootnoteText"/>
        <w:rPr>
          <w:rFonts w:ascii="David" w:hAnsi="David" w:cs="David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E4101F">
        <w:rPr>
          <w:rFonts w:ascii="David" w:hAnsi="David" w:cs="David"/>
          <w:rtl/>
        </w:rPr>
        <w:t>חוק ביטוח בריאות ממלכתי, התשנ"ד</w:t>
      </w:r>
      <w:r w:rsidR="00827651">
        <w:rPr>
          <w:rFonts w:ascii="David" w:hAnsi="David" w:cs="David"/>
          <w:rtl/>
        </w:rPr>
        <w:t>–</w:t>
      </w:r>
      <w:r w:rsidRPr="00E4101F">
        <w:rPr>
          <w:rFonts w:ascii="David" w:hAnsi="David" w:cs="David"/>
          <w:rtl/>
        </w:rPr>
        <w:t xml:space="preserve">1994. </w:t>
      </w:r>
    </w:p>
  </w:footnote>
  <w:footnote w:id="22">
    <w:p w14:paraId="13B25A16" w14:textId="4D9190FD" w:rsidR="00325BC6" w:rsidRPr="00CC1D6E" w:rsidRDefault="00325BC6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0B4E4B" w:rsidRPr="00E4101F">
        <w:rPr>
          <w:rFonts w:ascii="David" w:hAnsi="David" w:cs="David"/>
          <w:rtl/>
        </w:rPr>
        <w:t>"</w:t>
      </w:r>
      <w:r w:rsidR="00CC1D6E" w:rsidRPr="00E4101F">
        <w:rPr>
          <w:rFonts w:ascii="David" w:hAnsi="David" w:cs="David"/>
          <w:rtl/>
        </w:rPr>
        <w:t xml:space="preserve">ועדה ציבורית להרחבת סל שירותי הבריאות" </w:t>
      </w:r>
      <w:r w:rsidR="00CC1D6E" w:rsidRPr="00E4101F">
        <w:rPr>
          <w:rFonts w:ascii="David" w:hAnsi="David" w:cs="David"/>
          <w:b/>
          <w:bCs/>
          <w:rtl/>
        </w:rPr>
        <w:t>משרד הבריאות</w:t>
      </w:r>
      <w:r w:rsidR="00CC1D6E" w:rsidRPr="00E4101F">
        <w:rPr>
          <w:rFonts w:ascii="David" w:hAnsi="David" w:cs="David"/>
          <w:rtl/>
        </w:rPr>
        <w:t xml:space="preserve"> </w:t>
      </w:r>
      <w:hyperlink r:id="rId3" w:anchor="1" w:history="1">
        <w:r w:rsidR="00381C54" w:rsidRPr="00E4101F">
          <w:rPr>
            <w:rStyle w:val="Hyperlink"/>
            <w:rFonts w:ascii="David" w:hAnsi="David" w:cs="David"/>
          </w:rPr>
          <w:t>https://www.gov.il/he/departments/units/vsal-committee-unit#1</w:t>
        </w:r>
      </w:hyperlink>
      <w:r w:rsidR="00381C54" w:rsidRPr="00E4101F">
        <w:rPr>
          <w:rFonts w:ascii="David" w:hAnsi="David" w:cs="David"/>
        </w:rPr>
        <w:t xml:space="preserve"> </w:t>
      </w:r>
      <w:r w:rsidR="00381C54" w:rsidRPr="00E4101F">
        <w:rPr>
          <w:rFonts w:ascii="David" w:hAnsi="David" w:cs="David"/>
          <w:rtl/>
        </w:rPr>
        <w:t xml:space="preserve"> </w:t>
      </w:r>
      <w:r w:rsidR="003F2A16" w:rsidRPr="00E4101F">
        <w:rPr>
          <w:rFonts w:ascii="David" w:hAnsi="David" w:cs="David"/>
          <w:rtl/>
        </w:rPr>
        <w:t>(</w:t>
      </w:r>
      <w:r w:rsidR="00676318" w:rsidRPr="00E4101F">
        <w:rPr>
          <w:rFonts w:ascii="David" w:hAnsi="David" w:cs="David"/>
          <w:rtl/>
        </w:rPr>
        <w:t>24.2.2026)</w:t>
      </w:r>
      <w:r w:rsidR="00381C54" w:rsidRPr="00E4101F">
        <w:rPr>
          <w:rFonts w:ascii="David" w:hAnsi="David" w:cs="David"/>
          <w:rtl/>
        </w:rPr>
        <w:t>.</w:t>
      </w:r>
    </w:p>
  </w:footnote>
  <w:footnote w:id="23">
    <w:p w14:paraId="670326D0" w14:textId="24767B6B" w:rsidR="00325BC6" w:rsidRPr="003E6DBA" w:rsidRDefault="00325BC6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21746" w:rsidRPr="001E291C">
        <w:rPr>
          <w:rFonts w:ascii="David" w:hAnsi="David" w:cs="David"/>
          <w:rtl/>
        </w:rPr>
        <w:t xml:space="preserve">גלי וינרב </w:t>
      </w:r>
      <w:r w:rsidR="003E6DBA" w:rsidRPr="001E291C">
        <w:rPr>
          <w:rFonts w:ascii="David" w:hAnsi="David" w:cs="David"/>
          <w:rtl/>
        </w:rPr>
        <w:t xml:space="preserve">"סל הבריאות ל-2026: תרופות נגד השמה בפנים, ומה בחוץ?" </w:t>
      </w:r>
      <w:r w:rsidR="003E6DBA" w:rsidRPr="001E291C">
        <w:rPr>
          <w:rFonts w:ascii="David" w:hAnsi="David" w:cs="David"/>
          <w:b/>
          <w:bCs/>
          <w:rtl/>
        </w:rPr>
        <w:t>גלובס</w:t>
      </w:r>
      <w:r w:rsidR="003E6DBA" w:rsidRPr="001E291C">
        <w:rPr>
          <w:rFonts w:ascii="David" w:hAnsi="David" w:cs="David"/>
          <w:rtl/>
        </w:rPr>
        <w:t xml:space="preserve"> (</w:t>
      </w:r>
      <w:r w:rsidR="001E291C" w:rsidRPr="001E291C">
        <w:rPr>
          <w:rFonts w:ascii="David" w:hAnsi="David" w:cs="David"/>
          <w:rtl/>
        </w:rPr>
        <w:t xml:space="preserve">19.2.2026) </w:t>
      </w:r>
      <w:hyperlink r:id="rId4" w:history="1">
        <w:r w:rsidR="001E291C" w:rsidRPr="001E291C">
          <w:rPr>
            <w:rStyle w:val="Hyperlink"/>
            <w:rFonts w:ascii="David" w:hAnsi="David" w:cs="David"/>
          </w:rPr>
          <w:t>https://www.globes.co.il/news/article.aspx?did=1001535656</w:t>
        </w:r>
      </w:hyperlink>
      <w:r w:rsidR="001E291C" w:rsidRPr="001E291C">
        <w:rPr>
          <w:rFonts w:ascii="David" w:hAnsi="David" w:cs="David"/>
          <w:rtl/>
        </w:rPr>
        <w:t>.</w:t>
      </w:r>
      <w:r w:rsidR="001E291C">
        <w:rPr>
          <w:rFonts w:hint="cs"/>
          <w:rtl/>
        </w:rPr>
        <w:t xml:space="preserve"> </w:t>
      </w:r>
    </w:p>
  </w:footnote>
  <w:footnote w:id="24">
    <w:p w14:paraId="4207A71F" w14:textId="0A068CC4" w:rsidR="00102F22" w:rsidRDefault="00102F22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A2117D" w:rsidRPr="00A2117D">
        <w:rPr>
          <w:rFonts w:ascii="David" w:hAnsi="David" w:cs="David"/>
          <w:rtl/>
        </w:rPr>
        <w:t>ועדה ציבורית, לעיל ה"ש 22.</w:t>
      </w:r>
      <w:r w:rsidR="00A2117D">
        <w:rPr>
          <w:rFonts w:hint="cs"/>
          <w:rtl/>
        </w:rPr>
        <w:t xml:space="preserve"> </w:t>
      </w:r>
    </w:p>
  </w:footnote>
  <w:footnote w:id="25">
    <w:p w14:paraId="055F7B71" w14:textId="55FDC444" w:rsidR="009A32A8" w:rsidRDefault="009A32A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1D7A5D" w:rsidRPr="001D7A5D">
        <w:rPr>
          <w:rFonts w:ascii="David" w:hAnsi="David" w:cs="David"/>
          <w:rtl/>
        </w:rPr>
        <w:t>דהאן, לעיל ה"ש 2, ב</w:t>
      </w:r>
      <w:r w:rsidR="000D7FC9" w:rsidRPr="001D7A5D">
        <w:rPr>
          <w:rFonts w:ascii="David" w:hAnsi="David" w:cs="David"/>
          <w:rtl/>
        </w:rPr>
        <w:t>עמ</w:t>
      </w:r>
      <w:r w:rsidR="001D7A5D" w:rsidRPr="001D7A5D">
        <w:rPr>
          <w:rFonts w:ascii="David" w:hAnsi="David" w:cs="David"/>
          <w:rtl/>
        </w:rPr>
        <w:t xml:space="preserve">' </w:t>
      </w:r>
      <w:r w:rsidR="000D7FC9" w:rsidRPr="001D7A5D">
        <w:rPr>
          <w:rFonts w:ascii="David" w:hAnsi="David" w:cs="David"/>
          <w:rtl/>
        </w:rPr>
        <w:t>65</w:t>
      </w:r>
      <w:r w:rsidR="007D646A">
        <w:rPr>
          <w:rFonts w:ascii="David" w:hAnsi="David" w:cs="David"/>
          <w:rtl/>
        </w:rPr>
        <w:t>–</w:t>
      </w:r>
      <w:r w:rsidR="000D7FC9" w:rsidRPr="001D7A5D">
        <w:rPr>
          <w:rFonts w:ascii="David" w:hAnsi="David" w:cs="David"/>
          <w:rtl/>
        </w:rPr>
        <w:t>67</w:t>
      </w:r>
      <w:r w:rsidR="001D7A5D" w:rsidRPr="001D7A5D">
        <w:rPr>
          <w:rFonts w:ascii="David" w:hAnsi="David" w:cs="David"/>
          <w:rtl/>
        </w:rPr>
        <w:t>.</w:t>
      </w:r>
    </w:p>
  </w:footnote>
  <w:footnote w:id="26">
    <w:p w14:paraId="7C108324" w14:textId="78E6610B" w:rsidR="009A32A8" w:rsidRDefault="009A32A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1D7A5D" w:rsidRPr="001D7A5D">
        <w:rPr>
          <w:rFonts w:ascii="David" w:hAnsi="David" w:cs="David"/>
          <w:rtl/>
        </w:rPr>
        <w:t>שם, בעמ'</w:t>
      </w:r>
      <w:r w:rsidR="000D7FC9" w:rsidRPr="001D7A5D">
        <w:rPr>
          <w:rFonts w:ascii="David" w:hAnsi="David" w:cs="David"/>
          <w:rtl/>
        </w:rPr>
        <w:t xml:space="preserve"> 75</w:t>
      </w:r>
      <w:r w:rsidR="007D646A">
        <w:rPr>
          <w:rFonts w:ascii="David" w:hAnsi="David" w:cs="David"/>
          <w:rtl/>
        </w:rPr>
        <w:t>–</w:t>
      </w:r>
      <w:r w:rsidR="000D7FC9" w:rsidRPr="001D7A5D">
        <w:rPr>
          <w:rFonts w:ascii="David" w:hAnsi="David" w:cs="David"/>
          <w:rtl/>
        </w:rPr>
        <w:t>76</w:t>
      </w:r>
      <w:r w:rsidR="001D7A5D" w:rsidRPr="001D7A5D">
        <w:rPr>
          <w:rFonts w:ascii="David" w:hAnsi="David" w:cs="David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FE56" w14:textId="3D6E0020" w:rsidR="00C47E6D" w:rsidRPr="00C47E6D" w:rsidRDefault="00C47E6D" w:rsidP="00C47E6D">
    <w:pPr>
      <w:pStyle w:val="Header"/>
      <w:bidi w:val="0"/>
      <w:jc w:val="center"/>
      <w:rPr>
        <w:rFonts w:ascii="David" w:hAnsi="David" w:cs="David"/>
        <w:rtl/>
      </w:rPr>
    </w:pPr>
    <w:r w:rsidRPr="00C47E6D">
      <w:rPr>
        <w:rFonts w:ascii="David" w:hAnsi="David" w:cs="David"/>
        <w:rtl/>
      </w:rPr>
      <w:t>ת.ז: 213056070</w:t>
    </w:r>
  </w:p>
  <w:p w14:paraId="01FBC58B" w14:textId="3206190B" w:rsidR="00C47E6D" w:rsidRPr="00C47E6D" w:rsidRDefault="00C47E6D" w:rsidP="00C47E6D">
    <w:pPr>
      <w:pStyle w:val="Header"/>
      <w:bidi w:val="0"/>
      <w:jc w:val="center"/>
      <w:rPr>
        <w:rFonts w:ascii="David" w:hAnsi="David" w:cs="David"/>
        <w:rtl/>
      </w:rPr>
    </w:pPr>
    <w:r w:rsidRPr="00C47E6D">
      <w:rPr>
        <w:rFonts w:ascii="David" w:hAnsi="David" w:cs="David"/>
        <w:rtl/>
      </w:rPr>
      <w:t>מטלת הגשה</w:t>
    </w:r>
    <w:r>
      <w:rPr>
        <w:rFonts w:ascii="David" w:hAnsi="David" w:cs="David" w:hint="cs"/>
        <w:rtl/>
      </w:rPr>
      <w:t xml:space="preserve"> </w:t>
    </w:r>
    <w:r>
      <w:rPr>
        <w:rFonts w:ascii="David" w:hAnsi="David" w:cs="David"/>
        <w:rtl/>
      </w:rPr>
      <w:t>–</w:t>
    </w:r>
    <w:r>
      <w:rPr>
        <w:rFonts w:ascii="David" w:hAnsi="David" w:cs="David" w:hint="cs"/>
        <w:rtl/>
      </w:rPr>
      <w:t xml:space="preserve"> קורס חשיבה המוניסטית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3C"/>
    <w:rsid w:val="000002F2"/>
    <w:rsid w:val="00000A71"/>
    <w:rsid w:val="00001BE6"/>
    <w:rsid w:val="00006581"/>
    <w:rsid w:val="000067C8"/>
    <w:rsid w:val="00007182"/>
    <w:rsid w:val="000115AB"/>
    <w:rsid w:val="00011A4C"/>
    <w:rsid w:val="00012D84"/>
    <w:rsid w:val="00014A42"/>
    <w:rsid w:val="00015A06"/>
    <w:rsid w:val="00016CD2"/>
    <w:rsid w:val="00017754"/>
    <w:rsid w:val="00020ADB"/>
    <w:rsid w:val="00021C7E"/>
    <w:rsid w:val="00025BCA"/>
    <w:rsid w:val="00027703"/>
    <w:rsid w:val="0003182B"/>
    <w:rsid w:val="00032E60"/>
    <w:rsid w:val="000373B8"/>
    <w:rsid w:val="00041BFC"/>
    <w:rsid w:val="0004511F"/>
    <w:rsid w:val="00045B48"/>
    <w:rsid w:val="000514DF"/>
    <w:rsid w:val="00051FBF"/>
    <w:rsid w:val="0005565F"/>
    <w:rsid w:val="00057AD6"/>
    <w:rsid w:val="0006100A"/>
    <w:rsid w:val="00062412"/>
    <w:rsid w:val="000633BD"/>
    <w:rsid w:val="0006382E"/>
    <w:rsid w:val="0006595A"/>
    <w:rsid w:val="00066B4D"/>
    <w:rsid w:val="00070765"/>
    <w:rsid w:val="0007174D"/>
    <w:rsid w:val="00073FF5"/>
    <w:rsid w:val="00081C17"/>
    <w:rsid w:val="00082E1E"/>
    <w:rsid w:val="00083AF5"/>
    <w:rsid w:val="000930F3"/>
    <w:rsid w:val="00093A29"/>
    <w:rsid w:val="00093BD1"/>
    <w:rsid w:val="00094AFA"/>
    <w:rsid w:val="00096A8C"/>
    <w:rsid w:val="00096CE0"/>
    <w:rsid w:val="000978B0"/>
    <w:rsid w:val="000A01AA"/>
    <w:rsid w:val="000A045B"/>
    <w:rsid w:val="000A2532"/>
    <w:rsid w:val="000A455A"/>
    <w:rsid w:val="000A4EF8"/>
    <w:rsid w:val="000A5371"/>
    <w:rsid w:val="000B0924"/>
    <w:rsid w:val="000B4E4B"/>
    <w:rsid w:val="000B686D"/>
    <w:rsid w:val="000B7569"/>
    <w:rsid w:val="000C06BF"/>
    <w:rsid w:val="000C20B6"/>
    <w:rsid w:val="000C5DF0"/>
    <w:rsid w:val="000D25FF"/>
    <w:rsid w:val="000D33BA"/>
    <w:rsid w:val="000D5EE1"/>
    <w:rsid w:val="000D7FC9"/>
    <w:rsid w:val="000E1BC9"/>
    <w:rsid w:val="000E6332"/>
    <w:rsid w:val="000F4D38"/>
    <w:rsid w:val="00102F22"/>
    <w:rsid w:val="001045D2"/>
    <w:rsid w:val="00107F93"/>
    <w:rsid w:val="00114648"/>
    <w:rsid w:val="00114960"/>
    <w:rsid w:val="001157E8"/>
    <w:rsid w:val="00123E64"/>
    <w:rsid w:val="00125E51"/>
    <w:rsid w:val="00143671"/>
    <w:rsid w:val="001469DC"/>
    <w:rsid w:val="00151A4F"/>
    <w:rsid w:val="00153667"/>
    <w:rsid w:val="00156345"/>
    <w:rsid w:val="00160C1E"/>
    <w:rsid w:val="00161398"/>
    <w:rsid w:val="00162109"/>
    <w:rsid w:val="00162CE9"/>
    <w:rsid w:val="001666AD"/>
    <w:rsid w:val="001675B9"/>
    <w:rsid w:val="00172686"/>
    <w:rsid w:val="00174075"/>
    <w:rsid w:val="00174164"/>
    <w:rsid w:val="00174BBD"/>
    <w:rsid w:val="00175B80"/>
    <w:rsid w:val="00177AC0"/>
    <w:rsid w:val="00191825"/>
    <w:rsid w:val="00192A0C"/>
    <w:rsid w:val="0019321C"/>
    <w:rsid w:val="00195DFB"/>
    <w:rsid w:val="00196797"/>
    <w:rsid w:val="00197264"/>
    <w:rsid w:val="001A2D2C"/>
    <w:rsid w:val="001A65DE"/>
    <w:rsid w:val="001B1C08"/>
    <w:rsid w:val="001B5DCE"/>
    <w:rsid w:val="001B7175"/>
    <w:rsid w:val="001B721C"/>
    <w:rsid w:val="001B74B7"/>
    <w:rsid w:val="001C217A"/>
    <w:rsid w:val="001D0C63"/>
    <w:rsid w:val="001D115D"/>
    <w:rsid w:val="001D6559"/>
    <w:rsid w:val="001D6F89"/>
    <w:rsid w:val="001D7A5D"/>
    <w:rsid w:val="001E0DE2"/>
    <w:rsid w:val="001E102E"/>
    <w:rsid w:val="001E291C"/>
    <w:rsid w:val="001E6E7C"/>
    <w:rsid w:val="001F1C45"/>
    <w:rsid w:val="001F37D5"/>
    <w:rsid w:val="001F6D3D"/>
    <w:rsid w:val="002034D5"/>
    <w:rsid w:val="002043A1"/>
    <w:rsid w:val="0020446E"/>
    <w:rsid w:val="0021090D"/>
    <w:rsid w:val="00211940"/>
    <w:rsid w:val="002141B5"/>
    <w:rsid w:val="00214325"/>
    <w:rsid w:val="002250D7"/>
    <w:rsid w:val="0022606D"/>
    <w:rsid w:val="00230793"/>
    <w:rsid w:val="00235ECD"/>
    <w:rsid w:val="00235F53"/>
    <w:rsid w:val="002363E1"/>
    <w:rsid w:val="00237A69"/>
    <w:rsid w:val="00243DFD"/>
    <w:rsid w:val="00244B2A"/>
    <w:rsid w:val="002459F3"/>
    <w:rsid w:val="00245F34"/>
    <w:rsid w:val="002462E5"/>
    <w:rsid w:val="00250037"/>
    <w:rsid w:val="002513A9"/>
    <w:rsid w:val="00253D04"/>
    <w:rsid w:val="00257043"/>
    <w:rsid w:val="00257623"/>
    <w:rsid w:val="00261111"/>
    <w:rsid w:val="00264844"/>
    <w:rsid w:val="00264FFD"/>
    <w:rsid w:val="0027493A"/>
    <w:rsid w:val="00276894"/>
    <w:rsid w:val="002810CD"/>
    <w:rsid w:val="00284ED5"/>
    <w:rsid w:val="002873C6"/>
    <w:rsid w:val="00287A09"/>
    <w:rsid w:val="00287AD5"/>
    <w:rsid w:val="002905F9"/>
    <w:rsid w:val="0029338E"/>
    <w:rsid w:val="002939D4"/>
    <w:rsid w:val="00296961"/>
    <w:rsid w:val="00296AFE"/>
    <w:rsid w:val="002A19A2"/>
    <w:rsid w:val="002A1E8B"/>
    <w:rsid w:val="002A2637"/>
    <w:rsid w:val="002A3B53"/>
    <w:rsid w:val="002A3E57"/>
    <w:rsid w:val="002A6814"/>
    <w:rsid w:val="002A74D9"/>
    <w:rsid w:val="002B0781"/>
    <w:rsid w:val="002B13C8"/>
    <w:rsid w:val="002B4BD6"/>
    <w:rsid w:val="002B682F"/>
    <w:rsid w:val="002B78AC"/>
    <w:rsid w:val="002C1A4F"/>
    <w:rsid w:val="002C390D"/>
    <w:rsid w:val="002C3B47"/>
    <w:rsid w:val="002C5805"/>
    <w:rsid w:val="002C645D"/>
    <w:rsid w:val="002C6546"/>
    <w:rsid w:val="002D3888"/>
    <w:rsid w:val="002D3DB5"/>
    <w:rsid w:val="002D5671"/>
    <w:rsid w:val="002D58E7"/>
    <w:rsid w:val="002D6851"/>
    <w:rsid w:val="002E0D2A"/>
    <w:rsid w:val="002E4A67"/>
    <w:rsid w:val="002E5DB9"/>
    <w:rsid w:val="002F603B"/>
    <w:rsid w:val="002F6B14"/>
    <w:rsid w:val="002F6FE2"/>
    <w:rsid w:val="00300C85"/>
    <w:rsid w:val="00302EA9"/>
    <w:rsid w:val="00303648"/>
    <w:rsid w:val="00304298"/>
    <w:rsid w:val="00307DEF"/>
    <w:rsid w:val="0031166D"/>
    <w:rsid w:val="00315241"/>
    <w:rsid w:val="00315AB1"/>
    <w:rsid w:val="00316486"/>
    <w:rsid w:val="003179E0"/>
    <w:rsid w:val="00317AA1"/>
    <w:rsid w:val="003218AF"/>
    <w:rsid w:val="00324608"/>
    <w:rsid w:val="00325BC6"/>
    <w:rsid w:val="00327F99"/>
    <w:rsid w:val="00337965"/>
    <w:rsid w:val="00345559"/>
    <w:rsid w:val="0034583C"/>
    <w:rsid w:val="003460EF"/>
    <w:rsid w:val="003473B9"/>
    <w:rsid w:val="0035588F"/>
    <w:rsid w:val="00363C92"/>
    <w:rsid w:val="00364A8F"/>
    <w:rsid w:val="00367B39"/>
    <w:rsid w:val="00367D34"/>
    <w:rsid w:val="0037191F"/>
    <w:rsid w:val="00373F40"/>
    <w:rsid w:val="003743D1"/>
    <w:rsid w:val="00377BAE"/>
    <w:rsid w:val="00381C54"/>
    <w:rsid w:val="0038256D"/>
    <w:rsid w:val="0038306B"/>
    <w:rsid w:val="00383D6F"/>
    <w:rsid w:val="0038434D"/>
    <w:rsid w:val="003864A1"/>
    <w:rsid w:val="00386FD3"/>
    <w:rsid w:val="003940E5"/>
    <w:rsid w:val="0039649D"/>
    <w:rsid w:val="003A040D"/>
    <w:rsid w:val="003A16D4"/>
    <w:rsid w:val="003A3012"/>
    <w:rsid w:val="003A655E"/>
    <w:rsid w:val="003B59DE"/>
    <w:rsid w:val="003B6C50"/>
    <w:rsid w:val="003B6D07"/>
    <w:rsid w:val="003C2B86"/>
    <w:rsid w:val="003C3CA4"/>
    <w:rsid w:val="003D1119"/>
    <w:rsid w:val="003D4201"/>
    <w:rsid w:val="003D42C9"/>
    <w:rsid w:val="003D4344"/>
    <w:rsid w:val="003E12C5"/>
    <w:rsid w:val="003E16A3"/>
    <w:rsid w:val="003E396B"/>
    <w:rsid w:val="003E3F67"/>
    <w:rsid w:val="003E6DBA"/>
    <w:rsid w:val="003F2A16"/>
    <w:rsid w:val="003F3F1D"/>
    <w:rsid w:val="003F44D2"/>
    <w:rsid w:val="003F57A0"/>
    <w:rsid w:val="003F73E0"/>
    <w:rsid w:val="003F7797"/>
    <w:rsid w:val="00400213"/>
    <w:rsid w:val="00401417"/>
    <w:rsid w:val="00401845"/>
    <w:rsid w:val="0040255F"/>
    <w:rsid w:val="00403E94"/>
    <w:rsid w:val="00404247"/>
    <w:rsid w:val="00406A42"/>
    <w:rsid w:val="004071C0"/>
    <w:rsid w:val="00410493"/>
    <w:rsid w:val="00416890"/>
    <w:rsid w:val="0042113C"/>
    <w:rsid w:val="00427447"/>
    <w:rsid w:val="004326A2"/>
    <w:rsid w:val="00434131"/>
    <w:rsid w:val="00436F5B"/>
    <w:rsid w:val="00447F4A"/>
    <w:rsid w:val="00451D54"/>
    <w:rsid w:val="00452A93"/>
    <w:rsid w:val="00453E39"/>
    <w:rsid w:val="004549FC"/>
    <w:rsid w:val="0045538F"/>
    <w:rsid w:val="0045608C"/>
    <w:rsid w:val="004604B1"/>
    <w:rsid w:val="00461BEE"/>
    <w:rsid w:val="00481438"/>
    <w:rsid w:val="004825E3"/>
    <w:rsid w:val="00485A72"/>
    <w:rsid w:val="00491C04"/>
    <w:rsid w:val="004954B9"/>
    <w:rsid w:val="00496F47"/>
    <w:rsid w:val="004972C2"/>
    <w:rsid w:val="00497E43"/>
    <w:rsid w:val="004A0D19"/>
    <w:rsid w:val="004A7855"/>
    <w:rsid w:val="004B0E9F"/>
    <w:rsid w:val="004B1E9F"/>
    <w:rsid w:val="004B295F"/>
    <w:rsid w:val="004B519C"/>
    <w:rsid w:val="004B5A21"/>
    <w:rsid w:val="004C5A7D"/>
    <w:rsid w:val="004D1923"/>
    <w:rsid w:val="004D1BC0"/>
    <w:rsid w:val="004D410C"/>
    <w:rsid w:val="004E38A3"/>
    <w:rsid w:val="004E3FB9"/>
    <w:rsid w:val="004E700D"/>
    <w:rsid w:val="004F09E4"/>
    <w:rsid w:val="004F21DC"/>
    <w:rsid w:val="004F38F0"/>
    <w:rsid w:val="004F649F"/>
    <w:rsid w:val="004F696C"/>
    <w:rsid w:val="004F7B50"/>
    <w:rsid w:val="00501868"/>
    <w:rsid w:val="00505472"/>
    <w:rsid w:val="00506701"/>
    <w:rsid w:val="00506D93"/>
    <w:rsid w:val="005119E0"/>
    <w:rsid w:val="00513A6D"/>
    <w:rsid w:val="00513FD4"/>
    <w:rsid w:val="005150E4"/>
    <w:rsid w:val="00516D24"/>
    <w:rsid w:val="00520076"/>
    <w:rsid w:val="005206A7"/>
    <w:rsid w:val="00521CA4"/>
    <w:rsid w:val="00522893"/>
    <w:rsid w:val="00523EEE"/>
    <w:rsid w:val="00523FE9"/>
    <w:rsid w:val="005256C7"/>
    <w:rsid w:val="005266C8"/>
    <w:rsid w:val="005272CC"/>
    <w:rsid w:val="00527E8C"/>
    <w:rsid w:val="00530DC5"/>
    <w:rsid w:val="005405E0"/>
    <w:rsid w:val="00544086"/>
    <w:rsid w:val="005477BC"/>
    <w:rsid w:val="005508DB"/>
    <w:rsid w:val="00551539"/>
    <w:rsid w:val="00553410"/>
    <w:rsid w:val="0055385F"/>
    <w:rsid w:val="00563E99"/>
    <w:rsid w:val="00567CD7"/>
    <w:rsid w:val="0058375C"/>
    <w:rsid w:val="00590171"/>
    <w:rsid w:val="0059176D"/>
    <w:rsid w:val="0059275C"/>
    <w:rsid w:val="00592B0E"/>
    <w:rsid w:val="005A524B"/>
    <w:rsid w:val="005A7F73"/>
    <w:rsid w:val="005B3341"/>
    <w:rsid w:val="005B6A3F"/>
    <w:rsid w:val="005B6FF7"/>
    <w:rsid w:val="005C013C"/>
    <w:rsid w:val="005C2E7D"/>
    <w:rsid w:val="005C3BDD"/>
    <w:rsid w:val="005D0F9A"/>
    <w:rsid w:val="005D1C6C"/>
    <w:rsid w:val="005D395E"/>
    <w:rsid w:val="005D3BAD"/>
    <w:rsid w:val="005D4ED2"/>
    <w:rsid w:val="005E1A1C"/>
    <w:rsid w:val="005F3347"/>
    <w:rsid w:val="005F52E0"/>
    <w:rsid w:val="005F6716"/>
    <w:rsid w:val="00601A64"/>
    <w:rsid w:val="006037DD"/>
    <w:rsid w:val="00605DF5"/>
    <w:rsid w:val="00611B6D"/>
    <w:rsid w:val="006121EE"/>
    <w:rsid w:val="00612F31"/>
    <w:rsid w:val="006157E4"/>
    <w:rsid w:val="00615906"/>
    <w:rsid w:val="00616142"/>
    <w:rsid w:val="00617104"/>
    <w:rsid w:val="006222CA"/>
    <w:rsid w:val="00622316"/>
    <w:rsid w:val="006259EE"/>
    <w:rsid w:val="00626883"/>
    <w:rsid w:val="00627696"/>
    <w:rsid w:val="00634169"/>
    <w:rsid w:val="006347CD"/>
    <w:rsid w:val="00640401"/>
    <w:rsid w:val="00644306"/>
    <w:rsid w:val="00646538"/>
    <w:rsid w:val="0065043A"/>
    <w:rsid w:val="00650722"/>
    <w:rsid w:val="00651938"/>
    <w:rsid w:val="0066186E"/>
    <w:rsid w:val="00661FB5"/>
    <w:rsid w:val="00662A28"/>
    <w:rsid w:val="0066418A"/>
    <w:rsid w:val="006645A8"/>
    <w:rsid w:val="0066598A"/>
    <w:rsid w:val="006711B4"/>
    <w:rsid w:val="00672E03"/>
    <w:rsid w:val="00676318"/>
    <w:rsid w:val="00682B81"/>
    <w:rsid w:val="00682F63"/>
    <w:rsid w:val="00683018"/>
    <w:rsid w:val="006840D8"/>
    <w:rsid w:val="00687D61"/>
    <w:rsid w:val="0069507E"/>
    <w:rsid w:val="006954D5"/>
    <w:rsid w:val="00696D4D"/>
    <w:rsid w:val="006A31E1"/>
    <w:rsid w:val="006A55D4"/>
    <w:rsid w:val="006A681E"/>
    <w:rsid w:val="006A6E1D"/>
    <w:rsid w:val="006B163B"/>
    <w:rsid w:val="006C073E"/>
    <w:rsid w:val="006C28DC"/>
    <w:rsid w:val="006C34C4"/>
    <w:rsid w:val="006C3BCD"/>
    <w:rsid w:val="006C7E45"/>
    <w:rsid w:val="006D3057"/>
    <w:rsid w:val="006D7BD2"/>
    <w:rsid w:val="006D7F14"/>
    <w:rsid w:val="006E1731"/>
    <w:rsid w:val="006E230A"/>
    <w:rsid w:val="006E36E5"/>
    <w:rsid w:val="006E7224"/>
    <w:rsid w:val="006F09A8"/>
    <w:rsid w:val="006F0B34"/>
    <w:rsid w:val="006F3FF6"/>
    <w:rsid w:val="006F4753"/>
    <w:rsid w:val="006F608A"/>
    <w:rsid w:val="006F65BA"/>
    <w:rsid w:val="006F7E8A"/>
    <w:rsid w:val="007009FF"/>
    <w:rsid w:val="007058DD"/>
    <w:rsid w:val="007065C2"/>
    <w:rsid w:val="00707144"/>
    <w:rsid w:val="007076AA"/>
    <w:rsid w:val="00710430"/>
    <w:rsid w:val="00712DB2"/>
    <w:rsid w:val="00714458"/>
    <w:rsid w:val="00714707"/>
    <w:rsid w:val="0071665F"/>
    <w:rsid w:val="00722E5B"/>
    <w:rsid w:val="00724A03"/>
    <w:rsid w:val="0072564E"/>
    <w:rsid w:val="00726003"/>
    <w:rsid w:val="00733B18"/>
    <w:rsid w:val="00735301"/>
    <w:rsid w:val="0073687A"/>
    <w:rsid w:val="00743176"/>
    <w:rsid w:val="007435BB"/>
    <w:rsid w:val="007440E1"/>
    <w:rsid w:val="007451B2"/>
    <w:rsid w:val="007457D7"/>
    <w:rsid w:val="00750C19"/>
    <w:rsid w:val="007515F6"/>
    <w:rsid w:val="00752769"/>
    <w:rsid w:val="00754B17"/>
    <w:rsid w:val="00760D71"/>
    <w:rsid w:val="00762DB8"/>
    <w:rsid w:val="0077746C"/>
    <w:rsid w:val="00787917"/>
    <w:rsid w:val="00790AB9"/>
    <w:rsid w:val="00793B63"/>
    <w:rsid w:val="00794C20"/>
    <w:rsid w:val="0079728C"/>
    <w:rsid w:val="007A2563"/>
    <w:rsid w:val="007A2A71"/>
    <w:rsid w:val="007A7D5F"/>
    <w:rsid w:val="007B0018"/>
    <w:rsid w:val="007B1FF5"/>
    <w:rsid w:val="007B2D29"/>
    <w:rsid w:val="007B4FC6"/>
    <w:rsid w:val="007B7786"/>
    <w:rsid w:val="007C2A16"/>
    <w:rsid w:val="007C2E7B"/>
    <w:rsid w:val="007D37C5"/>
    <w:rsid w:val="007D5793"/>
    <w:rsid w:val="007D5CE6"/>
    <w:rsid w:val="007D5FB0"/>
    <w:rsid w:val="007D646A"/>
    <w:rsid w:val="007E01DC"/>
    <w:rsid w:val="007E1481"/>
    <w:rsid w:val="007E214A"/>
    <w:rsid w:val="007E4D4D"/>
    <w:rsid w:val="007F4BD5"/>
    <w:rsid w:val="007F5E31"/>
    <w:rsid w:val="007F730A"/>
    <w:rsid w:val="00800CD0"/>
    <w:rsid w:val="008151DC"/>
    <w:rsid w:val="008154E9"/>
    <w:rsid w:val="00817702"/>
    <w:rsid w:val="00817E7C"/>
    <w:rsid w:val="008209A9"/>
    <w:rsid w:val="00821267"/>
    <w:rsid w:val="008250F6"/>
    <w:rsid w:val="00825C87"/>
    <w:rsid w:val="00827651"/>
    <w:rsid w:val="00833973"/>
    <w:rsid w:val="00837ADA"/>
    <w:rsid w:val="00847360"/>
    <w:rsid w:val="00851067"/>
    <w:rsid w:val="00851418"/>
    <w:rsid w:val="00851D15"/>
    <w:rsid w:val="00851E59"/>
    <w:rsid w:val="00852296"/>
    <w:rsid w:val="00853934"/>
    <w:rsid w:val="00860D78"/>
    <w:rsid w:val="00861A39"/>
    <w:rsid w:val="00864AEA"/>
    <w:rsid w:val="00873C57"/>
    <w:rsid w:val="00875368"/>
    <w:rsid w:val="00881178"/>
    <w:rsid w:val="008871B3"/>
    <w:rsid w:val="00891867"/>
    <w:rsid w:val="00891E4A"/>
    <w:rsid w:val="008967FB"/>
    <w:rsid w:val="008A0F4D"/>
    <w:rsid w:val="008A12BF"/>
    <w:rsid w:val="008A1507"/>
    <w:rsid w:val="008A54FF"/>
    <w:rsid w:val="008B0B4D"/>
    <w:rsid w:val="008C0000"/>
    <w:rsid w:val="008C17CD"/>
    <w:rsid w:val="008C49D3"/>
    <w:rsid w:val="008C4AB2"/>
    <w:rsid w:val="008D045D"/>
    <w:rsid w:val="008D4470"/>
    <w:rsid w:val="008D7F55"/>
    <w:rsid w:val="008E16EE"/>
    <w:rsid w:val="008E1E33"/>
    <w:rsid w:val="008F5402"/>
    <w:rsid w:val="008F69F8"/>
    <w:rsid w:val="00900552"/>
    <w:rsid w:val="00902BEE"/>
    <w:rsid w:val="00903865"/>
    <w:rsid w:val="00903F3D"/>
    <w:rsid w:val="009064E4"/>
    <w:rsid w:val="009066E8"/>
    <w:rsid w:val="0090698B"/>
    <w:rsid w:val="00907196"/>
    <w:rsid w:val="0091051C"/>
    <w:rsid w:val="00911FC1"/>
    <w:rsid w:val="00912BEF"/>
    <w:rsid w:val="00915890"/>
    <w:rsid w:val="00926262"/>
    <w:rsid w:val="0093155B"/>
    <w:rsid w:val="00932571"/>
    <w:rsid w:val="009330FD"/>
    <w:rsid w:val="00934A40"/>
    <w:rsid w:val="00936110"/>
    <w:rsid w:val="00936C5A"/>
    <w:rsid w:val="0093768F"/>
    <w:rsid w:val="00950027"/>
    <w:rsid w:val="00951250"/>
    <w:rsid w:val="00953781"/>
    <w:rsid w:val="009557A9"/>
    <w:rsid w:val="00957DE1"/>
    <w:rsid w:val="00963356"/>
    <w:rsid w:val="00965ABE"/>
    <w:rsid w:val="00965D3A"/>
    <w:rsid w:val="009701EB"/>
    <w:rsid w:val="009709B3"/>
    <w:rsid w:val="00970AA6"/>
    <w:rsid w:val="00973D4E"/>
    <w:rsid w:val="00980862"/>
    <w:rsid w:val="00980966"/>
    <w:rsid w:val="00992A75"/>
    <w:rsid w:val="009934C5"/>
    <w:rsid w:val="009A2350"/>
    <w:rsid w:val="009A329D"/>
    <w:rsid w:val="009A32A8"/>
    <w:rsid w:val="009A3E14"/>
    <w:rsid w:val="009A56AB"/>
    <w:rsid w:val="009A5761"/>
    <w:rsid w:val="009A7E37"/>
    <w:rsid w:val="009B3149"/>
    <w:rsid w:val="009B363A"/>
    <w:rsid w:val="009B540F"/>
    <w:rsid w:val="009B70B9"/>
    <w:rsid w:val="009B7691"/>
    <w:rsid w:val="009B7E24"/>
    <w:rsid w:val="009C0D42"/>
    <w:rsid w:val="009C14E7"/>
    <w:rsid w:val="009C6603"/>
    <w:rsid w:val="009C6FBC"/>
    <w:rsid w:val="009C7CAF"/>
    <w:rsid w:val="009D09CE"/>
    <w:rsid w:val="009E1DC0"/>
    <w:rsid w:val="009E5D18"/>
    <w:rsid w:val="009E6059"/>
    <w:rsid w:val="009F0623"/>
    <w:rsid w:val="009F0D9A"/>
    <w:rsid w:val="009F1D07"/>
    <w:rsid w:val="009F1D84"/>
    <w:rsid w:val="009F33C9"/>
    <w:rsid w:val="009F5FDF"/>
    <w:rsid w:val="00A00868"/>
    <w:rsid w:val="00A05002"/>
    <w:rsid w:val="00A056BB"/>
    <w:rsid w:val="00A075F3"/>
    <w:rsid w:val="00A11566"/>
    <w:rsid w:val="00A152BB"/>
    <w:rsid w:val="00A17F07"/>
    <w:rsid w:val="00A2117D"/>
    <w:rsid w:val="00A21D3A"/>
    <w:rsid w:val="00A24273"/>
    <w:rsid w:val="00A2574F"/>
    <w:rsid w:val="00A26EEB"/>
    <w:rsid w:val="00A32144"/>
    <w:rsid w:val="00A34D40"/>
    <w:rsid w:val="00A36DD3"/>
    <w:rsid w:val="00A401D1"/>
    <w:rsid w:val="00A41962"/>
    <w:rsid w:val="00A45E5D"/>
    <w:rsid w:val="00A461AB"/>
    <w:rsid w:val="00A4700C"/>
    <w:rsid w:val="00A539C8"/>
    <w:rsid w:val="00A56398"/>
    <w:rsid w:val="00A60164"/>
    <w:rsid w:val="00A63A0E"/>
    <w:rsid w:val="00A63C33"/>
    <w:rsid w:val="00A63F41"/>
    <w:rsid w:val="00A6417A"/>
    <w:rsid w:val="00A674AF"/>
    <w:rsid w:val="00A724E7"/>
    <w:rsid w:val="00A7253D"/>
    <w:rsid w:val="00A75170"/>
    <w:rsid w:val="00A841F6"/>
    <w:rsid w:val="00A85099"/>
    <w:rsid w:val="00A85770"/>
    <w:rsid w:val="00A86F4D"/>
    <w:rsid w:val="00A915DE"/>
    <w:rsid w:val="00A92B24"/>
    <w:rsid w:val="00A95DAF"/>
    <w:rsid w:val="00A97F99"/>
    <w:rsid w:val="00AA1945"/>
    <w:rsid w:val="00AA1E9D"/>
    <w:rsid w:val="00AB39FE"/>
    <w:rsid w:val="00AB73DC"/>
    <w:rsid w:val="00AC148D"/>
    <w:rsid w:val="00AC4274"/>
    <w:rsid w:val="00AC5BAC"/>
    <w:rsid w:val="00AC5C2F"/>
    <w:rsid w:val="00AD0B30"/>
    <w:rsid w:val="00AD4702"/>
    <w:rsid w:val="00AE02CA"/>
    <w:rsid w:val="00AE08A1"/>
    <w:rsid w:val="00AE1C23"/>
    <w:rsid w:val="00AE2CA9"/>
    <w:rsid w:val="00AE5521"/>
    <w:rsid w:val="00AF22D2"/>
    <w:rsid w:val="00AF46BA"/>
    <w:rsid w:val="00AF70D9"/>
    <w:rsid w:val="00AF78FA"/>
    <w:rsid w:val="00B04ABA"/>
    <w:rsid w:val="00B10DAD"/>
    <w:rsid w:val="00B21E86"/>
    <w:rsid w:val="00B252E2"/>
    <w:rsid w:val="00B26CB6"/>
    <w:rsid w:val="00B275A9"/>
    <w:rsid w:val="00B27D64"/>
    <w:rsid w:val="00B3430E"/>
    <w:rsid w:val="00B359B9"/>
    <w:rsid w:val="00B36676"/>
    <w:rsid w:val="00B37368"/>
    <w:rsid w:val="00B407CC"/>
    <w:rsid w:val="00B40971"/>
    <w:rsid w:val="00B41B20"/>
    <w:rsid w:val="00B52700"/>
    <w:rsid w:val="00B57CCC"/>
    <w:rsid w:val="00B61F04"/>
    <w:rsid w:val="00B63846"/>
    <w:rsid w:val="00B63CC2"/>
    <w:rsid w:val="00B64B84"/>
    <w:rsid w:val="00B663E6"/>
    <w:rsid w:val="00B666B3"/>
    <w:rsid w:val="00B67ABC"/>
    <w:rsid w:val="00B736A8"/>
    <w:rsid w:val="00B80C62"/>
    <w:rsid w:val="00B870F1"/>
    <w:rsid w:val="00B87F8C"/>
    <w:rsid w:val="00B95684"/>
    <w:rsid w:val="00B96F96"/>
    <w:rsid w:val="00BA3916"/>
    <w:rsid w:val="00BA6338"/>
    <w:rsid w:val="00BB123C"/>
    <w:rsid w:val="00BB5022"/>
    <w:rsid w:val="00BB6EA7"/>
    <w:rsid w:val="00BB7948"/>
    <w:rsid w:val="00BC2209"/>
    <w:rsid w:val="00BC51B7"/>
    <w:rsid w:val="00BC6DE9"/>
    <w:rsid w:val="00BC72FE"/>
    <w:rsid w:val="00BD2C5E"/>
    <w:rsid w:val="00BD3E71"/>
    <w:rsid w:val="00BD55E1"/>
    <w:rsid w:val="00BD568C"/>
    <w:rsid w:val="00BD7C16"/>
    <w:rsid w:val="00BE20BB"/>
    <w:rsid w:val="00BE318A"/>
    <w:rsid w:val="00C00243"/>
    <w:rsid w:val="00C010CF"/>
    <w:rsid w:val="00C019C5"/>
    <w:rsid w:val="00C07D9B"/>
    <w:rsid w:val="00C105A2"/>
    <w:rsid w:val="00C11B74"/>
    <w:rsid w:val="00C12567"/>
    <w:rsid w:val="00C139EC"/>
    <w:rsid w:val="00C147E2"/>
    <w:rsid w:val="00C16095"/>
    <w:rsid w:val="00C21FB3"/>
    <w:rsid w:val="00C22111"/>
    <w:rsid w:val="00C2217C"/>
    <w:rsid w:val="00C235BE"/>
    <w:rsid w:val="00C30C06"/>
    <w:rsid w:val="00C33292"/>
    <w:rsid w:val="00C37E01"/>
    <w:rsid w:val="00C445CE"/>
    <w:rsid w:val="00C47E6D"/>
    <w:rsid w:val="00C52B4F"/>
    <w:rsid w:val="00C52CE2"/>
    <w:rsid w:val="00C53DA0"/>
    <w:rsid w:val="00C57406"/>
    <w:rsid w:val="00C6583F"/>
    <w:rsid w:val="00C660E3"/>
    <w:rsid w:val="00C66F8D"/>
    <w:rsid w:val="00C66FAF"/>
    <w:rsid w:val="00C710C5"/>
    <w:rsid w:val="00C71B09"/>
    <w:rsid w:val="00C74A92"/>
    <w:rsid w:val="00C7751C"/>
    <w:rsid w:val="00C84D09"/>
    <w:rsid w:val="00C84EE0"/>
    <w:rsid w:val="00C8541C"/>
    <w:rsid w:val="00C871F8"/>
    <w:rsid w:val="00C90959"/>
    <w:rsid w:val="00C949ED"/>
    <w:rsid w:val="00C965BA"/>
    <w:rsid w:val="00C97058"/>
    <w:rsid w:val="00C9737B"/>
    <w:rsid w:val="00CA2D3C"/>
    <w:rsid w:val="00CA4AFC"/>
    <w:rsid w:val="00CA5039"/>
    <w:rsid w:val="00CB10B9"/>
    <w:rsid w:val="00CB54CC"/>
    <w:rsid w:val="00CB5F94"/>
    <w:rsid w:val="00CC0E69"/>
    <w:rsid w:val="00CC1D6E"/>
    <w:rsid w:val="00CC6D33"/>
    <w:rsid w:val="00CD0AE8"/>
    <w:rsid w:val="00CD11C1"/>
    <w:rsid w:val="00CD1EC2"/>
    <w:rsid w:val="00CD23A0"/>
    <w:rsid w:val="00CD3F34"/>
    <w:rsid w:val="00CD3F87"/>
    <w:rsid w:val="00CD6BD7"/>
    <w:rsid w:val="00CD73AA"/>
    <w:rsid w:val="00CD7FAA"/>
    <w:rsid w:val="00CE52AB"/>
    <w:rsid w:val="00CE7538"/>
    <w:rsid w:val="00CF01F9"/>
    <w:rsid w:val="00CF3CFC"/>
    <w:rsid w:val="00CF5C28"/>
    <w:rsid w:val="00D00E04"/>
    <w:rsid w:val="00D04073"/>
    <w:rsid w:val="00D1106B"/>
    <w:rsid w:val="00D15B88"/>
    <w:rsid w:val="00D171FB"/>
    <w:rsid w:val="00D17D4B"/>
    <w:rsid w:val="00D20C46"/>
    <w:rsid w:val="00D21B7D"/>
    <w:rsid w:val="00D24E30"/>
    <w:rsid w:val="00D41AC9"/>
    <w:rsid w:val="00D46085"/>
    <w:rsid w:val="00D46FD0"/>
    <w:rsid w:val="00D47BAB"/>
    <w:rsid w:val="00D47CF6"/>
    <w:rsid w:val="00D5045B"/>
    <w:rsid w:val="00D5118D"/>
    <w:rsid w:val="00D60D88"/>
    <w:rsid w:val="00D64C5A"/>
    <w:rsid w:val="00D65A9D"/>
    <w:rsid w:val="00D66850"/>
    <w:rsid w:val="00D6774D"/>
    <w:rsid w:val="00D73C6E"/>
    <w:rsid w:val="00D77699"/>
    <w:rsid w:val="00D84003"/>
    <w:rsid w:val="00D84CFD"/>
    <w:rsid w:val="00D8703F"/>
    <w:rsid w:val="00D90540"/>
    <w:rsid w:val="00D92966"/>
    <w:rsid w:val="00D940F1"/>
    <w:rsid w:val="00DA544C"/>
    <w:rsid w:val="00DA681B"/>
    <w:rsid w:val="00DB08DB"/>
    <w:rsid w:val="00DB24B3"/>
    <w:rsid w:val="00DB74A2"/>
    <w:rsid w:val="00DC0BEC"/>
    <w:rsid w:val="00DC20B3"/>
    <w:rsid w:val="00DC3A71"/>
    <w:rsid w:val="00DC6328"/>
    <w:rsid w:val="00DD1B58"/>
    <w:rsid w:val="00DE18FC"/>
    <w:rsid w:val="00DE31A8"/>
    <w:rsid w:val="00DF0F36"/>
    <w:rsid w:val="00DF1EA3"/>
    <w:rsid w:val="00DF5FBE"/>
    <w:rsid w:val="00DF64A8"/>
    <w:rsid w:val="00DF7FA4"/>
    <w:rsid w:val="00E01748"/>
    <w:rsid w:val="00E05DF2"/>
    <w:rsid w:val="00E1748A"/>
    <w:rsid w:val="00E21746"/>
    <w:rsid w:val="00E2217C"/>
    <w:rsid w:val="00E2293B"/>
    <w:rsid w:val="00E26AFE"/>
    <w:rsid w:val="00E31803"/>
    <w:rsid w:val="00E40575"/>
    <w:rsid w:val="00E40D84"/>
    <w:rsid w:val="00E4101F"/>
    <w:rsid w:val="00E4126D"/>
    <w:rsid w:val="00E413A6"/>
    <w:rsid w:val="00E4470E"/>
    <w:rsid w:val="00E455A1"/>
    <w:rsid w:val="00E5131A"/>
    <w:rsid w:val="00E5395C"/>
    <w:rsid w:val="00E55168"/>
    <w:rsid w:val="00E57C4F"/>
    <w:rsid w:val="00E61F26"/>
    <w:rsid w:val="00E62867"/>
    <w:rsid w:val="00E65330"/>
    <w:rsid w:val="00E673CB"/>
    <w:rsid w:val="00E675A2"/>
    <w:rsid w:val="00E74D46"/>
    <w:rsid w:val="00E75A88"/>
    <w:rsid w:val="00E83CDE"/>
    <w:rsid w:val="00E85DDB"/>
    <w:rsid w:val="00E86683"/>
    <w:rsid w:val="00E942A8"/>
    <w:rsid w:val="00E94857"/>
    <w:rsid w:val="00E949FF"/>
    <w:rsid w:val="00E95A49"/>
    <w:rsid w:val="00E95FE2"/>
    <w:rsid w:val="00E963EB"/>
    <w:rsid w:val="00EA410D"/>
    <w:rsid w:val="00EA695E"/>
    <w:rsid w:val="00EB3E52"/>
    <w:rsid w:val="00EB5A7B"/>
    <w:rsid w:val="00EC51DB"/>
    <w:rsid w:val="00EC59B1"/>
    <w:rsid w:val="00EC7621"/>
    <w:rsid w:val="00ED0975"/>
    <w:rsid w:val="00ED159E"/>
    <w:rsid w:val="00ED5026"/>
    <w:rsid w:val="00EE2F47"/>
    <w:rsid w:val="00EE53E4"/>
    <w:rsid w:val="00EF222C"/>
    <w:rsid w:val="00EF2A04"/>
    <w:rsid w:val="00EF5810"/>
    <w:rsid w:val="00EF6A3D"/>
    <w:rsid w:val="00EF76CE"/>
    <w:rsid w:val="00F00927"/>
    <w:rsid w:val="00F02BE9"/>
    <w:rsid w:val="00F04216"/>
    <w:rsid w:val="00F071A3"/>
    <w:rsid w:val="00F104EF"/>
    <w:rsid w:val="00F10D80"/>
    <w:rsid w:val="00F13194"/>
    <w:rsid w:val="00F1467C"/>
    <w:rsid w:val="00F149ED"/>
    <w:rsid w:val="00F15152"/>
    <w:rsid w:val="00F15B9B"/>
    <w:rsid w:val="00F17FA2"/>
    <w:rsid w:val="00F20CD6"/>
    <w:rsid w:val="00F236EF"/>
    <w:rsid w:val="00F27A3D"/>
    <w:rsid w:val="00F330F4"/>
    <w:rsid w:val="00F355AB"/>
    <w:rsid w:val="00F3569A"/>
    <w:rsid w:val="00F449A8"/>
    <w:rsid w:val="00F461DB"/>
    <w:rsid w:val="00F4705B"/>
    <w:rsid w:val="00F51BF5"/>
    <w:rsid w:val="00F55F84"/>
    <w:rsid w:val="00F56220"/>
    <w:rsid w:val="00F56310"/>
    <w:rsid w:val="00F6069F"/>
    <w:rsid w:val="00F65860"/>
    <w:rsid w:val="00F6759D"/>
    <w:rsid w:val="00F70400"/>
    <w:rsid w:val="00F779C2"/>
    <w:rsid w:val="00F77FA0"/>
    <w:rsid w:val="00F81DBB"/>
    <w:rsid w:val="00F84B57"/>
    <w:rsid w:val="00F90EA7"/>
    <w:rsid w:val="00F943AB"/>
    <w:rsid w:val="00F948C3"/>
    <w:rsid w:val="00FA1F09"/>
    <w:rsid w:val="00FA7472"/>
    <w:rsid w:val="00FB0E4D"/>
    <w:rsid w:val="00FB482E"/>
    <w:rsid w:val="00FB4E3F"/>
    <w:rsid w:val="00FB5EBE"/>
    <w:rsid w:val="00FC3A85"/>
    <w:rsid w:val="00FC48C9"/>
    <w:rsid w:val="00FD08E5"/>
    <w:rsid w:val="00FD3340"/>
    <w:rsid w:val="00FD45D7"/>
    <w:rsid w:val="00FD6008"/>
    <w:rsid w:val="00FD69C8"/>
    <w:rsid w:val="00FD6B0C"/>
    <w:rsid w:val="00FE1154"/>
    <w:rsid w:val="00FE56CD"/>
    <w:rsid w:val="00FE63E3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1AFA3"/>
  <w15:chartTrackingRefBased/>
  <w15:docId w15:val="{D1A6078E-53EB-478C-9338-62319098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4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4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B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A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11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111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111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7E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E6D"/>
  </w:style>
  <w:style w:type="paragraph" w:styleId="Footer">
    <w:name w:val="footer"/>
    <w:basedOn w:val="Normal"/>
    <w:link w:val="FooterChar"/>
    <w:uiPriority w:val="99"/>
    <w:unhideWhenUsed/>
    <w:rsid w:val="00C47E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v.il/he/departments/units/vsal-committee-unit" TargetMode="External"/><Relationship Id="rId2" Type="http://schemas.openxmlformats.org/officeDocument/2006/relationships/hyperlink" Target="https://www.gutenberg.org/cache/epub/28/pg28-images.html" TargetMode="External"/><Relationship Id="rId1" Type="http://schemas.openxmlformats.org/officeDocument/2006/relationships/hyperlink" Target="https://worldstories.org.uk/reader/the-fox-and-the-stork/english/657" TargetMode="External"/><Relationship Id="rId4" Type="http://schemas.openxmlformats.org/officeDocument/2006/relationships/hyperlink" Target="https://www.globes.co.il/news/article.aspx?did=1001535656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771A1-19AB-4E8B-A34C-2C98E6AD9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Ben Meir</dc:creator>
  <cp:keywords/>
  <dc:description/>
  <cp:lastModifiedBy>Ronen Ben Meir</cp:lastModifiedBy>
  <cp:revision>3</cp:revision>
  <dcterms:created xsi:type="dcterms:W3CDTF">2026-08-04T21:00:00Z</dcterms:created>
  <dcterms:modified xsi:type="dcterms:W3CDTF">2026-08-04T21:26:00Z</dcterms:modified>
</cp:coreProperties>
</file>