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21A3" w14:textId="5A76F0B9" w:rsidR="0038306B" w:rsidRDefault="000E1420" w:rsidP="000E1420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 xml:space="preserve">נייר לדיון </w:t>
      </w:r>
      <w:r>
        <w:rPr>
          <w:rFonts w:ascii="David" w:hAnsi="David" w:cs="David"/>
          <w:b/>
          <w:bCs/>
          <w:u w:val="single"/>
          <w:rtl/>
        </w:rPr>
        <w:t>–</w:t>
      </w:r>
      <w:r>
        <w:rPr>
          <w:rFonts w:ascii="David" w:hAnsi="David" w:cs="David" w:hint="cs"/>
          <w:b/>
          <w:bCs/>
          <w:u w:val="single"/>
          <w:rtl/>
        </w:rPr>
        <w:t xml:space="preserve"> "מתדפקים על שערי הכניסה לפרופסיה של עורכי הדין"</w:t>
      </w:r>
    </w:p>
    <w:p w14:paraId="3CAB4A7E" w14:textId="36E49FEE" w:rsidR="00ED4F96" w:rsidRPr="00ED4F96" w:rsidRDefault="00ED4F96" w:rsidP="00ED4F96">
      <w:pPr>
        <w:spacing w:line="360" w:lineRule="auto"/>
        <w:jc w:val="both"/>
        <w:rPr>
          <w:rFonts w:ascii="David" w:hAnsi="David" w:cs="David"/>
          <w:rtl/>
        </w:rPr>
      </w:pPr>
      <w:r w:rsidRPr="00ED4F96">
        <w:rPr>
          <w:rFonts w:ascii="David" w:hAnsi="David" w:cs="David" w:hint="cs"/>
          <w:rtl/>
        </w:rPr>
        <w:t>מאמרה של ד"ר זר-גוטמן "מתדפקים על שערי הכניסה לפרופסיה של עורכי הדין" עוסק בביקורתה על האסדרה העצמית של פרופסיית עריכת הדין בישראל. במסגרתו נבחנו שני היבטים מרכזיים הנתונים לאחריות לשכת עורכי הדין</w:t>
      </w:r>
      <w:r w:rsidRPr="00ED4F96">
        <w:rPr>
          <w:rFonts w:ascii="David" w:hAnsi="David" w:cs="David"/>
        </w:rPr>
        <w:t>;</w:t>
      </w:r>
      <w:r w:rsidRPr="00ED4F96">
        <w:rPr>
          <w:rFonts w:ascii="David" w:hAnsi="David" w:cs="David" w:hint="cs"/>
          <w:rtl/>
        </w:rPr>
        <w:t xml:space="preserve"> תקופת ההתמחות ובחינות ההסמכה. בסופו, הוצעו שלושה פתרונות לסוגיית האסדרה. בנייר דיון זה אתייחס לבחינות ההסמכה. בתוך כך, אתמקד בהשוואתה של זר-גוטמן בין פסק הדין בעניין בנאי</w:t>
      </w:r>
      <w:r w:rsidR="00874062">
        <w:rPr>
          <w:rStyle w:val="FootnoteReference"/>
          <w:rFonts w:ascii="David" w:hAnsi="David" w:cs="David"/>
          <w:rtl/>
        </w:rPr>
        <w:footnoteReference w:id="1"/>
      </w:r>
      <w:r w:rsidRPr="00ED4F96">
        <w:rPr>
          <w:rFonts w:ascii="David" w:hAnsi="David" w:cs="David" w:hint="cs"/>
          <w:rtl/>
        </w:rPr>
        <w:t xml:space="preserve"> לבין פסק הדין בעניין פרץ</w:t>
      </w:r>
      <w:r w:rsidR="00874062">
        <w:rPr>
          <w:rStyle w:val="FootnoteReference"/>
          <w:rFonts w:ascii="David" w:hAnsi="David" w:cs="David"/>
          <w:rtl/>
        </w:rPr>
        <w:footnoteReference w:id="2"/>
      </w:r>
      <w:r w:rsidRPr="00ED4F96">
        <w:rPr>
          <w:rFonts w:ascii="David" w:hAnsi="David" w:cs="David" w:hint="cs"/>
          <w:rtl/>
        </w:rPr>
        <w:t xml:space="preserve"> ובטענתה לקיו</w:t>
      </w:r>
      <w:r w:rsidR="00DC2134">
        <w:rPr>
          <w:rFonts w:ascii="David" w:hAnsi="David" w:cs="David" w:hint="cs"/>
          <w:rtl/>
        </w:rPr>
        <w:t>ם</w:t>
      </w:r>
      <w:r w:rsidRPr="00ED4F96">
        <w:rPr>
          <w:rFonts w:ascii="David" w:hAnsi="David" w:cs="David" w:hint="cs"/>
          <w:rtl/>
        </w:rPr>
        <w:t xml:space="preserve"> </w:t>
      </w:r>
      <w:r w:rsidR="00DC2134">
        <w:rPr>
          <w:rFonts w:ascii="David" w:hAnsi="David" w:cs="David" w:hint="cs"/>
          <w:rtl/>
        </w:rPr>
        <w:t>ה</w:t>
      </w:r>
      <w:r w:rsidRPr="00ED4F96">
        <w:rPr>
          <w:rFonts w:ascii="David" w:hAnsi="David" w:cs="David" w:hint="cs"/>
          <w:rtl/>
        </w:rPr>
        <w:t xml:space="preserve">סתירה ביניהם. לגישתי, השוואה זו אינה מצביעה על סתירה ואף אינה מחזקת את טענתה בדבר בעייתיות הבחינה, שכן שני פסקי הדין </w:t>
      </w:r>
      <w:r w:rsidR="00E90678">
        <w:rPr>
          <w:rFonts w:ascii="David" w:hAnsi="David" w:cs="David" w:hint="cs"/>
          <w:rtl/>
        </w:rPr>
        <w:t>עוסקים</w:t>
      </w:r>
      <w:r w:rsidRPr="00ED4F96">
        <w:rPr>
          <w:rFonts w:ascii="David" w:hAnsi="David" w:cs="David" w:hint="cs"/>
          <w:rtl/>
        </w:rPr>
        <w:t xml:space="preserve"> </w:t>
      </w:r>
      <w:r w:rsidR="00E90678">
        <w:rPr>
          <w:rFonts w:ascii="David" w:hAnsi="David" w:cs="David" w:hint="cs"/>
          <w:rtl/>
        </w:rPr>
        <w:t>ב</w:t>
      </w:r>
      <w:r w:rsidRPr="00ED4F96">
        <w:rPr>
          <w:rFonts w:ascii="David" w:hAnsi="David" w:cs="David" w:hint="cs"/>
          <w:rtl/>
        </w:rPr>
        <w:t>נסיבות ועילות משפטיות שונות.</w:t>
      </w:r>
    </w:p>
    <w:p w14:paraId="12559C44" w14:textId="15C09003" w:rsidR="00ED4F96" w:rsidRPr="00ED4F96" w:rsidRDefault="00ED4F96" w:rsidP="00ED4F96">
      <w:pPr>
        <w:spacing w:line="360" w:lineRule="auto"/>
        <w:jc w:val="both"/>
        <w:rPr>
          <w:rFonts w:ascii="David" w:hAnsi="David" w:cs="David"/>
          <w:rtl/>
        </w:rPr>
      </w:pPr>
      <w:r w:rsidRPr="00ED4F96">
        <w:rPr>
          <w:rFonts w:ascii="David" w:hAnsi="David" w:cs="David" w:hint="cs"/>
          <w:rtl/>
        </w:rPr>
        <w:t>ראשית, הקושי הרב בבחינות הלשכה אינו שנוי במחלוקת. על-פי המאמר, ניתן להבחין שלאורך השנים חלה ירידה דרסטית בשיעור עוברי הבחינה ועליה בעתירות המגיעות לפתחי בית-המשפט עקב פגמים מהותיים בבחינה. העתירות כללו טענות ספציפיות וטענות עקרוניות, אם כי לאחר דחייה עקבית של טענות עקרוני</w:t>
      </w:r>
      <w:r w:rsidR="001F3F99">
        <w:rPr>
          <w:rFonts w:ascii="David" w:hAnsi="David" w:cs="David" w:hint="cs"/>
          <w:rtl/>
        </w:rPr>
        <w:t>ו</w:t>
      </w:r>
      <w:r w:rsidRPr="00ED4F96">
        <w:rPr>
          <w:rFonts w:ascii="David" w:hAnsi="David" w:cs="David" w:hint="cs"/>
          <w:rtl/>
        </w:rPr>
        <w:t xml:space="preserve">ת, עיקר העתירות בשנים האחרונות מתמקד בטענות ספציפיות.   </w:t>
      </w:r>
    </w:p>
    <w:p w14:paraId="7958A408" w14:textId="2C02AF92" w:rsidR="00ED4F96" w:rsidRPr="00ED4F96" w:rsidRDefault="00ED4F96" w:rsidP="00ED4F96">
      <w:pPr>
        <w:spacing w:line="360" w:lineRule="auto"/>
        <w:jc w:val="both"/>
        <w:rPr>
          <w:rFonts w:ascii="David" w:hAnsi="David" w:cs="David"/>
          <w:rtl/>
        </w:rPr>
      </w:pPr>
      <w:r w:rsidRPr="00ED4F96">
        <w:rPr>
          <w:rFonts w:ascii="David" w:hAnsi="David" w:cs="David" w:hint="cs"/>
          <w:rtl/>
        </w:rPr>
        <w:t xml:space="preserve">בהתאם, פסק הדין בעניין בנאי (1996) עסק בטענה עקרונית, לפיה, פרסום העלאת ציון המעבר והוספת חלק עיוני בסמוך למועד הבחינה מהווים החלטה מנהלית לא סבירה. בית-המשפט קיבל את טענת העותרים וקבע שאכן ההחלטה אינה עומדת בתנאים הנדרשים להחלטה מנהלית. יתרה מכך, בית-המשפט הדגיש </w:t>
      </w:r>
      <w:r w:rsidR="00DF3371">
        <w:rPr>
          <w:rFonts w:ascii="David" w:hAnsi="David" w:cs="David" w:hint="cs"/>
          <w:rtl/>
        </w:rPr>
        <w:t>ש</w:t>
      </w:r>
      <w:r w:rsidRPr="00ED4F96">
        <w:rPr>
          <w:rFonts w:ascii="David" w:hAnsi="David" w:cs="David" w:hint="cs"/>
          <w:rtl/>
        </w:rPr>
        <w:t>מועד הפרסום פגע ביכולת ההיערכות מצד הנבחנים וסתר את תכלית הבחינה, העלאת הרמה המקצועית של עורכי הדין. קביעת בית-המשפט נבעה מהסתמכות הנבחנים במועד הנוכחי, ואף משתמע כי אילו מועד הפרסום היה בזמן סביר מראש, דין העתירה היה להידחות.</w:t>
      </w:r>
      <w:r w:rsidR="0074554F">
        <w:rPr>
          <w:rStyle w:val="FootnoteReference"/>
          <w:rFonts w:ascii="David" w:hAnsi="David" w:cs="David"/>
          <w:rtl/>
        </w:rPr>
        <w:footnoteReference w:id="3"/>
      </w:r>
      <w:r w:rsidR="0074554F" w:rsidRPr="00ED4F96">
        <w:rPr>
          <w:rFonts w:ascii="David" w:hAnsi="David" w:cs="David" w:hint="cs"/>
          <w:rtl/>
        </w:rPr>
        <w:t xml:space="preserve"> </w:t>
      </w:r>
      <w:r w:rsidRPr="00ED4F96">
        <w:rPr>
          <w:rFonts w:ascii="David" w:hAnsi="David" w:cs="David" w:hint="cs"/>
          <w:rtl/>
        </w:rPr>
        <w:t xml:space="preserve">מנגד, פסק הדין בעניין פרץ (2018) דן בטענות ספציפיות לגבי מספר שאלות בבחינה וכן בטענה </w:t>
      </w:r>
      <w:r w:rsidR="00DF0F21">
        <w:rPr>
          <w:rFonts w:ascii="David" w:hAnsi="David" w:cs="David" w:hint="cs"/>
          <w:rtl/>
        </w:rPr>
        <w:t>ש</w:t>
      </w:r>
      <w:r w:rsidRPr="00ED4F96">
        <w:rPr>
          <w:rFonts w:ascii="David" w:hAnsi="David" w:cs="David" w:hint="cs"/>
          <w:rtl/>
        </w:rPr>
        <w:t>הבחינה מדמה בחינת פסיכומטרי, על אף שתכלית הבחינות שונה. בעניין זה, בית-המשפט דחה את מרבית טענות העותרים ופסל שתי שאלות בלבד.</w:t>
      </w:r>
      <w:r w:rsidR="00874062">
        <w:rPr>
          <w:rStyle w:val="FootnoteReference"/>
          <w:rFonts w:ascii="David" w:hAnsi="David" w:cs="David"/>
          <w:rtl/>
        </w:rPr>
        <w:footnoteReference w:id="4"/>
      </w:r>
      <w:r w:rsidRPr="00ED4F96">
        <w:rPr>
          <w:rFonts w:ascii="David" w:hAnsi="David" w:cs="David" w:hint="cs"/>
          <w:rtl/>
        </w:rPr>
        <w:t xml:space="preserve"> בקביעתו, הדגיש שהחלטות הנוגעות לתוכן הבחינה ולרמת הקושי שלה</w:t>
      </w:r>
      <w:r w:rsidR="00DB43A3">
        <w:rPr>
          <w:rFonts w:ascii="David" w:hAnsi="David" w:cs="David" w:hint="cs"/>
          <w:rtl/>
        </w:rPr>
        <w:t>,</w:t>
      </w:r>
      <w:r w:rsidRPr="00ED4F96">
        <w:rPr>
          <w:rFonts w:ascii="David" w:hAnsi="David" w:cs="David" w:hint="cs"/>
          <w:rtl/>
        </w:rPr>
        <w:t xml:space="preserve"> מצויות בליבת שיקול דעתה </w:t>
      </w:r>
      <w:r w:rsidR="00DB43A3">
        <w:rPr>
          <w:rFonts w:ascii="David" w:hAnsi="David" w:cs="David" w:hint="cs"/>
          <w:rtl/>
        </w:rPr>
        <w:t xml:space="preserve">של </w:t>
      </w:r>
      <w:r w:rsidRPr="00ED4F96">
        <w:rPr>
          <w:rFonts w:ascii="David" w:hAnsi="David" w:cs="David" w:hint="cs"/>
          <w:rtl/>
        </w:rPr>
        <w:t>הלשכה. לצד זאת, הוסיף אמרת אגב והזהיר את הלשכה מהפיכת הבחינה לבחינה בעלת אופי פסיכומטרי, אשר אינה מקדשת את תכליתה המקצועית של הבחינה.</w:t>
      </w:r>
      <w:r w:rsidR="00874062">
        <w:rPr>
          <w:rStyle w:val="FootnoteReference"/>
          <w:rFonts w:ascii="David" w:hAnsi="David" w:cs="David"/>
          <w:rtl/>
        </w:rPr>
        <w:footnoteReference w:id="5"/>
      </w:r>
    </w:p>
    <w:p w14:paraId="73A29EFC" w14:textId="3918F379" w:rsidR="00984436" w:rsidRDefault="00ED4F96" w:rsidP="00984436">
      <w:pPr>
        <w:spacing w:line="360" w:lineRule="auto"/>
        <w:jc w:val="both"/>
        <w:rPr>
          <w:rFonts w:ascii="David" w:hAnsi="David" w:cs="David"/>
          <w:rtl/>
        </w:rPr>
      </w:pPr>
      <w:r w:rsidRPr="00ED4F96">
        <w:rPr>
          <w:rFonts w:ascii="David" w:hAnsi="David" w:cs="David" w:hint="cs"/>
          <w:rtl/>
        </w:rPr>
        <w:t xml:space="preserve">במאמר נטען </w:t>
      </w:r>
      <w:r w:rsidR="00E90678">
        <w:rPr>
          <w:rFonts w:ascii="David" w:hAnsi="David" w:cs="David" w:hint="cs"/>
          <w:rtl/>
        </w:rPr>
        <w:t>שמתקיימת</w:t>
      </w:r>
      <w:r w:rsidRPr="00ED4F96">
        <w:rPr>
          <w:rFonts w:ascii="David" w:hAnsi="David" w:cs="David" w:hint="cs"/>
          <w:rtl/>
        </w:rPr>
        <w:t xml:space="preserve"> סתירה בין </w:t>
      </w:r>
      <w:r w:rsidR="00E90678">
        <w:rPr>
          <w:rFonts w:ascii="David" w:hAnsi="David" w:cs="David" w:hint="cs"/>
          <w:rtl/>
        </w:rPr>
        <w:t>קביעות</w:t>
      </w:r>
      <w:r w:rsidRPr="00ED4F96">
        <w:rPr>
          <w:rFonts w:ascii="David" w:hAnsi="David" w:cs="David" w:hint="cs"/>
          <w:rtl/>
        </w:rPr>
        <w:t xml:space="preserve"> בית-המשפט בפסקי הדין ה</w:t>
      </w:r>
      <w:r w:rsidR="00E90678">
        <w:rPr>
          <w:rFonts w:ascii="David" w:hAnsi="David" w:cs="David" w:hint="cs"/>
          <w:rtl/>
        </w:rPr>
        <w:t>מתוארים</w:t>
      </w:r>
      <w:r w:rsidRPr="00ED4F96">
        <w:rPr>
          <w:rFonts w:ascii="David" w:hAnsi="David" w:cs="David" w:hint="cs"/>
          <w:rtl/>
        </w:rPr>
        <w:t xml:space="preserve">. לגישת זר-גוטמן, זו הייתה חובתה של לשכת עורכי הדין לפרסם מראש </w:t>
      </w:r>
      <w:r w:rsidR="00E90678">
        <w:rPr>
          <w:rFonts w:ascii="David" w:hAnsi="David" w:cs="David" w:hint="cs"/>
          <w:rtl/>
        </w:rPr>
        <w:t xml:space="preserve">את </w:t>
      </w:r>
      <w:r w:rsidRPr="00ED4F96">
        <w:rPr>
          <w:rFonts w:ascii="David" w:hAnsi="David" w:cs="David" w:hint="cs"/>
          <w:rtl/>
        </w:rPr>
        <w:t xml:space="preserve">החלטתה להקשות את הבחינה. זאת, נוכח הסתמכות הנבחנים על רמת הקושי של הבחינה בשנים הקודמות </w:t>
      </w:r>
      <w:r w:rsidR="002117EB">
        <w:rPr>
          <w:rFonts w:ascii="David" w:hAnsi="David" w:cs="David" w:hint="cs"/>
          <w:rtl/>
        </w:rPr>
        <w:t>ו</w:t>
      </w:r>
      <w:r w:rsidRPr="00ED4F96">
        <w:rPr>
          <w:rFonts w:ascii="David" w:hAnsi="David" w:cs="David" w:hint="cs"/>
          <w:rtl/>
        </w:rPr>
        <w:t xml:space="preserve">בהתאם </w:t>
      </w:r>
      <w:r w:rsidR="00E90678">
        <w:rPr>
          <w:rFonts w:ascii="David" w:hAnsi="David" w:cs="David" w:hint="cs"/>
          <w:rtl/>
        </w:rPr>
        <w:t>להלכת</w:t>
      </w:r>
      <w:r w:rsidRPr="00ED4F96">
        <w:rPr>
          <w:rFonts w:ascii="David" w:hAnsi="David" w:cs="David" w:hint="cs"/>
          <w:rtl/>
        </w:rPr>
        <w:t xml:space="preserve"> בנאי. לגישתי, הקשחת הבחינה כשלעצמה אינה פוגעת בהסתמכות</w:t>
      </w:r>
      <w:r w:rsidR="00E90678">
        <w:rPr>
          <w:rFonts w:ascii="David" w:hAnsi="David" w:cs="David" w:hint="cs"/>
          <w:rtl/>
        </w:rPr>
        <w:t xml:space="preserve"> </w:t>
      </w:r>
      <w:r w:rsidRPr="00ED4F96">
        <w:rPr>
          <w:rFonts w:ascii="David" w:hAnsi="David" w:cs="David" w:hint="cs"/>
          <w:rtl/>
        </w:rPr>
        <w:t xml:space="preserve">הנבחנים, שכן אלה </w:t>
      </w:r>
      <w:r w:rsidR="00E90678">
        <w:rPr>
          <w:rFonts w:ascii="David" w:hAnsi="David" w:cs="David" w:hint="cs"/>
          <w:rtl/>
        </w:rPr>
        <w:t>ממילא נדרשים</w:t>
      </w:r>
      <w:r w:rsidRPr="00ED4F96">
        <w:rPr>
          <w:rFonts w:ascii="David" w:hAnsi="David" w:cs="David" w:hint="cs"/>
          <w:rtl/>
        </w:rPr>
        <w:t xml:space="preserve"> לשלוט בכלל חומר הבחינה.</w:t>
      </w:r>
      <w:r w:rsidR="00E90678">
        <w:rPr>
          <w:rFonts w:ascii="David" w:hAnsi="David" w:cs="David" w:hint="cs"/>
          <w:rtl/>
        </w:rPr>
        <w:t xml:space="preserve"> זאת, בניגוד לרלוונטיות שאלת ההסתמכות בעניין פרץ.</w:t>
      </w:r>
      <w:r w:rsidRPr="00ED4F96">
        <w:rPr>
          <w:rFonts w:ascii="David" w:hAnsi="David" w:cs="David" w:hint="cs"/>
          <w:rtl/>
        </w:rPr>
        <w:t xml:space="preserve"> </w:t>
      </w:r>
      <w:r w:rsidR="00E90678">
        <w:rPr>
          <w:rFonts w:ascii="David" w:hAnsi="David" w:cs="David" w:hint="cs"/>
          <w:rtl/>
        </w:rPr>
        <w:t>בהתאם</w:t>
      </w:r>
      <w:r w:rsidRPr="00ED4F96">
        <w:rPr>
          <w:rFonts w:ascii="David" w:hAnsi="David" w:cs="David" w:hint="cs"/>
          <w:rtl/>
        </w:rPr>
        <w:t xml:space="preserve">, </w:t>
      </w:r>
      <w:r w:rsidR="005F1194">
        <w:rPr>
          <w:rFonts w:ascii="David" w:hAnsi="David" w:cs="David" w:hint="cs"/>
          <w:rtl/>
        </w:rPr>
        <w:t>נסיבות המקרה</w:t>
      </w:r>
      <w:r w:rsidRPr="00ED4F96">
        <w:rPr>
          <w:rFonts w:ascii="David" w:hAnsi="David" w:cs="David" w:hint="cs"/>
          <w:rtl/>
        </w:rPr>
        <w:t xml:space="preserve"> בעניין בנאי, בניגוד </w:t>
      </w:r>
      <w:r w:rsidR="005F1194">
        <w:rPr>
          <w:rFonts w:ascii="David" w:hAnsi="David" w:cs="David" w:hint="cs"/>
          <w:rtl/>
        </w:rPr>
        <w:t>לפסק הדין</w:t>
      </w:r>
      <w:r w:rsidRPr="00ED4F96">
        <w:rPr>
          <w:rFonts w:ascii="David" w:hAnsi="David" w:cs="David" w:hint="cs"/>
          <w:rtl/>
        </w:rPr>
        <w:t xml:space="preserve"> בעניין פרץ, </w:t>
      </w:r>
      <w:r w:rsidR="005F1194">
        <w:rPr>
          <w:rFonts w:ascii="David" w:hAnsi="David" w:cs="David" w:hint="cs"/>
          <w:rtl/>
        </w:rPr>
        <w:t xml:space="preserve">נסבו סביב </w:t>
      </w:r>
      <w:r w:rsidRPr="00ED4F96">
        <w:rPr>
          <w:rFonts w:ascii="David" w:hAnsi="David" w:cs="David" w:hint="cs"/>
          <w:rtl/>
        </w:rPr>
        <w:t>החלטה מנהלית שאינה נוגעת לתוכן הבחינה</w:t>
      </w:r>
      <w:r w:rsidR="003C3181">
        <w:rPr>
          <w:rFonts w:ascii="David" w:hAnsi="David" w:cs="David" w:hint="cs"/>
          <w:rtl/>
        </w:rPr>
        <w:t>, ולא על עיצובה המהותי</w:t>
      </w:r>
      <w:r w:rsidRPr="00ED4F96">
        <w:rPr>
          <w:rFonts w:ascii="David" w:hAnsi="David" w:cs="David" w:hint="cs"/>
          <w:rtl/>
        </w:rPr>
        <w:t xml:space="preserve">. </w:t>
      </w:r>
      <w:r w:rsidR="004A4A89">
        <w:rPr>
          <w:rFonts w:ascii="David" w:hAnsi="David" w:cs="David" w:hint="cs"/>
          <w:rtl/>
        </w:rPr>
        <w:t xml:space="preserve">אוסיף כי </w:t>
      </w:r>
      <w:r w:rsidRPr="00ED4F96">
        <w:rPr>
          <w:rFonts w:ascii="David" w:hAnsi="David" w:cs="David" w:hint="cs"/>
          <w:rtl/>
        </w:rPr>
        <w:t xml:space="preserve">אף </w:t>
      </w:r>
      <w:r w:rsidR="004A4A89">
        <w:rPr>
          <w:rFonts w:ascii="David" w:hAnsi="David" w:cs="David" w:hint="cs"/>
          <w:rtl/>
        </w:rPr>
        <w:t>ש</w:t>
      </w:r>
      <w:r w:rsidRPr="00ED4F96">
        <w:rPr>
          <w:rFonts w:ascii="David" w:hAnsi="David" w:cs="David" w:hint="cs"/>
          <w:rtl/>
        </w:rPr>
        <w:t xml:space="preserve">בשנים האחרונות חלה מגמת מעבר לעתירות הנוגעות לטענות ספציפיות, אין בכך </w:t>
      </w:r>
      <w:r w:rsidR="00E90678">
        <w:rPr>
          <w:rFonts w:ascii="David" w:hAnsi="David" w:cs="David" w:hint="cs"/>
          <w:rtl/>
        </w:rPr>
        <w:t xml:space="preserve">בכדי </w:t>
      </w:r>
      <w:r w:rsidRPr="00ED4F96">
        <w:rPr>
          <w:rFonts w:ascii="David" w:hAnsi="David" w:cs="David" w:hint="cs"/>
          <w:rtl/>
        </w:rPr>
        <w:t xml:space="preserve">לטשטש את ההבחנה המהותית בין הטענות שנדונו </w:t>
      </w:r>
      <w:r w:rsidR="00E90678">
        <w:rPr>
          <w:rFonts w:ascii="David" w:hAnsi="David" w:cs="David" w:hint="cs"/>
          <w:rtl/>
        </w:rPr>
        <w:t>בכל אחד מהמקרים</w:t>
      </w:r>
      <w:r w:rsidRPr="00ED4F96">
        <w:rPr>
          <w:rFonts w:ascii="David" w:hAnsi="David" w:cs="David" w:hint="cs"/>
          <w:rtl/>
        </w:rPr>
        <w:t xml:space="preserve">. </w:t>
      </w:r>
      <w:r w:rsidR="00A2561A">
        <w:rPr>
          <w:rFonts w:ascii="David" w:hAnsi="David" w:cs="David" w:hint="cs"/>
          <w:rtl/>
        </w:rPr>
        <w:t>לפיכך</w:t>
      </w:r>
      <w:r>
        <w:rPr>
          <w:rFonts w:ascii="David" w:hAnsi="David" w:cs="David" w:hint="cs"/>
          <w:rtl/>
        </w:rPr>
        <w:t xml:space="preserve">, </w:t>
      </w:r>
      <w:r w:rsidRPr="00ED4F96">
        <w:rPr>
          <w:rFonts w:ascii="David" w:hAnsi="David" w:cs="David" w:hint="cs"/>
          <w:rtl/>
        </w:rPr>
        <w:t>הבחנה זו שוללת את האפשרות להשוואה ישירה בין קביעות בית-המשפט.</w:t>
      </w:r>
      <w:r w:rsidR="003D42E0">
        <w:rPr>
          <w:rFonts w:ascii="David" w:hAnsi="David" w:cs="David" w:hint="cs"/>
          <w:rtl/>
        </w:rPr>
        <w:t xml:space="preserve"> </w:t>
      </w:r>
    </w:p>
    <w:p w14:paraId="1A324633" w14:textId="77777777" w:rsidR="00874062" w:rsidRDefault="00874062" w:rsidP="00984436">
      <w:pPr>
        <w:spacing w:line="360" w:lineRule="auto"/>
        <w:jc w:val="both"/>
        <w:rPr>
          <w:rFonts w:ascii="David" w:hAnsi="David" w:cs="David"/>
          <w:rtl/>
        </w:rPr>
      </w:pPr>
    </w:p>
    <w:p w14:paraId="08CD68EB" w14:textId="11E8E21E" w:rsidR="00554E03" w:rsidRPr="000E1420" w:rsidRDefault="00DD2FCD" w:rsidP="00554E03">
      <w:p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lastRenderedPageBreak/>
        <w:t>יתרה מכך</w:t>
      </w:r>
      <w:r w:rsidR="00F04402">
        <w:rPr>
          <w:rFonts w:ascii="David" w:hAnsi="David" w:cs="David" w:hint="cs"/>
          <w:rtl/>
        </w:rPr>
        <w:t xml:space="preserve">, </w:t>
      </w:r>
      <w:r w:rsidR="003D42E0">
        <w:rPr>
          <w:rFonts w:ascii="David" w:hAnsi="David" w:cs="David" w:hint="cs"/>
          <w:rtl/>
        </w:rPr>
        <w:t>הטענה לקיומה של סתירה בפסיקה מערפלת את מטרת המאמר, שאינה גבולות ההתערבות השיפוטית, אלא היקף שיקול הדעת הנתון ללשכה.</w:t>
      </w:r>
      <w:r w:rsidR="00554E03">
        <w:rPr>
          <w:rFonts w:ascii="David" w:hAnsi="David" w:cs="David" w:hint="cs"/>
          <w:rtl/>
        </w:rPr>
        <w:t xml:space="preserve"> </w:t>
      </w:r>
      <w:r w:rsidR="00554E03" w:rsidRPr="00ED4F96">
        <w:rPr>
          <w:rFonts w:ascii="David" w:hAnsi="David" w:cs="David" w:hint="cs"/>
          <w:rtl/>
        </w:rPr>
        <w:t>במסגרת החוקתית הקיימת, עיצוב הבחינה נתון לשיקול דעתה של הלשכה, והתערבות בית-המשפט תיעשה במקרים חריגים.</w:t>
      </w:r>
      <w:r w:rsidR="00554E03">
        <w:rPr>
          <w:rFonts w:ascii="David" w:hAnsi="David" w:cs="David" w:hint="cs"/>
          <w:rtl/>
        </w:rPr>
        <w:t xml:space="preserve"> לכן, </w:t>
      </w:r>
      <w:r w:rsidR="00554E03" w:rsidRPr="00ED4F96">
        <w:rPr>
          <w:rFonts w:ascii="David" w:hAnsi="David" w:cs="David" w:hint="cs"/>
          <w:rtl/>
        </w:rPr>
        <w:t xml:space="preserve">על אף </w:t>
      </w:r>
      <w:r w:rsidR="00554E03">
        <w:rPr>
          <w:rFonts w:ascii="David" w:hAnsi="David" w:cs="David" w:hint="cs"/>
          <w:rtl/>
        </w:rPr>
        <w:t>ש</w:t>
      </w:r>
      <w:r w:rsidR="00554E03" w:rsidRPr="00ED4F96">
        <w:rPr>
          <w:rFonts w:ascii="David" w:hAnsi="David" w:cs="David" w:hint="cs"/>
          <w:rtl/>
        </w:rPr>
        <w:t xml:space="preserve">בעניין פרץ </w:t>
      </w:r>
      <w:r w:rsidR="00554E03">
        <w:rPr>
          <w:rFonts w:ascii="David" w:hAnsi="David" w:cs="David" w:hint="cs"/>
          <w:rtl/>
        </w:rPr>
        <w:t xml:space="preserve">עלו </w:t>
      </w:r>
      <w:r w:rsidR="00554E03" w:rsidRPr="00ED4F96">
        <w:rPr>
          <w:rFonts w:ascii="David" w:hAnsi="David" w:cs="David" w:hint="cs"/>
          <w:rtl/>
        </w:rPr>
        <w:t xml:space="preserve">פגמים </w:t>
      </w:r>
      <w:r w:rsidR="00554E03">
        <w:rPr>
          <w:rFonts w:ascii="David" w:hAnsi="David" w:cs="David" w:hint="cs"/>
          <w:rtl/>
        </w:rPr>
        <w:t>מהותיים</w:t>
      </w:r>
      <w:r w:rsidR="00554E03" w:rsidRPr="00ED4F96">
        <w:rPr>
          <w:rFonts w:ascii="David" w:hAnsi="David" w:cs="David" w:hint="cs"/>
          <w:rtl/>
        </w:rPr>
        <w:t>, הם לא הגיעו לרף המצדיק התערבות שיפוטית.</w:t>
      </w:r>
      <w:r w:rsidR="00554E03">
        <w:rPr>
          <w:rFonts w:ascii="David" w:hAnsi="David" w:cs="David" w:hint="cs"/>
          <w:rtl/>
        </w:rPr>
        <w:t xml:space="preserve"> בהתאם, </w:t>
      </w:r>
      <w:r w:rsidR="00554E03" w:rsidRPr="00ED4F96">
        <w:rPr>
          <w:rFonts w:ascii="David" w:hAnsi="David" w:cs="David" w:hint="cs"/>
          <w:rtl/>
        </w:rPr>
        <w:t xml:space="preserve">פתרון הקושי בבחינות או בהיקף שיקול הדעת הנתון ללשכה אינו מצוי בפרשנות בית-המשפט, אלא בהתערבות חקיקתית, כפי שהציעה זר-גוטמן במאמרה. פתרונות אלו עשויים להציב גבולות נורמטיביים ברורים למהות הבחינה ולתפקידה של הלשכה. </w:t>
      </w:r>
    </w:p>
    <w:p w14:paraId="4E6568F9" w14:textId="4B3EC727" w:rsidR="00554E03" w:rsidRPr="00554E03" w:rsidRDefault="00554E03" w:rsidP="00984436">
      <w:pPr>
        <w:spacing w:line="360" w:lineRule="auto"/>
        <w:jc w:val="both"/>
        <w:rPr>
          <w:rFonts w:ascii="David" w:hAnsi="David" w:cs="David"/>
          <w:rtl/>
        </w:rPr>
      </w:pPr>
    </w:p>
    <w:p w14:paraId="32269FF3" w14:textId="7D005A23" w:rsidR="00461969" w:rsidRPr="000E1420" w:rsidRDefault="00461969" w:rsidP="00984436">
      <w:pPr>
        <w:spacing w:line="360" w:lineRule="auto"/>
        <w:jc w:val="both"/>
        <w:rPr>
          <w:rFonts w:ascii="David" w:hAnsi="David" w:cs="David"/>
        </w:rPr>
      </w:pPr>
    </w:p>
    <w:sectPr w:rsidR="00461969" w:rsidRPr="000E1420" w:rsidSect="000E1420">
      <w:pgSz w:w="11906" w:h="16838"/>
      <w:pgMar w:top="1418" w:right="1418" w:bottom="1418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3C88A" w14:textId="77777777" w:rsidR="002E78D0" w:rsidRDefault="002E78D0" w:rsidP="00BF31C4">
      <w:pPr>
        <w:spacing w:after="0" w:line="240" w:lineRule="auto"/>
      </w:pPr>
      <w:r>
        <w:separator/>
      </w:r>
    </w:p>
  </w:endnote>
  <w:endnote w:type="continuationSeparator" w:id="0">
    <w:p w14:paraId="29588E55" w14:textId="77777777" w:rsidR="002E78D0" w:rsidRDefault="002E78D0" w:rsidP="00BF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FD90" w14:textId="77777777" w:rsidR="002E78D0" w:rsidRDefault="002E78D0" w:rsidP="00BF31C4">
      <w:pPr>
        <w:spacing w:after="0" w:line="240" w:lineRule="auto"/>
      </w:pPr>
      <w:r>
        <w:separator/>
      </w:r>
    </w:p>
  </w:footnote>
  <w:footnote w:type="continuationSeparator" w:id="0">
    <w:p w14:paraId="26785880" w14:textId="77777777" w:rsidR="002E78D0" w:rsidRDefault="002E78D0" w:rsidP="00BF31C4">
      <w:pPr>
        <w:spacing w:after="0" w:line="240" w:lineRule="auto"/>
      </w:pPr>
      <w:r>
        <w:continuationSeparator/>
      </w:r>
    </w:p>
  </w:footnote>
  <w:footnote w:id="1">
    <w:p w14:paraId="49D02D2A" w14:textId="08D1A5AF" w:rsidR="00874062" w:rsidRPr="00525A81" w:rsidRDefault="00874062">
      <w:pPr>
        <w:pStyle w:val="FootnoteText"/>
        <w:rPr>
          <w:rFonts w:ascii="David" w:hAnsi="David" w:cs="David"/>
          <w:rtl/>
        </w:rPr>
      </w:pPr>
      <w:r w:rsidRPr="00525A81">
        <w:rPr>
          <w:rStyle w:val="FootnoteReference"/>
          <w:rFonts w:ascii="David" w:hAnsi="David" w:cs="David"/>
        </w:rPr>
        <w:footnoteRef/>
      </w:r>
      <w:r w:rsidRPr="00525A81">
        <w:rPr>
          <w:rFonts w:ascii="David" w:hAnsi="David" w:cs="David"/>
          <w:rtl/>
        </w:rPr>
        <w:t xml:space="preserve"> </w:t>
      </w:r>
      <w:r w:rsidR="00AE0846" w:rsidRPr="00AE0846">
        <w:rPr>
          <w:rFonts w:ascii="David" w:hAnsi="David" w:cs="David" w:hint="cs"/>
          <w:rtl/>
        </w:rPr>
        <w:t>בג</w:t>
      </w:r>
      <w:r w:rsidR="00AE0846" w:rsidRPr="00AE0846">
        <w:rPr>
          <w:rFonts w:ascii="David" w:hAnsi="David" w:cs="David"/>
          <w:rtl/>
        </w:rPr>
        <w:t>"</w:t>
      </w:r>
      <w:r w:rsidR="00AE0846" w:rsidRPr="00AE0846">
        <w:rPr>
          <w:rFonts w:ascii="David" w:hAnsi="David" w:cs="David" w:hint="cs"/>
          <w:rtl/>
        </w:rPr>
        <w:t>ץ</w:t>
      </w:r>
      <w:r w:rsidR="00AE0846" w:rsidRPr="00AE0846">
        <w:rPr>
          <w:rFonts w:ascii="David" w:hAnsi="David" w:cs="David"/>
          <w:rtl/>
        </w:rPr>
        <w:t xml:space="preserve"> 2832/96 </w:t>
      </w:r>
      <w:r w:rsidR="00AE0846" w:rsidRPr="00AE0846">
        <w:rPr>
          <w:rFonts w:ascii="David" w:hAnsi="David" w:cs="David" w:hint="cs"/>
          <w:b/>
          <w:bCs/>
          <w:rtl/>
        </w:rPr>
        <w:t>בנאי</w:t>
      </w:r>
      <w:r w:rsidR="00AE0846" w:rsidRPr="00AE0846">
        <w:rPr>
          <w:rFonts w:ascii="David" w:hAnsi="David" w:cs="David"/>
          <w:b/>
          <w:bCs/>
          <w:rtl/>
        </w:rPr>
        <w:t xml:space="preserve"> </w:t>
      </w:r>
      <w:r w:rsidR="00AE0846" w:rsidRPr="00AE0846">
        <w:rPr>
          <w:rFonts w:ascii="David" w:hAnsi="David" w:cs="David" w:hint="cs"/>
          <w:b/>
          <w:bCs/>
          <w:rtl/>
        </w:rPr>
        <w:t>נ</w:t>
      </w:r>
      <w:r w:rsidR="00AE0846" w:rsidRPr="00AE0846">
        <w:rPr>
          <w:rFonts w:ascii="David" w:hAnsi="David" w:cs="David"/>
          <w:b/>
          <w:bCs/>
          <w:rtl/>
        </w:rPr>
        <w:t xml:space="preserve">' </w:t>
      </w:r>
      <w:r w:rsidR="00AE0846" w:rsidRPr="00AE0846">
        <w:rPr>
          <w:rFonts w:ascii="David" w:hAnsi="David" w:cs="David" w:hint="cs"/>
          <w:b/>
          <w:bCs/>
          <w:rtl/>
        </w:rPr>
        <w:t>המועצה</w:t>
      </w:r>
      <w:r w:rsidR="00AE0846" w:rsidRPr="00AE0846">
        <w:rPr>
          <w:rFonts w:ascii="David" w:hAnsi="David" w:cs="David"/>
          <w:b/>
          <w:bCs/>
          <w:rtl/>
        </w:rPr>
        <w:t xml:space="preserve"> </w:t>
      </w:r>
      <w:r w:rsidR="00AE0846" w:rsidRPr="00AE0846">
        <w:rPr>
          <w:rFonts w:ascii="David" w:hAnsi="David" w:cs="David" w:hint="cs"/>
          <w:b/>
          <w:bCs/>
          <w:rtl/>
        </w:rPr>
        <w:t>הארצית</w:t>
      </w:r>
      <w:r w:rsidR="00AE0846" w:rsidRPr="00AE0846">
        <w:rPr>
          <w:rFonts w:ascii="David" w:hAnsi="David" w:cs="David"/>
          <w:b/>
          <w:bCs/>
          <w:rtl/>
        </w:rPr>
        <w:t xml:space="preserve"> </w:t>
      </w:r>
      <w:r w:rsidR="00AE0846" w:rsidRPr="00AE0846">
        <w:rPr>
          <w:rFonts w:ascii="David" w:hAnsi="David" w:cs="David" w:hint="cs"/>
          <w:b/>
          <w:bCs/>
          <w:rtl/>
        </w:rPr>
        <w:t>של</w:t>
      </w:r>
      <w:r w:rsidR="00AE0846" w:rsidRPr="00AE0846">
        <w:rPr>
          <w:rFonts w:ascii="David" w:hAnsi="David" w:cs="David"/>
          <w:b/>
          <w:bCs/>
          <w:rtl/>
        </w:rPr>
        <w:t xml:space="preserve"> </w:t>
      </w:r>
      <w:r w:rsidR="00AE0846" w:rsidRPr="00AE0846">
        <w:rPr>
          <w:rFonts w:ascii="David" w:hAnsi="David" w:cs="David" w:hint="cs"/>
          <w:b/>
          <w:bCs/>
          <w:rtl/>
        </w:rPr>
        <w:t>לשכת</w:t>
      </w:r>
      <w:r w:rsidR="00AE0846" w:rsidRPr="00AE0846">
        <w:rPr>
          <w:rFonts w:ascii="David" w:hAnsi="David" w:cs="David"/>
          <w:b/>
          <w:bCs/>
          <w:rtl/>
        </w:rPr>
        <w:t xml:space="preserve"> </w:t>
      </w:r>
      <w:r w:rsidR="00AE0846" w:rsidRPr="00AE0846">
        <w:rPr>
          <w:rFonts w:ascii="David" w:hAnsi="David" w:cs="David" w:hint="cs"/>
          <w:b/>
          <w:bCs/>
          <w:rtl/>
        </w:rPr>
        <w:t>עורכי</w:t>
      </w:r>
      <w:r w:rsidR="00AE0846" w:rsidRPr="00AE0846">
        <w:rPr>
          <w:rFonts w:ascii="David" w:hAnsi="David" w:cs="David"/>
          <w:b/>
          <w:bCs/>
          <w:rtl/>
        </w:rPr>
        <w:t xml:space="preserve"> </w:t>
      </w:r>
      <w:r w:rsidR="00AE0846" w:rsidRPr="00AE0846">
        <w:rPr>
          <w:rFonts w:ascii="David" w:hAnsi="David" w:cs="David" w:hint="cs"/>
          <w:b/>
          <w:bCs/>
          <w:rtl/>
        </w:rPr>
        <w:t>הדין</w:t>
      </w:r>
      <w:r w:rsidR="00AE0846" w:rsidRPr="00AE0846">
        <w:rPr>
          <w:rFonts w:ascii="David" w:hAnsi="David" w:cs="David"/>
          <w:rtl/>
        </w:rPr>
        <w:t xml:space="preserve">, </w:t>
      </w:r>
      <w:r w:rsidR="00AE0846" w:rsidRPr="00AE0846">
        <w:rPr>
          <w:rFonts w:ascii="David" w:hAnsi="David" w:cs="David" w:hint="cs"/>
          <w:rtl/>
        </w:rPr>
        <w:t>פ</w:t>
      </w:r>
      <w:r w:rsidR="00AE0846" w:rsidRPr="00AE0846">
        <w:rPr>
          <w:rFonts w:ascii="David" w:hAnsi="David" w:cs="David"/>
          <w:rtl/>
        </w:rPr>
        <w:t>"</w:t>
      </w:r>
      <w:r w:rsidR="00AE0846" w:rsidRPr="00AE0846">
        <w:rPr>
          <w:rFonts w:ascii="David" w:hAnsi="David" w:cs="David" w:hint="cs"/>
          <w:rtl/>
        </w:rPr>
        <w:t>ד</w:t>
      </w:r>
      <w:r w:rsidR="00AE0846" w:rsidRPr="00AE0846">
        <w:rPr>
          <w:rFonts w:ascii="David" w:hAnsi="David" w:cs="David"/>
          <w:rtl/>
        </w:rPr>
        <w:t xml:space="preserve"> </w:t>
      </w:r>
      <w:r w:rsidR="00AE0846" w:rsidRPr="00AE0846">
        <w:rPr>
          <w:rFonts w:ascii="David" w:hAnsi="David" w:cs="David" w:hint="cs"/>
          <w:rtl/>
        </w:rPr>
        <w:t>נ</w:t>
      </w:r>
      <w:r w:rsidR="00AE0846" w:rsidRPr="00AE0846">
        <w:rPr>
          <w:rFonts w:ascii="David" w:hAnsi="David" w:cs="David"/>
          <w:rtl/>
        </w:rPr>
        <w:t>(2) 582</w:t>
      </w:r>
      <w:r w:rsidR="00AE0846">
        <w:rPr>
          <w:rFonts w:ascii="David" w:hAnsi="David" w:cs="David" w:hint="cs"/>
          <w:rtl/>
        </w:rPr>
        <w:t xml:space="preserve"> (1996).</w:t>
      </w:r>
    </w:p>
  </w:footnote>
  <w:footnote w:id="2">
    <w:p w14:paraId="170388A3" w14:textId="64923896" w:rsidR="00874062" w:rsidRPr="00525A81" w:rsidRDefault="00874062">
      <w:pPr>
        <w:pStyle w:val="FootnoteText"/>
        <w:rPr>
          <w:rFonts w:ascii="David" w:hAnsi="David" w:cs="David"/>
          <w:rtl/>
        </w:rPr>
      </w:pPr>
      <w:r w:rsidRPr="00525A81">
        <w:rPr>
          <w:rStyle w:val="FootnoteReference"/>
          <w:rFonts w:ascii="David" w:hAnsi="David" w:cs="David"/>
        </w:rPr>
        <w:footnoteRef/>
      </w:r>
      <w:r w:rsidRPr="00525A81">
        <w:rPr>
          <w:rFonts w:ascii="David" w:hAnsi="David" w:cs="David"/>
          <w:rtl/>
        </w:rPr>
        <w:t xml:space="preserve"> </w:t>
      </w:r>
      <w:r w:rsidR="00AE0846" w:rsidRPr="00525A81">
        <w:rPr>
          <w:rFonts w:ascii="David" w:hAnsi="David" w:cs="David"/>
          <w:rtl/>
        </w:rPr>
        <w:t xml:space="preserve">עע"מ 3717/18 </w:t>
      </w:r>
      <w:r w:rsidR="00AE0846" w:rsidRPr="00525A81">
        <w:rPr>
          <w:rFonts w:ascii="David" w:hAnsi="David" w:cs="David"/>
          <w:b/>
          <w:bCs/>
          <w:rtl/>
        </w:rPr>
        <w:t>פרץ נ'</w:t>
      </w:r>
      <w:r w:rsidR="00AE0846" w:rsidRPr="00525A81">
        <w:rPr>
          <w:rFonts w:ascii="David" w:hAnsi="David" w:cs="David"/>
          <w:rtl/>
        </w:rPr>
        <w:t xml:space="preserve"> </w:t>
      </w:r>
      <w:r w:rsidR="00AE0846" w:rsidRPr="00525A81">
        <w:rPr>
          <w:rFonts w:ascii="David" w:hAnsi="David" w:cs="David"/>
          <w:b/>
          <w:bCs/>
          <w:rtl/>
        </w:rPr>
        <w:t>הוועדה הבוחנת של לשכת עורכי הדין</w:t>
      </w:r>
      <w:r w:rsidR="00AE0846">
        <w:rPr>
          <w:rFonts w:ascii="David" w:hAnsi="David" w:cs="David" w:hint="cs"/>
          <w:rtl/>
        </w:rPr>
        <w:t xml:space="preserve"> (</w:t>
      </w:r>
      <w:r w:rsidR="00AE0846" w:rsidRPr="00525A81">
        <w:rPr>
          <w:rFonts w:ascii="David" w:hAnsi="David" w:cs="David" w:hint="cs"/>
          <w:rtl/>
        </w:rPr>
        <w:t>נבו</w:t>
      </w:r>
      <w:r w:rsidR="00AE0846" w:rsidRPr="00525A81">
        <w:rPr>
          <w:rFonts w:ascii="David" w:hAnsi="David" w:cs="David"/>
          <w:rtl/>
        </w:rPr>
        <w:t xml:space="preserve"> 10.6.2018</w:t>
      </w:r>
      <w:r w:rsidR="00AE0846" w:rsidRPr="00525A81">
        <w:rPr>
          <w:rFonts w:ascii="David" w:hAnsi="David" w:cs="David" w:hint="cs"/>
          <w:rtl/>
        </w:rPr>
        <w:t>)</w:t>
      </w:r>
      <w:r w:rsidR="00AE0846">
        <w:rPr>
          <w:rFonts w:ascii="David" w:hAnsi="David" w:cs="David" w:hint="cs"/>
          <w:rtl/>
        </w:rPr>
        <w:t>.</w:t>
      </w:r>
    </w:p>
  </w:footnote>
  <w:footnote w:id="3">
    <w:p w14:paraId="4C8F5166" w14:textId="7275F29A" w:rsidR="0074554F" w:rsidRDefault="0074554F" w:rsidP="0074554F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ascii="David" w:hAnsi="David" w:cs="David" w:hint="cs"/>
          <w:rtl/>
        </w:rPr>
        <w:t xml:space="preserve">פרשת </w:t>
      </w:r>
      <w:r>
        <w:rPr>
          <w:rFonts w:ascii="David" w:hAnsi="David" w:cs="David" w:hint="cs"/>
          <w:b/>
          <w:bCs/>
          <w:rtl/>
        </w:rPr>
        <w:t>בנאי</w:t>
      </w:r>
      <w:r>
        <w:rPr>
          <w:rFonts w:ascii="David" w:hAnsi="David" w:cs="David" w:hint="cs"/>
          <w:rtl/>
        </w:rPr>
        <w:t>, לעיל ה"ש 1, בעמ' 603</w:t>
      </w:r>
      <w:r w:rsidR="003C13F6"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>604.</w:t>
      </w:r>
    </w:p>
  </w:footnote>
  <w:footnote w:id="4">
    <w:p w14:paraId="3E35D4B6" w14:textId="5438F273" w:rsidR="00874062" w:rsidRPr="003C13F6" w:rsidRDefault="00874062">
      <w:pPr>
        <w:pStyle w:val="FootnoteText"/>
        <w:rPr>
          <w:rFonts w:ascii="David" w:hAnsi="David" w:cs="David"/>
          <w:rtl/>
        </w:rPr>
      </w:pPr>
      <w:r w:rsidRPr="00525A81">
        <w:rPr>
          <w:rStyle w:val="FootnoteReference"/>
          <w:rFonts w:ascii="David" w:hAnsi="David" w:cs="David"/>
        </w:rPr>
        <w:footnoteRef/>
      </w:r>
      <w:r w:rsidRPr="00525A81">
        <w:rPr>
          <w:rFonts w:ascii="David" w:hAnsi="David" w:cs="David"/>
          <w:rtl/>
        </w:rPr>
        <w:t xml:space="preserve"> </w:t>
      </w:r>
      <w:r w:rsidR="003C13F6">
        <w:rPr>
          <w:rFonts w:ascii="David" w:hAnsi="David" w:cs="David" w:hint="cs"/>
          <w:rtl/>
        </w:rPr>
        <w:t xml:space="preserve">פרשת </w:t>
      </w:r>
      <w:r w:rsidR="003C13F6">
        <w:rPr>
          <w:rFonts w:ascii="David" w:hAnsi="David" w:cs="David" w:hint="cs"/>
          <w:b/>
          <w:bCs/>
          <w:rtl/>
        </w:rPr>
        <w:t>פרץ</w:t>
      </w:r>
      <w:r w:rsidR="003C13F6">
        <w:rPr>
          <w:rFonts w:ascii="David" w:hAnsi="David" w:cs="David" w:hint="cs"/>
          <w:rtl/>
        </w:rPr>
        <w:t>, לעיל ה"ש 2, פס' 33 לפסק דינו של השופט עמית.</w:t>
      </w:r>
    </w:p>
  </w:footnote>
  <w:footnote w:id="5">
    <w:p w14:paraId="324B031C" w14:textId="1D480C58" w:rsidR="00874062" w:rsidRPr="003C13F6" w:rsidRDefault="00874062">
      <w:pPr>
        <w:pStyle w:val="FootnoteText"/>
        <w:rPr>
          <w:rFonts w:ascii="David" w:hAnsi="David" w:cs="David"/>
          <w:rtl/>
        </w:rPr>
      </w:pPr>
      <w:r w:rsidRPr="003C13F6">
        <w:rPr>
          <w:rStyle w:val="FootnoteReference"/>
          <w:rFonts w:ascii="David" w:hAnsi="David" w:cs="David"/>
        </w:rPr>
        <w:footnoteRef/>
      </w:r>
      <w:r w:rsidR="003C13F6">
        <w:rPr>
          <w:rFonts w:ascii="David" w:hAnsi="David" w:cs="David" w:hint="cs"/>
          <w:rtl/>
        </w:rPr>
        <w:t xml:space="preserve"> שם, פס' 4, 31</w:t>
      </w:r>
      <w:r w:rsidR="003C13F6">
        <w:rPr>
          <w:rFonts w:ascii="David" w:hAnsi="David" w:cs="David"/>
          <w:rtl/>
        </w:rPr>
        <w:t>–</w:t>
      </w:r>
      <w:r w:rsidR="003C13F6">
        <w:rPr>
          <w:rFonts w:ascii="David" w:hAnsi="David" w:cs="David" w:hint="cs"/>
          <w:rtl/>
        </w:rPr>
        <w:t>32 לפסק דינו של השופט עמית.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80071"/>
    <w:multiLevelType w:val="hybridMultilevel"/>
    <w:tmpl w:val="A2D8A44A"/>
    <w:lvl w:ilvl="0" w:tplc="C80AC628">
      <w:start w:val="1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56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20"/>
    <w:rsid w:val="00010E97"/>
    <w:rsid w:val="00016C80"/>
    <w:rsid w:val="00027F3A"/>
    <w:rsid w:val="0003087F"/>
    <w:rsid w:val="00036C3F"/>
    <w:rsid w:val="000433E6"/>
    <w:rsid w:val="000675BC"/>
    <w:rsid w:val="00070978"/>
    <w:rsid w:val="00072629"/>
    <w:rsid w:val="00085242"/>
    <w:rsid w:val="000A3131"/>
    <w:rsid w:val="000E1420"/>
    <w:rsid w:val="000E6240"/>
    <w:rsid w:val="00106670"/>
    <w:rsid w:val="00122BC7"/>
    <w:rsid w:val="00144EAF"/>
    <w:rsid w:val="00145CF7"/>
    <w:rsid w:val="0014689A"/>
    <w:rsid w:val="00160CD3"/>
    <w:rsid w:val="00163BBA"/>
    <w:rsid w:val="00174AB2"/>
    <w:rsid w:val="001B3167"/>
    <w:rsid w:val="001D5569"/>
    <w:rsid w:val="001D64A7"/>
    <w:rsid w:val="001E16E3"/>
    <w:rsid w:val="001F3F99"/>
    <w:rsid w:val="002018F0"/>
    <w:rsid w:val="002033C3"/>
    <w:rsid w:val="002109F9"/>
    <w:rsid w:val="002117EB"/>
    <w:rsid w:val="00212610"/>
    <w:rsid w:val="0023573C"/>
    <w:rsid w:val="00244279"/>
    <w:rsid w:val="00246295"/>
    <w:rsid w:val="002878DC"/>
    <w:rsid w:val="00294D3D"/>
    <w:rsid w:val="002A2CD0"/>
    <w:rsid w:val="002A7B7A"/>
    <w:rsid w:val="002D301D"/>
    <w:rsid w:val="002E78D0"/>
    <w:rsid w:val="002F1561"/>
    <w:rsid w:val="002F1F3A"/>
    <w:rsid w:val="00310DBC"/>
    <w:rsid w:val="00314C46"/>
    <w:rsid w:val="00343C89"/>
    <w:rsid w:val="00373249"/>
    <w:rsid w:val="003757B1"/>
    <w:rsid w:val="00382063"/>
    <w:rsid w:val="0038306B"/>
    <w:rsid w:val="00393711"/>
    <w:rsid w:val="003A1FFB"/>
    <w:rsid w:val="003B2480"/>
    <w:rsid w:val="003C13F6"/>
    <w:rsid w:val="003C3181"/>
    <w:rsid w:val="003C5CCD"/>
    <w:rsid w:val="003D42E0"/>
    <w:rsid w:val="003E4FA0"/>
    <w:rsid w:val="00426B5A"/>
    <w:rsid w:val="004551B0"/>
    <w:rsid w:val="00461969"/>
    <w:rsid w:val="00462FCD"/>
    <w:rsid w:val="0046659D"/>
    <w:rsid w:val="00472592"/>
    <w:rsid w:val="004903F3"/>
    <w:rsid w:val="004976A1"/>
    <w:rsid w:val="004A4A89"/>
    <w:rsid w:val="004B0671"/>
    <w:rsid w:val="004C4662"/>
    <w:rsid w:val="00521563"/>
    <w:rsid w:val="00525A81"/>
    <w:rsid w:val="0053072C"/>
    <w:rsid w:val="00535CE4"/>
    <w:rsid w:val="00537F11"/>
    <w:rsid w:val="00542A20"/>
    <w:rsid w:val="00543B89"/>
    <w:rsid w:val="00554E03"/>
    <w:rsid w:val="005556CC"/>
    <w:rsid w:val="00566A43"/>
    <w:rsid w:val="00577052"/>
    <w:rsid w:val="005879D8"/>
    <w:rsid w:val="00591F6E"/>
    <w:rsid w:val="00592A4A"/>
    <w:rsid w:val="005930F1"/>
    <w:rsid w:val="005B477D"/>
    <w:rsid w:val="005C2E7D"/>
    <w:rsid w:val="005E4F76"/>
    <w:rsid w:val="005E638D"/>
    <w:rsid w:val="005F1194"/>
    <w:rsid w:val="005F248D"/>
    <w:rsid w:val="005F2D02"/>
    <w:rsid w:val="005F4189"/>
    <w:rsid w:val="00600CA8"/>
    <w:rsid w:val="0060171D"/>
    <w:rsid w:val="00663B28"/>
    <w:rsid w:val="006A1087"/>
    <w:rsid w:val="006D1C36"/>
    <w:rsid w:val="006E3193"/>
    <w:rsid w:val="006E7C29"/>
    <w:rsid w:val="007004DD"/>
    <w:rsid w:val="00701AA5"/>
    <w:rsid w:val="0072627F"/>
    <w:rsid w:val="0074554F"/>
    <w:rsid w:val="00752609"/>
    <w:rsid w:val="007575EB"/>
    <w:rsid w:val="00787950"/>
    <w:rsid w:val="0079321D"/>
    <w:rsid w:val="00793C82"/>
    <w:rsid w:val="007A1F3D"/>
    <w:rsid w:val="007A53D8"/>
    <w:rsid w:val="007A6FE1"/>
    <w:rsid w:val="007B14E7"/>
    <w:rsid w:val="007C166A"/>
    <w:rsid w:val="007C7F70"/>
    <w:rsid w:val="007D286F"/>
    <w:rsid w:val="008309CA"/>
    <w:rsid w:val="0083575F"/>
    <w:rsid w:val="00844F0A"/>
    <w:rsid w:val="00850425"/>
    <w:rsid w:val="00861055"/>
    <w:rsid w:val="00874062"/>
    <w:rsid w:val="0087655E"/>
    <w:rsid w:val="008B4A6A"/>
    <w:rsid w:val="008B6C3C"/>
    <w:rsid w:val="008E412C"/>
    <w:rsid w:val="008E6A0A"/>
    <w:rsid w:val="00904F53"/>
    <w:rsid w:val="009435D5"/>
    <w:rsid w:val="00945127"/>
    <w:rsid w:val="00946952"/>
    <w:rsid w:val="00973F22"/>
    <w:rsid w:val="00984436"/>
    <w:rsid w:val="00985D9B"/>
    <w:rsid w:val="0098795E"/>
    <w:rsid w:val="009B64FA"/>
    <w:rsid w:val="009C59B4"/>
    <w:rsid w:val="009D10FA"/>
    <w:rsid w:val="009D46A2"/>
    <w:rsid w:val="009F2670"/>
    <w:rsid w:val="00A0107B"/>
    <w:rsid w:val="00A25134"/>
    <w:rsid w:val="00A2561A"/>
    <w:rsid w:val="00A443A4"/>
    <w:rsid w:val="00A45FAF"/>
    <w:rsid w:val="00A60E79"/>
    <w:rsid w:val="00A64674"/>
    <w:rsid w:val="00AA0235"/>
    <w:rsid w:val="00AA78B3"/>
    <w:rsid w:val="00AB267F"/>
    <w:rsid w:val="00AB791B"/>
    <w:rsid w:val="00AC1E53"/>
    <w:rsid w:val="00AE0846"/>
    <w:rsid w:val="00B27E0E"/>
    <w:rsid w:val="00B31A8F"/>
    <w:rsid w:val="00B34684"/>
    <w:rsid w:val="00B629B6"/>
    <w:rsid w:val="00BA6296"/>
    <w:rsid w:val="00BC0B59"/>
    <w:rsid w:val="00BD4514"/>
    <w:rsid w:val="00BE0D72"/>
    <w:rsid w:val="00BE3D7F"/>
    <w:rsid w:val="00BF31C4"/>
    <w:rsid w:val="00C120C1"/>
    <w:rsid w:val="00C23D3A"/>
    <w:rsid w:val="00C23E34"/>
    <w:rsid w:val="00C40957"/>
    <w:rsid w:val="00C42A43"/>
    <w:rsid w:val="00C46237"/>
    <w:rsid w:val="00C862A8"/>
    <w:rsid w:val="00C911CB"/>
    <w:rsid w:val="00CA6E4D"/>
    <w:rsid w:val="00CF14E5"/>
    <w:rsid w:val="00CF5ED8"/>
    <w:rsid w:val="00D06BD8"/>
    <w:rsid w:val="00D110CF"/>
    <w:rsid w:val="00D15693"/>
    <w:rsid w:val="00D1585C"/>
    <w:rsid w:val="00D27A10"/>
    <w:rsid w:val="00D43442"/>
    <w:rsid w:val="00D534DA"/>
    <w:rsid w:val="00D674B6"/>
    <w:rsid w:val="00D720FB"/>
    <w:rsid w:val="00D869A7"/>
    <w:rsid w:val="00D873CE"/>
    <w:rsid w:val="00D922A4"/>
    <w:rsid w:val="00D9276D"/>
    <w:rsid w:val="00D97259"/>
    <w:rsid w:val="00DB43A3"/>
    <w:rsid w:val="00DC0FD9"/>
    <w:rsid w:val="00DC2134"/>
    <w:rsid w:val="00DD2FCD"/>
    <w:rsid w:val="00DD4111"/>
    <w:rsid w:val="00DF0F21"/>
    <w:rsid w:val="00DF3371"/>
    <w:rsid w:val="00DF6D29"/>
    <w:rsid w:val="00DF7429"/>
    <w:rsid w:val="00E02B81"/>
    <w:rsid w:val="00E13F67"/>
    <w:rsid w:val="00E23954"/>
    <w:rsid w:val="00E37D62"/>
    <w:rsid w:val="00E45E98"/>
    <w:rsid w:val="00E51AF0"/>
    <w:rsid w:val="00E639B5"/>
    <w:rsid w:val="00E86841"/>
    <w:rsid w:val="00E90678"/>
    <w:rsid w:val="00EB175B"/>
    <w:rsid w:val="00EB30CC"/>
    <w:rsid w:val="00EB5865"/>
    <w:rsid w:val="00EC0118"/>
    <w:rsid w:val="00ED4F96"/>
    <w:rsid w:val="00EE0FFB"/>
    <w:rsid w:val="00EE2DAD"/>
    <w:rsid w:val="00EE7260"/>
    <w:rsid w:val="00EF0228"/>
    <w:rsid w:val="00EF2C97"/>
    <w:rsid w:val="00F04112"/>
    <w:rsid w:val="00F04402"/>
    <w:rsid w:val="00F172F1"/>
    <w:rsid w:val="00F2608A"/>
    <w:rsid w:val="00F33646"/>
    <w:rsid w:val="00F340FF"/>
    <w:rsid w:val="00F4076B"/>
    <w:rsid w:val="00F41097"/>
    <w:rsid w:val="00F41774"/>
    <w:rsid w:val="00F9029A"/>
    <w:rsid w:val="00F93239"/>
    <w:rsid w:val="00F93D15"/>
    <w:rsid w:val="00F9619C"/>
    <w:rsid w:val="00FA1B70"/>
    <w:rsid w:val="00FB3E04"/>
    <w:rsid w:val="00FC467E"/>
    <w:rsid w:val="00FE031F"/>
    <w:rsid w:val="00FF1B31"/>
    <w:rsid w:val="00F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83CBA"/>
  <w15:chartTrackingRefBased/>
  <w15:docId w15:val="{BDB24201-E809-436B-AB60-79586A90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20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F31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31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31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82D81-4DDA-43F1-AD53-A9726527B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2598</Characters>
  <Application>Microsoft Office Word</Application>
  <DocSecurity>0</DocSecurity>
  <Lines>50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Ben Meir</dc:creator>
  <cp:keywords/>
  <dc:description/>
  <cp:lastModifiedBy>Ronen Ben Meir</cp:lastModifiedBy>
  <cp:revision>2</cp:revision>
  <dcterms:created xsi:type="dcterms:W3CDTF">2026-07-29T17:35:00Z</dcterms:created>
  <dcterms:modified xsi:type="dcterms:W3CDTF">2026-07-29T17:35:00Z</dcterms:modified>
</cp:coreProperties>
</file>