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Argentina</w:t>
      </w:r>
    </w:p>
    <w:p>
      <w:r>
        <w:rPr>
          <w:sz w:val="20"/>
          <w:color w:val="4B5563"/>
        </w:rPr>
        <w:t xml:space="preserve">Americas</w:t>
      </w:r>
    </w:p>
    <w:p>
      <w:r>
        <w:rPr>
          <w:sz w:val="20"/>
          <w:color w:val="4B5563"/>
        </w:rPr>
        <w:t xml:space="preserve">Exported 05 Oct 2026, 14:20 | Snapshot 03 Oct 2026, 21:47 GMT-4</w:t>
      </w:r>
    </w:p>
    <w:p>
      <w:r>
        <w:rPr>
          <w:b/>
          <w:sz w:val="28"/>
          <w:color w:val="174A7C"/>
        </w:rPr>
        <w:t xml:space="preserve">Summary</w:t>
      </w:r>
    </w:p>
    <w:p>
      <w:r>
        <w:t xml:space="preserve">Argentina is presented in this country card as part of Americas, with Argentina also associated with an unspecified subregion and the no recorded country group grouping. The filtered data for Argentina highlights 4 projects for Argentina, including 1 active or planned projects for Argentina and 3 completed or closed projects for Argentina.</w:t>
      </w:r>
    </w:p>
    <w:p>
      <w:r>
        <w:t xml:space="preserve">For Argentina, the report includes 18 requests for Argentina, 4 RPTC proposals for Argentina, 1 RPTC activities for Argentina, and 2 travel records for Argentina. Financially, Argentina shows USD 3,013,400 in project budget, $224,059 in proposal planned budget, and $6,688 in consumed RPTC activity budget for Argentina.</w:t>
      </w:r>
    </w:p>
    <w:p>
      <w:r>
        <w:t xml:space="preserve">The main organizational coverage for Argentina points to Division for Inclusive Social Development, Division for Public Institutions and Digital Government, Division for Sustainable Development Goals, FSDO. Activity records for Argentina list 1,299 participants, including 665 women participants, the current quality review for Argentina includes 59 data quality notes. Current highlights for Argentina include a request focus for Argentina: Request #5590 ? 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w:t>
      </w:r>
      <w:r>
        <w:br/>
        <w:t xml:space="preserve"/>
      </w:r>
      <w:r>
        <w:br/>
        <w:t xml:space="preserve">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w:t>
      </w:r>
      <w:r>
        <w:br/>
        <w:t xml:space="preserve"/>
      </w:r>
      <w:r>
        <w:br/>
        <w:t xml:space="preserve">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 an RPTC proposal focus for Argentina: Workshop on the use of interoperability standards for the management of geographical names “Linking Geographical Names, the Disaggregation and Localization of Sustainable Development Goals and the Semantic Web”; an activity focus for Argentina: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4</w:t>
            </w:r>
          </w:p>
        </w:tc>
      </w:tr>
      <w:tr>
        <w:tc>
          <w:tcPr>
            <w:tcW w:w="2400" w:type="dxa"/>
          </w:tcPr>
          <w:p>
            <w:r>
              <w:t xml:space="preserve">Project budget</w:t>
            </w:r>
          </w:p>
        </w:tc>
        <w:tc>
          <w:tcPr>
            <w:tcW w:w="2400" w:type="dxa"/>
          </w:tcPr>
          <w:p>
            <w:r>
              <w:t xml:space="preserve">USD 3,013,400</w:t>
            </w:r>
          </w:p>
        </w:tc>
      </w:tr>
      <w:tr>
        <w:tc>
          <w:tcPr>
            <w:tcW w:w="2400" w:type="dxa"/>
          </w:tcPr>
          <w:p>
            <w:r>
              <w:t xml:space="preserve">Requests</w:t>
            </w:r>
          </w:p>
        </w:tc>
        <w:tc>
          <w:tcPr>
            <w:tcW w:w="2400" w:type="dxa"/>
          </w:tcPr>
          <w:p>
            <w:r>
              <w:t xml:space="preserve">18</w:t>
            </w:r>
          </w:p>
        </w:tc>
      </w:tr>
      <w:tr>
        <w:tc>
          <w:tcPr>
            <w:tcW w:w="2400" w:type="dxa"/>
          </w:tcPr>
          <w:p>
            <w:r>
              <w:t xml:space="preserve">RPTC proposals</w:t>
            </w:r>
          </w:p>
        </w:tc>
        <w:tc>
          <w:tcPr>
            <w:tcW w:w="2400" w:type="dxa"/>
          </w:tcPr>
          <w:p>
            <w:r>
              <w:t xml:space="preserve">4</w:t>
            </w:r>
          </w:p>
        </w:tc>
      </w:tr>
      <w:tr>
        <w:tc>
          <w:tcPr>
            <w:tcW w:w="2400" w:type="dxa"/>
          </w:tcPr>
          <w:p>
            <w:r>
              <w:t xml:space="preserve">Proposal planned budget</w:t>
            </w:r>
          </w:p>
        </w:tc>
        <w:tc>
          <w:tcPr>
            <w:tcW w:w="2400" w:type="dxa"/>
          </w:tcPr>
          <w:p>
            <w:r>
              <w:t xml:space="preserve">$224,059</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$6,688</w:t>
            </w:r>
          </w:p>
        </w:tc>
      </w:tr>
      <w:tr>
        <w:tc>
          <w:tcPr>
            <w:tcW w:w="2400" w:type="dxa"/>
          </w:tcPr>
          <w:p>
            <w:r>
              <w:t xml:space="preserve">Activity participants</w:t>
            </w:r>
          </w:p>
        </w:tc>
        <w:tc>
          <w:tcPr>
            <w:tcW w:w="2400" w:type="dxa"/>
          </w:tcPr>
          <w:p>
            <w:r>
              <w:t xml:space="preserve">1,299</w:t>
            </w:r>
          </w:p>
        </w:tc>
      </w:tr>
      <w:tr>
        <w:tc>
          <w:tcPr>
            <w:tcW w:w="2400" w:type="dxa"/>
          </w:tcPr>
          <w:p>
            <w:r>
              <w:t xml:space="preserve">Women participants</w:t>
            </w:r>
          </w:p>
        </w:tc>
        <w:tc>
          <w:tcPr>
            <w:tcW w:w="2400" w:type="dxa"/>
          </w:tcPr>
          <w:p>
            <w:r>
              <w:t xml:space="preserve">665</w:t>
            </w:r>
          </w:p>
        </w:tc>
      </w:tr>
      <w:tr>
        <w:tc>
          <w:tcPr>
            <w:tcW w:w="2400" w:type="dxa"/>
          </w:tcPr>
          <w:p>
            <w:r>
              <w:t xml:space="preserve">Travel records</w:t>
            </w:r>
          </w:p>
        </w:tc>
        <w:tc>
          <w:tcPr>
            <w:tcW w:w="2400" w:type="dxa"/>
          </w:tcPr>
          <w:p>
            <w:r>
              <w:t xml:space="preserve">2</w:t>
            </w:r>
          </w:p>
        </w:tc>
      </w:tr>
      <w:tr>
        <w:tc>
          <w:tcPr>
            <w:tcW w:w="2400" w:type="dxa"/>
          </w:tcPr>
          <w:p>
            <w:r>
              <w:t xml:space="preserve">Evaluations</w:t>
            </w:r>
          </w:p>
        </w:tc>
        <w:tc>
          <w:tcPr>
            <w:tcW w:w="2400" w:type="dxa"/>
          </w:tcPr>
          <w:p>
            <w:r>
              <w:t xml:space="preserve">6</w:t>
            </w:r>
          </w:p>
        </w:tc>
      </w:tr>
      <w:tr>
        <w:tc>
          <w:tcPr>
            <w:tcW w:w="2400" w:type="dxa"/>
          </w:tcPr>
          <w:p>
            <w:r>
              <w:t xml:space="preserve">Data quality notes</w:t>
            </w:r>
          </w:p>
        </w:tc>
        <w:tc>
          <w:tcPr>
            <w:tcW w:w="2400" w:type="dxa"/>
          </w:tcPr>
          <w:p>
            <w:r>
              <w:t xml:space="preserve">59</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Advancing Gender Empowerment and Innovation for Latin America and Caribbean</w:t>
            </w:r>
          </w:p>
        </w:tc>
        <w:tc>
          <w:tcPr>
            <w:tcW w:w="2400" w:type="dxa"/>
          </w:tcPr>
          <w:p>
            <w:r>
              <w:t xml:space="preserve">2629B</w:t>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Active</w:t>
            </w:r>
          </w:p>
        </w:tc>
        <w:tc>
          <w:tcPr>
            <w:tcW w:w="2400" w:type="dxa"/>
          </w:tcPr>
          <w:p>
            <w:r>
              <w:t xml:space="preserve">01 May 2026</w:t>
            </w:r>
          </w:p>
        </w:tc>
        <w:tc>
          <w:tcPr>
            <w:tcW w:w="2400" w:type="dxa"/>
          </w:tcPr>
          <w:p>
            <w:r>
              <w:t xml:space="preserve">31 Dec 2029</w:t>
            </w:r>
          </w:p>
        </w:tc>
        <w:tc>
          <w:tcPr>
            <w:tcW w:w="2400" w:type="dxa"/>
          </w:tcPr>
          <w:p>
            <w:r>
              <w:t xml:space="preserve">USD 938,800</w:t>
            </w:r>
          </w:p>
        </w:tc>
        <w:tc>
          <w:tcPr>
            <w:tcW w:w="2400" w:type="dxa"/>
          </w:tcPr>
          <w:p>
            <w:r>
              <w:t xml:space="preserve">Argentina, Dominican Republic, Federation of Saint Kitts and Nevis, Guatemala, Honduras, Jamaica</w:t>
            </w:r>
          </w:p>
        </w:tc>
        <w:tc>
          <w:tcPr>
            <w:tcW w:w="2400" w:type="dxa"/>
          </w:tcPr>
          <w:p>
            <w:r>
              <w:t xml:space="preserve">Country standardized: 'Saint Kitts and Nevis' -&gt; 'Federation of Saint Kitts and Nevis'.</w:t>
            </w:r>
          </w:p>
        </w:tc>
      </w:tr>
      <w:tr>
        <w:tc>
          <w:tcPr>
            <w:tcW w:w="2400" w:type="dxa"/>
          </w:tcPr>
          <w:p>
            <w:r>
              <w:t xml:space="preserve">Collection and use of international migration data in the context of the 2030 Agenda</w:t>
            </w:r>
          </w:p>
        </w:tc>
        <w:tc>
          <w:tcPr>
            <w:tcW w:w="2400" w:type="dxa"/>
          </w:tcPr>
          <w:p>
            <w:r>
              <w:t xml:space="preserve">1819E</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2018</w:t>
            </w:r>
          </w:p>
        </w:tc>
        <w:tc>
          <w:tcPr>
            <w:tcW w:w="2400" w:type="dxa"/>
          </w:tcPr>
          <w:p>
            <w:r>
              <w:t xml:space="preserve">31 Dec 2021</w:t>
            </w:r>
          </w:p>
        </w:tc>
        <w:tc>
          <w:tcPr>
            <w:tcW w:w="2400" w:type="dxa"/>
          </w:tcPr>
          <w:p>
            <w:r>
              <w:t xml:space="preserve">USD 800,000</w:t>
            </w:r>
          </w:p>
        </w:tc>
        <w:tc>
          <w:tcPr>
            <w:tcW w:w="2400" w:type="dxa"/>
          </w:tcPr>
          <w:p>
            <w:r>
              <w:t xml:space="preserve">Argentina, Dominican Republic, Georgia, Jordan, Mexico, Thailand</w:t>
            </w:r>
          </w:p>
        </w:tc>
        <w:tc>
          <w:tcPr>
            <w:tcW w:w="2400" w:type="dxa"/>
          </w:tcPr>
          <w:p>
            <w:r>
              <w:t xml:space="preserve"/>
            </w:r>
          </w:p>
        </w:tc>
      </w:tr>
      <w:tr>
        <w:tc>
          <w:tcPr>
            <w:tcW w:w="2400" w:type="dxa"/>
          </w:tcPr>
          <w:p>
            <w:r>
              <w:t xml:space="preserve">Improved local and national government capacities for localizing SDGs progress through Voluntary Local Reviews</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Jun 2022</w:t>
            </w:r>
          </w:p>
        </w:tc>
        <w:tc>
          <w:tcPr>
            <w:tcW w:w="2400" w:type="dxa"/>
          </w:tcPr>
          <w:p>
            <w:r>
              <w:t xml:space="preserve">31 Dec 2024</w:t>
            </w:r>
          </w:p>
        </w:tc>
        <w:tc>
          <w:tcPr>
            <w:tcW w:w="2400" w:type="dxa"/>
          </w:tcPr>
          <w:p>
            <w:r>
              <w:t xml:space="preserve">USD 750,000</w:t>
            </w:r>
          </w:p>
        </w:tc>
        <w:tc>
          <w:tcPr>
            <w:tcW w:w="2400" w:type="dxa"/>
          </w:tcPr>
          <w:p>
            <w:r>
              <w:t xml:space="preserve">Argentina, Bolivia (Plurinational State of), Mozambique, Paraguay, Zimbabwe</w:t>
            </w:r>
          </w:p>
        </w:tc>
        <w:tc>
          <w:tcPr>
            <w:tcW w:w="2400" w:type="dxa"/>
          </w:tcPr>
          <w:p>
            <w:r>
              <w:t xml:space="preserve"/>
            </w:r>
          </w:p>
        </w:tc>
      </w:tr>
      <w:tr>
        <w:tc>
          <w:tcPr>
            <w:tcW w:w="2400" w:type="dxa"/>
          </w:tcPr>
          <w:p>
            <w:r>
              <w:t xml:space="preserve">Policies and programmes for youth with disabilities in Latin America</w:t>
            </w:r>
          </w:p>
        </w:tc>
        <w:tc>
          <w:tcPr>
            <w:tcW w:w="2400" w:type="dxa"/>
          </w:tcPr>
          <w:p>
            <w:r>
              <w:t xml:space="preserve">1819A</w:t>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01 Jan 2018</w:t>
            </w:r>
          </w:p>
        </w:tc>
        <w:tc>
          <w:tcPr>
            <w:tcW w:w="2400" w:type="dxa"/>
          </w:tcPr>
          <w:p>
            <w:r>
              <w:t xml:space="preserve">31 Dec 2021</w:t>
            </w:r>
          </w:p>
        </w:tc>
        <w:tc>
          <w:tcPr>
            <w:tcW w:w="2400" w:type="dxa"/>
          </w:tcPr>
          <w:p>
            <w:r>
              <w:t xml:space="preserve">USD 524,600</w:t>
            </w:r>
          </w:p>
        </w:tc>
        <w:tc>
          <w:tcPr>
            <w:tcW w:w="2400" w:type="dxa"/>
          </w:tcPr>
          <w:p>
            <w:r>
              <w:t xml:space="preserve">Argentina, Ecuador, Peru</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5590</w:t>
            </w:r>
          </w:p>
        </w:tc>
        <w:tc>
          <w:tcPr>
            <w:tcW w:w="2400" w:type="dxa"/>
          </w:tcPr>
          <w:p>
            <w:r>
              <w:t xml:space="preserve">Request #5590 ? 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 / 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 / 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w:t>
            </w:r>
          </w:p>
        </w:tc>
        <w:tc>
          <w:tcPr>
            <w:tcW w:w="2400" w:type="dxa"/>
          </w:tcPr>
          <w:p>
            <w:r>
              <w:t xml:space="preserve">Under consideration</w:t>
            </w:r>
          </w:p>
        </w:tc>
        <w:tc>
          <w:tcPr>
            <w:tcW w:w="2400" w:type="dxa"/>
          </w:tcPr>
          <w:p>
            <w:r>
              <w:t xml:space="preserve">Statistics Division</w:t>
            </w:r>
          </w:p>
        </w:tc>
        <w:tc>
          <w:tcPr>
            <w:tcW w:w="2400" w:type="dxa"/>
          </w:tcPr>
          <w:p>
            <w:r>
              <w:t xml:space="preserve">22 Sept 2026</w:t>
            </w:r>
          </w:p>
        </w:tc>
        <w:tc>
          <w:tcPr>
            <w:tcW w:w="2400" w:type="dxa"/>
          </w:tcPr>
          <w:p>
            <w:r>
              <w:t xml:space="preserve">26 Oct 2026</w:t>
            </w:r>
          </w:p>
        </w:tc>
        <w:tc>
          <w:tcPr>
            <w:tcW w:w="2400" w:type="dxa"/>
          </w:tcPr>
          <w:p>
            <w:r>
              <w:t xml:space="preserve">30 Oct 2026</w:t>
            </w:r>
          </w:p>
        </w:tc>
        <w:tc>
          <w:tcPr>
            <w:tcW w:w="2400" w:type="dxa"/>
          </w:tcPr>
          <w:p>
            <w:r>
              <w:t xml:space="preserve">Iliana Vaca Trigo | iliana.vaca-trigo@un.org</w:t>
            </w:r>
          </w:p>
        </w:tc>
        <w:tc>
          <w:tcPr>
            <w:tcW w:w="2400" w:type="dxa"/>
          </w:tcPr>
          <w:p>
            <w:r>
              <w:t xml:space="preserve">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 / 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 / 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w:t>
            </w:r>
          </w:p>
        </w:tc>
        <w:tc>
          <w:tcPr>
            <w:tcW w:w="2400" w:type="dxa"/>
          </w:tcPr>
          <w:p>
            <w:r>
              <w:t xml:space="preserve">Country standardized: 'Republic of Korea' -&gt; 'Korea'. / Country standardized: 'Timor-Leste' -&gt; 'Democratic Republic of Timor-Leste'.</w:t>
            </w:r>
          </w:p>
        </w:tc>
        <w:tc>
          <w:tcPr>
            <w:tcW w:w="2400" w:type="dxa"/>
          </w:tcPr>
          <w:p>
            <w:r>
              <w:t xml:space="preserve"/>
            </w:r>
          </w:p>
        </w:tc>
      </w:tr>
      <w:tr>
        <w:tc>
          <w:tcPr>
            <w:tcW w:w="2400" w:type="dxa"/>
          </w:tcPr>
          <w:p>
            <w:r>
              <w:t xml:space="preserve">5587</w:t>
            </w:r>
          </w:p>
        </w:tc>
        <w:tc>
          <w:tcPr>
            <w:tcW w:w="2400" w:type="dxa"/>
          </w:tcPr>
          <w:p>
            <w:r>
              <w:t xml:space="preserve">Request #5587 ? The UNGEGN Workshop and Expert Consultation on Exonyms and Cultural Heritage will be convened from 14 to 16 October 2026 at the Alpen Adria Hotel &amp; Spa in Hermagor, Austria.  / The workshop will strengthen the capacity of national authorities and practitioners to apply the prevailing guidance on exonyms and to share practical approaches to documenting, standardizing, and preserving geographical names as cultural heritage. It is expected to result in stronger institutional arrangements, more consistent and culturally sensitive multilingual maps and gazetteers, and improved safeguarding of Indigenous, minority and other locally used names. Specific capacity development activities include: / â€¢	Examining how unique identifiers resolve multiple toponyms and enable integration of geospatial, statistical, and administrative data. / â€¢	Sharing geospatial frameworks that enable the management of local-level data and standardized geographical names and demonstrating how their management is essential for SDG implementation and reporting. / â€¢	Sharing good practices and facilitating peer-to-peer exchange that explores the roles of NGNAs, NGIAs, and NSOs in coordinated toponymic governance and metadata management. / â€¢	Identifying how to assess the maturity of structured geographical names data so that countries can understand how standardized, structured, and linked toponymic data enables automated reasoning, data integration, and advanced analytics across national SDG datasets. / â€¢	Enhanced understanding of how linked data approachesâ€”through persistent identifiers, interoperable gazetteers, and community-informed governanceâ€”support the integration, visibility, and authoritative use of Indigenous and minority geographical names within national and global data ecosystems. / The workshop further emphasizes the importance of coordinated, bottom-up and top-down toponymic metadata management led by National Geospatial Names Authorities (NGNAs), National Geospatial Information Agencies (NGIAs), and National Statistical Offices (NSOs). It will build national technical capacity by supporting participants to examine good practices in linked open data infrastructures; develop machine-readable, AI-ready national gazetteers using ZENITHâ€”a tool developed by the UNGEGN Secretariat and the UN Statistics Divisionâ€”and prepare data for integration with the World Geographical Names Database. / The workshop is to be hosted by the UNGEGN Dutch and German Speaking Division, the Austrian Academy of Science, the Austrian Board on Geographical Names, the ICOS Working Group on Toponymy, the Joint ICA/IGU Commission on Toponymy, the Municipality of Hermagor-Pressegger See, and the UNGEGN Secretariat, United Nations Statistics Division, Department of Economic and Social Affairs. It will incorporate the 28th Meeting of the Working Group on Exonyms, and the first in-person meeting of the revitalized Working Group on Geographical Names as Cultural Heritage, alongside the 2026 GeoNames Symposium on 12-13 October 2026 at the same venue.</w:t>
            </w:r>
          </w:p>
        </w:tc>
        <w:tc>
          <w:tcPr>
            <w:tcW w:w="2400" w:type="dxa"/>
          </w:tcPr>
          <w:p>
            <w:r>
              <w:t xml:space="preserve">Under consideration</w:t>
            </w:r>
          </w:p>
        </w:tc>
        <w:tc>
          <w:tcPr>
            <w:tcW w:w="2400" w:type="dxa"/>
          </w:tcPr>
          <w:p>
            <w:r>
              <w:t xml:space="preserve">Statistics Division</w:t>
            </w:r>
          </w:p>
        </w:tc>
        <w:tc>
          <w:tcPr>
            <w:tcW w:w="2400" w:type="dxa"/>
          </w:tcPr>
          <w:p>
            <w:r>
              <w:t xml:space="preserve">14 Sept 2026</w:t>
            </w:r>
          </w:p>
        </w:tc>
        <w:tc>
          <w:tcPr>
            <w:tcW w:w="2400" w:type="dxa"/>
          </w:tcPr>
          <w:p>
            <w:r>
              <w:t xml:space="preserve">12 Oct 2026</w:t>
            </w:r>
          </w:p>
        </w:tc>
        <w:tc>
          <w:tcPr>
            <w:tcW w:w="2400" w:type="dxa"/>
          </w:tcPr>
          <w:p>
            <w:r>
              <w:t xml:space="preserve">16 Oct 2026</w:t>
            </w:r>
          </w:p>
        </w:tc>
        <w:tc>
          <w:tcPr>
            <w:tcW w:w="2400" w:type="dxa"/>
          </w:tcPr>
          <w:p>
            <w:r>
              <w:t xml:space="preserve">Marlise Kouna | kounamarlyse11@gmail.com</w:t>
            </w:r>
          </w:p>
        </w:tc>
        <w:tc>
          <w:tcPr>
            <w:tcW w:w="2400" w:type="dxa"/>
          </w:tcPr>
          <w:p>
            <w:r>
              <w:t xml:space="preserve">The UNGEGN Workshop and Expert Consultation on Exonyms and Cultural Heritage will be convened from 14 to 16 October 2026 at the Alpen Adria Hotel &amp; Spa in Hermagor, Austria.  / The workshop will strengthen the capacity of national authorities and practitioners to apply the prevailing guidance on exonyms and to share practical approaches to documenting, standardizing, and preserving geographical names as cultural heritage. It is expected to result in stronger institutional arrangements, more consistent and culturally sensitive multilingual maps and gazetteers, and improved safeguarding of Indigenous, minority and other locally used names. Specific capacity development activities include: / â€¢	Examining how unique identifiers resolve multiple toponyms and enable integration of geospatial, statistical, and administrative data. / â€¢	Sharing geospatial frameworks that enable the management of local-level data and standardized geographical names and demonstrating how their management is essential for SDG implementation and reporting. / â€¢	Sharing good practices and facilitating peer-to-peer exchange that explores the roles of NGNAs, NGIAs, and NSOs in coordinated toponymic governance and metadata management. / â€¢	Identifying how to assess the maturity of structured geographical names data so that countries can understand how standardized, structured, and linked toponymic data enables automated reasoning, data integration, and advanced analytics across national SDG datasets. / â€¢	Enhanced understanding of how linked data approachesâ€”through persistent identifiers, interoperable gazetteers, and community-informed governanceâ€”support the integration, visibility, and authoritative use of Indigenous and minority geographical names within national and global data ecosystems. / The workshop further emphasizes the importance of coordinated, bottom-up and top-down toponymic metadata management led by National Geospatial Names Authorities (NGNAs), National Geospatial Information Agencies (NGIAs), and National Statistical Offices (NSOs). It will build national technical capacity by supporting participants to examine good practices in linked open data infrastructures; develop machine-readable, AI-ready national gazetteers using ZENITHâ€”a tool developed by the UNGEGN Secretariat and the UN Statistics Divisionâ€”and prepare data for integration with the World Geographical Names Database. / The workshop is to be hosted by the UNGEGN Dutch and German Speaking Division, the Austrian Academy of Science, the Austrian Board on Geographical Names, the ICOS Working Group on Toponymy, the Joint ICA/IGU Commission on Toponymy, the Municipality of Hermagor-Pressegger See, and the UNGEGN Secretariat, United Nations Statistics Division, Department of Economic and Social Affairs. It will incorporate the 28th Meeting of the Working Group on Exonyms, and the first in-person meeting of the revitalized Working Group on Geographical Names as Cultural Heritage, alongside the 2026 GeoNames Symposium on 12-13 October 2026 at the same venue.</w:t>
            </w:r>
          </w:p>
        </w:tc>
        <w:tc>
          <w:tcPr>
            <w:tcW w:w="2400" w:type="dxa"/>
          </w:tcPr>
          <w:p>
            <w:r>
              <w:t xml:space="preserve"/>
            </w:r>
          </w:p>
        </w:tc>
        <w:tc>
          <w:tcPr>
            <w:tcW w:w="2400" w:type="dxa"/>
          </w:tcPr>
          <w:p>
            <w:r>
              <w:t xml:space="preserve"/>
            </w:r>
          </w:p>
        </w:tc>
      </w:tr>
      <w:tr>
        <w:tc>
          <w:tcPr>
            <w:tcW w:w="2400" w:type="dxa"/>
          </w:tcPr>
          <w:p>
            <w:r>
              <w:t xml:space="preserve">5575</w:t>
            </w:r>
          </w:p>
        </w:tc>
        <w:tc>
          <w:tcPr>
            <w:tcW w:w="2400" w:type="dxa"/>
          </w:tcPr>
          <w:p>
            <w:r>
              <w:t xml:space="preserve">Request #5575 ? 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Under consideration</w:t>
            </w:r>
          </w:p>
        </w:tc>
        <w:tc>
          <w:tcPr>
            <w:tcW w:w="2400" w:type="dxa"/>
          </w:tcPr>
          <w:p>
            <w:r>
              <w:t xml:space="preserve">Statistics Division</w:t>
            </w:r>
          </w:p>
        </w:tc>
        <w:tc>
          <w:tcPr>
            <w:tcW w:w="2400" w:type="dxa"/>
          </w:tcPr>
          <w:p>
            <w:r>
              <w:t xml:space="preserve">04 Sept 2026</w:t>
            </w:r>
          </w:p>
        </w:tc>
        <w:tc>
          <w:tcPr>
            <w:tcW w:w="2400" w:type="dxa"/>
          </w:tcPr>
          <w:p>
            <w:r>
              <w:t xml:space="preserve">08 Nov 2026</w:t>
            </w:r>
          </w:p>
        </w:tc>
        <w:tc>
          <w:tcPr>
            <w:tcW w:w="2400" w:type="dxa"/>
          </w:tcPr>
          <w:p>
            <w:r>
              <w:t xml:space="preserve">12 Sept 2026</w:t>
            </w:r>
          </w:p>
        </w:tc>
        <w:tc>
          <w:tcPr>
            <w:tcW w:w="2400" w:type="dxa"/>
          </w:tcPr>
          <w:p>
            <w:r>
              <w:t xml:space="preserve">Abdulla Gozalov | gozalov@un.org</w:t>
            </w:r>
          </w:p>
        </w:tc>
        <w:tc>
          <w:tcPr>
            <w:tcW w:w="2400" w:type="dxa"/>
          </w:tcPr>
          <w:p>
            <w:r>
              <w:t xml:space="preserve">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
            </w:r>
          </w:p>
        </w:tc>
        <w:tc>
          <w:tcPr>
            <w:tcW w:w="2400" w:type="dxa"/>
          </w:tcPr>
          <w:p>
            <w:r>
              <w:t xml:space="preserve">requests.xlsx record '5575': Dates End date 2026-09-12 is before start date 2026-11-08. / requests.xlsx record '5575': End date 2026-09-12 is before start date 2026-11-08.</w:t>
            </w:r>
          </w:p>
        </w:tc>
      </w:tr>
      <w:tr>
        <w:tc>
          <w:tcPr>
            <w:tcW w:w="2400" w:type="dxa"/>
          </w:tcPr>
          <w:p>
            <w:r>
              <w:t xml:space="preserve">5567</w:t>
            </w:r>
          </w:p>
        </w:tc>
        <w:tc>
          <w:tcPr>
            <w:tcW w:w="2400" w:type="dxa"/>
          </w:tcPr>
          <w:p>
            <w:r>
              <w:t xml:space="preserve">Request #5567 ? 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c>
          <w:tcPr>
            <w:tcW w:w="2400" w:type="dxa"/>
          </w:tcPr>
          <w:p>
            <w:r>
              <w:t xml:space="preserve">Under consideration</w:t>
            </w:r>
          </w:p>
        </w:tc>
        <w:tc>
          <w:tcPr>
            <w:tcW w:w="2400" w:type="dxa"/>
          </w:tcPr>
          <w:p>
            <w:r>
              <w:t xml:space="preserve">Statistics Division</w:t>
            </w:r>
          </w:p>
        </w:tc>
        <w:tc>
          <w:tcPr>
            <w:tcW w:w="2400" w:type="dxa"/>
          </w:tcPr>
          <w:p>
            <w:r>
              <w:t xml:space="preserve">29 Oct 2025</w:t>
            </w:r>
          </w:p>
        </w:tc>
        <w:tc>
          <w:tcPr>
            <w:tcW w:w="2400" w:type="dxa"/>
          </w:tcPr>
          <w:p>
            <w:r>
              <w:t xml:space="preserve">01 Jan 2026</w:t>
            </w:r>
          </w:p>
        </w:tc>
        <w:tc>
          <w:tcPr>
            <w:tcW w:w="2400" w:type="dxa"/>
          </w:tcPr>
          <w:p>
            <w:r>
              <w:t xml:space="preserve">31 Dec 2026</w:t>
            </w:r>
          </w:p>
        </w:tc>
        <w:tc>
          <w:tcPr>
            <w:tcW w:w="2400" w:type="dxa"/>
          </w:tcPr>
          <w:p>
            <w:r>
              <w:t xml:space="preserve">Kimberly Bordon | kbordon@aladi.org</w:t>
            </w:r>
          </w:p>
        </w:tc>
        <w:tc>
          <w:tcPr>
            <w:tcW w:w="2400" w:type="dxa"/>
          </w:tcPr>
          <w:p>
            <w:r>
              <w:t xml:space="preserve">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c>
          <w:tcPr>
            <w:tcW w:w="2400" w:type="dxa"/>
          </w:tcPr>
          <w:p>
            <w:r>
              <w:t xml:space="preserve"/>
            </w:r>
          </w:p>
        </w:tc>
        <w:tc>
          <w:tcPr>
            <w:tcW w:w="2400" w:type="dxa"/>
          </w:tcPr>
          <w:p>
            <w:r>
              <w:t xml:space="preserve"/>
            </w:r>
          </w:p>
        </w:tc>
      </w:tr>
      <w:tr>
        <w:tc>
          <w:tcPr>
            <w:tcW w:w="2400" w:type="dxa"/>
          </w:tcPr>
          <w:p>
            <w:r>
              <w:t xml:space="preserve">5523</w:t>
            </w:r>
          </w:p>
        </w:tc>
        <w:tc>
          <w:tcPr>
            <w:tcW w:w="2400" w:type="dxa"/>
          </w:tcPr>
          <w:p>
            <w:r>
              <w:t xml:space="preserve">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Under consideration</w:t>
            </w:r>
          </w:p>
        </w:tc>
        <w:tc>
          <w:tcPr>
            <w:tcW w:w="2400" w:type="dxa"/>
          </w:tcPr>
          <w:p>
            <w:r>
              <w:t xml:space="preserve">Statistics Division</w:t>
            </w:r>
          </w:p>
        </w:tc>
        <w:tc>
          <w:tcPr>
            <w:tcW w:w="2400" w:type="dxa"/>
          </w:tcPr>
          <w:p>
            <w:r>
              <w:t xml:space="preserve">08 Jun 2026</w:t>
            </w:r>
          </w:p>
        </w:tc>
        <w:tc>
          <w:tcPr>
            <w:tcW w:w="2400" w:type="dxa"/>
          </w:tcPr>
          <w:p>
            <w:r>
              <w:t xml:space="preserve">01 Jul 2026</w:t>
            </w:r>
          </w:p>
        </w:tc>
        <w:tc>
          <w:tcPr>
            <w:tcW w:w="2400" w:type="dxa"/>
          </w:tcPr>
          <w:p>
            <w:r>
              <w:t xml:space="preserve">31 Dec 2026</w:t>
            </w:r>
          </w:p>
        </w:tc>
        <w:tc>
          <w:tcPr>
            <w:tcW w:w="2400" w:type="dxa"/>
          </w:tcPr>
          <w:p>
            <w:r>
              <w:t xml:space="preserve">Iliana Vaca Trigo | iliana.vaca-trigo@un.org</w:t>
            </w:r>
          </w:p>
        </w:tc>
        <w:tc>
          <w:tcPr>
            <w:tcW w:w="2400" w:type="dxa"/>
          </w:tcPr>
          <w:p>
            <w:r>
              <w:t xml:space="preserve">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Country standardized: 'Republic of Korea' -&gt; 'Korea'.</w:t>
            </w:r>
          </w:p>
        </w:tc>
        <w:tc>
          <w:tcPr>
            <w:tcW w:w="2400" w:type="dxa"/>
          </w:tcPr>
          <w:p>
            <w:r>
              <w:t xml:space="preserve"/>
            </w:r>
          </w:p>
        </w:tc>
      </w:tr>
      <w:tr>
        <w:tc>
          <w:tcPr>
            <w:tcW w:w="2400" w:type="dxa"/>
          </w:tcPr>
          <w:p>
            <w:r>
              <w:t xml:space="preserve">5520</w:t>
            </w:r>
          </w:p>
        </w:tc>
        <w:tc>
          <w:tcPr>
            <w:tcW w:w="2400" w:type="dxa"/>
          </w:tcPr>
          <w:p>
            <w:r>
              <w:t xml:space="preserve">Request #5520 ? Effective national statistical systems depend not only on institutional and technological modernization but also on human resource modernization â€” the skills, competencies and learning culture that staff in national statistical offices (NSOs) and the wider national statistical system (NSS) need to make effective use of new methods and data sources. Statistical training is therefore central to building these capacities. However, in many low- and middle-income countries there is no systematic institutional plan to ensure the continuous capacity development of staff, and training is often ad hoc and not aligned with organizational priorities or staff-identified needs. / To respond to these needs and improve the coordination of statistical training, the Global Network of Institutions for Statistical Training (GIST) was established, with the UN Statistics Division (UNSD) serving as secretariat. Under GIST, the Statistical Training Needs Assessment Tool (STAT) was developed to help NSOs assess skills gaps across staff functions and within the wider NSS, and to use the results to prioritize learning needs, develop competency development strategies and prepare institutional training plans. STAT was pilot-tested in six countries â€” with Colombia and Ghana participating in more thorough pilots â€” and launched at a side event during the 55th session of the United Nations Statistical Commission in 2024. / During and after the launch, a number of countries approached GIST for support to implement STAT and to help them develop a training strategy and institutional training plans. During the GIST side event at the United Nations Statistical Commission in 2025, Argentina, Djibouti and Mexico expressed their interest in implementing STAT to the GIST secretariat. In addition, the State of Palestine, Viet Nam, the Dominican Republic, and the Maldives submitted written requests for support to implement STAT in their countries. / Experience from these countries has shown that, in its current form, STAT is difficult to adapt and scale: the surveys and analytical workflow rely on hard-coded, English-language elements, which makes translation slow and error-prone and limits uptake in non-English-speaking countries. Viet Nam, in particular, noted that having the STAT surveys available only in English and Spanish is a barrier to implementation, and expressed the need for the surveys in its own language. In response, GIST has decided to develop an enhanced, language-agnostic version of STAT that supports the translation of the STAT surveys and dashboards into any language, so that interested countries can implement the tool in their own languages.</w:t>
            </w:r>
          </w:p>
        </w:tc>
        <w:tc>
          <w:tcPr>
            <w:tcW w:w="2400" w:type="dxa"/>
          </w:tcPr>
          <w:p>
            <w:r>
              <w:t xml:space="preserve">Under consideration</w:t>
            </w:r>
          </w:p>
        </w:tc>
        <w:tc>
          <w:tcPr>
            <w:tcW w:w="2400" w:type="dxa"/>
          </w:tcPr>
          <w:p>
            <w:r>
              <w:t xml:space="preserve">Statistics Division</w:t>
            </w:r>
          </w:p>
        </w:tc>
        <w:tc>
          <w:tcPr>
            <w:tcW w:w="2400" w:type="dxa"/>
          </w:tcPr>
          <w:p>
            <w:r>
              <w:t xml:space="preserve">02 Sept 2025</w:t>
            </w:r>
          </w:p>
        </w:tc>
        <w:tc>
          <w:tcPr>
            <w:tcW w:w="2400" w:type="dxa"/>
          </w:tcPr>
          <w:p>
            <w:r>
              <w:t xml:space="preserve">01 Jan 2026</w:t>
            </w:r>
          </w:p>
        </w:tc>
        <w:tc>
          <w:tcPr>
            <w:tcW w:w="2400" w:type="dxa"/>
          </w:tcPr>
          <w:p>
            <w:r>
              <w:t xml:space="preserve">31 Dec 2027</w:t>
            </w:r>
          </w:p>
        </w:tc>
        <w:tc>
          <w:tcPr>
            <w:tcW w:w="2400" w:type="dxa"/>
          </w:tcPr>
          <w:p>
            <w:r>
              <w:t xml:space="preserve">Alexander Loschky | Loschky@un.org</w:t>
            </w:r>
          </w:p>
        </w:tc>
        <w:tc>
          <w:tcPr>
            <w:tcW w:w="2400" w:type="dxa"/>
          </w:tcPr>
          <w:p>
            <w:r>
              <w:t xml:space="preserve">Effective national statistical systems depend not only on institutional and technological modernization but also on human resource modernization â€” the skills, competencies and learning culture that staff in national statistical offices (NSOs) and the wider national statistical system (NSS) need to make effective use of new methods and data sources. Statistical training is therefore central to building these capacities. However, in many low- and middle-income countries there is no systematic institutional plan to ensure the continuous capacity development of staff, and training is often ad hoc and not aligned with organizational priorities or staff-identified needs. / To respond to these needs and improve the coordination of statistical training, the Global Network of Institutions for Statistical Training (GIST) was established, with the UN Statistics Division (UNSD) serving as secretariat. Under GIST, the Statistical Training Needs Assessment Tool (STAT) was developed to help NSOs assess skills gaps across staff functions and within the wider NSS, and to use the results to prioritize learning needs, develop competency development strategies and prepare institutional training plans. STAT was pilot-tested in six countries â€” with Colombia and Ghana participating in more thorough pilots â€” and launched at a side event during the 55th session of the United Nations Statistical Commission in 2024. / During and after the launch, a number of countries approached GIST for support to implement STAT and to help them develop a training strategy and institutional training plans. During the GIST side event at the United Nations Statistical Commission in 2025, Argentina, Djibouti and Mexico expressed their interest in implementing STAT to the GIST secretariat. In addition, the State of Palestine, Viet Nam, the Dominican Republic, and the Maldives submitted written requests for support to implement STAT in their countries. / Experience from these countries has shown that, in its current form, STAT is difficult to adapt and scale: the surveys and analytical workflow rely on hard-coded, English-language elements, which makes translation slow and error-prone and limits uptake in non-English-speaking countries. Viet Nam, in particular, noted that having the STAT surveys available only in English and Spanish is a barrier to implementation, and expressed the need for the surveys in its own language. In response, GIST has decided to develop an enhanced, language-agnostic version of STAT that supports the translation of the STAT surveys and dashboards into any language, so that interested countries can implement the tool in their own languages.</w:t>
            </w:r>
          </w:p>
        </w:tc>
        <w:tc>
          <w:tcPr>
            <w:tcW w:w="2400" w:type="dxa"/>
          </w:tcPr>
          <w:p>
            <w:r>
              <w:t xml:space="preserve"/>
            </w:r>
          </w:p>
        </w:tc>
        <w:tc>
          <w:tcPr>
            <w:tcW w:w="2400" w:type="dxa"/>
          </w:tcPr>
          <w:p>
            <w:r>
              <w:t xml:space="preserve"/>
            </w:r>
          </w:p>
        </w:tc>
      </w:tr>
      <w:tr>
        <w:tc>
          <w:tcPr>
            <w:tcW w:w="2400" w:type="dxa"/>
          </w:tcPr>
          <w:p>
            <w:r>
              <w:t xml:space="preserve">5411</w:t>
            </w:r>
          </w:p>
        </w:tc>
        <w:tc>
          <w:tcPr>
            <w:tcW w:w="2400" w:type="dxa"/>
          </w:tcPr>
          <w:p>
            <w:r>
              <w:t xml:space="preserve">Request #5411 ? Through the work of the Global Network of Institutions for Statistical Training (GIST) it has been re-confirmed that there is a continued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step is to help countries develop a needs assessment tool to understand the training needs of their staff as well as key development area needs from a managerial perspective. In relation to this, there is also a need to provide guidance on how to prioritize among gaps identified.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 / GIST has developed the Statistical Training needs Assessment Tool (STAT) which NSOs can use to identify, prioritize, and meet training needs among staff and within the NSS. STAT is still a relatively new tool with a need to continued testing and improving and thus learning from countries who decide to implement STAT. The STAT tool code needs now an update to make it language-agnostic and allow for easier translation of the tool and surveys into any language. This will significantly increase the accessibility and usability of STAT for countries worldwide, particularly in non-English speaking regions. / The enhanced STAT tool then needs to be piloted in countries that have expressed their interest in implementing STAT. At this moment Argentina, Djibouti, State of Palestine, and Viet Nam have already expressed that interest, with possibly additional countries joining. / The results from the pilots, along with additional inputs from GIST members, should then be reflected in a revision of the chapter on Human Resources Management and Training of the Handbook on Management and Organisation of National Statistical Systems. / See also previous reference number: 4234</w:t>
            </w:r>
          </w:p>
        </w:tc>
        <w:tc>
          <w:tcPr>
            <w:tcW w:w="2400" w:type="dxa"/>
          </w:tcPr>
          <w:p>
            <w:r>
              <w:t xml:space="preserve">Under consideration</w:t>
            </w:r>
          </w:p>
        </w:tc>
        <w:tc>
          <w:tcPr>
            <w:tcW w:w="2400" w:type="dxa"/>
          </w:tcPr>
          <w:p>
            <w:r>
              <w:t xml:space="preserve">Statistics Division</w:t>
            </w:r>
          </w:p>
        </w:tc>
        <w:tc>
          <w:tcPr>
            <w:tcW w:w="2400" w:type="dxa"/>
          </w:tcPr>
          <w:p>
            <w:r>
              <w:t xml:space="preserve">22 Dec 2025</w:t>
            </w:r>
          </w:p>
        </w:tc>
        <w:tc>
          <w:tcPr>
            <w:tcW w:w="2400" w:type="dxa"/>
          </w:tcPr>
          <w:p>
            <w:r>
              <w:t xml:space="preserve">01 Jan 2026</w:t>
            </w:r>
          </w:p>
        </w:tc>
        <w:tc>
          <w:tcPr>
            <w:tcW w:w="2400" w:type="dxa"/>
          </w:tcPr>
          <w:p>
            <w:r>
              <w:t xml:space="preserve">31 Dec 2027</w:t>
            </w:r>
          </w:p>
        </w:tc>
        <w:tc>
          <w:tcPr>
            <w:tcW w:w="2400" w:type="dxa"/>
          </w:tcPr>
          <w:p>
            <w:r>
              <w:t xml:space="preserve">Human Resource Management Focal Points in several NSOs - in representation Alexandra Simpson | ajsimpsons@dane.gov.co</w:t>
            </w:r>
          </w:p>
        </w:tc>
        <w:tc>
          <w:tcPr>
            <w:tcW w:w="2400" w:type="dxa"/>
          </w:tcPr>
          <w:p>
            <w:r>
              <w:t xml:space="preserve">Through the work of the Global Network of Institutions for Statistical Training (GIST) it has been re-confirmed that there is a continued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step is to help countries develop a needs assessment tool to understand the training needs of their staff as well as key development area needs from a managerial perspective. In relation to this, there is also a need to provide guidance on how to prioritize among gaps identified.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 / GIST has developed the Statistical Training needs Assessment Tool (STAT) which NSOs can use to identify, prioritize, and meet training needs among staff and within the NSS. STAT is still a relatively new tool with a need to continued testing and improving and thus learning from countries who decide to implement STAT. The STAT tool code needs now an update to make it language-agnostic and allow for easier translation of the tool and surveys into any language. This will significantly increase the accessibility and usability of STAT for countries worldwide, particularly in non-English speaking regions. / The enhanced STAT tool then needs to be piloted in countries that have expressed their interest in implementing STAT. At this moment Argentina, Djibouti, State of Palestine, and Viet Nam have already expressed that interest, with possibly additional countries joining. / The results from the pilots, along with additional inputs from GIST members, should then be reflected in a revision of the chapter on Human Resources Management and Training of the Handbook on Management and Organisation of National Statistical Systems. / See also previous reference number: 4234</w:t>
            </w:r>
          </w:p>
        </w:tc>
        <w:tc>
          <w:tcPr>
            <w:tcW w:w="2400" w:type="dxa"/>
          </w:tcPr>
          <w:p>
            <w:r>
              <w:t xml:space="preserve"/>
            </w:r>
          </w:p>
        </w:tc>
        <w:tc>
          <w:tcPr>
            <w:tcW w:w="2400" w:type="dxa"/>
          </w:tcPr>
          <w:p>
            <w:r>
              <w:t xml:space="preserve"/>
            </w:r>
          </w:p>
        </w:tc>
      </w:tr>
      <w:tr>
        <w:tc>
          <w:tcPr>
            <w:tcW w:w="2400" w:type="dxa"/>
          </w:tcPr>
          <w:p>
            <w:r>
              <w:t xml:space="preserve">5373</w:t>
            </w:r>
          </w:p>
        </w:tc>
        <w:tc>
          <w:tcPr>
            <w:tcW w:w="2400" w:type="dxa"/>
          </w:tcPr>
          <w:p>
            <w:r>
              <w:t xml:space="preserve">Request #5373 ? There is a need to develop an e-learning course on integrating business and trade statistics, implementing the Handbook on Integrating Business and Trade Statistics and recommendations in the International Merchandise Trade Statistics Manual 2026 and Manual on Statistics of International Trade in Services 2026. The e-learning will enhance capacity for linking business and trade statistics in developing countries. It will strengthen national statistical systems, including the improvement of quality, relevance, and comparability of the statistics. It will focus on the conceptual and methodological framework for linking trade statistics and business statistics, including methods that potentially can assist with the integration across many domains, such as the relationship between globalization and digitalization, informal trade, environmental sustainability, well-being, and inclusivity. It will also present methods and best practices for linking business and trade statistics to social statistics for producing disaggregations by gender and based on characteristics such as ethnicity, socio-economic factors, age, and conditions of disability.</w:t>
            </w:r>
          </w:p>
        </w:tc>
        <w:tc>
          <w:tcPr>
            <w:tcW w:w="2400" w:type="dxa"/>
          </w:tcPr>
          <w:p>
            <w:r>
              <w:t xml:space="preserve">Under consideration</w:t>
            </w:r>
          </w:p>
        </w:tc>
        <w:tc>
          <w:tcPr>
            <w:tcW w:w="2400" w:type="dxa"/>
          </w:tcPr>
          <w:p>
            <w:r>
              <w:t xml:space="preserve">Statistics Division</w:t>
            </w:r>
          </w:p>
        </w:tc>
        <w:tc>
          <w:tcPr>
            <w:tcW w:w="2400" w:type="dxa"/>
          </w:tcPr>
          <w:p>
            <w:r>
              <w:t xml:space="preserve">29 Oct 2025</w:t>
            </w:r>
          </w:p>
        </w:tc>
        <w:tc>
          <w:tcPr>
            <w:tcW w:w="2400" w:type="dxa"/>
          </w:tcPr>
          <w:p>
            <w:r>
              <w:t xml:space="preserve">01 Jan 2026</w:t>
            </w:r>
          </w:p>
        </w:tc>
        <w:tc>
          <w:tcPr>
            <w:tcW w:w="2400" w:type="dxa"/>
          </w:tcPr>
          <w:p>
            <w:r>
              <w:t xml:space="preserve">31 May 2026</w:t>
            </w:r>
          </w:p>
        </w:tc>
        <w:tc>
          <w:tcPr>
            <w:tcW w:w="2400" w:type="dxa"/>
          </w:tcPr>
          <w:p>
            <w:r>
              <w:t xml:space="preserve">Kimberly Bordon | kbordon@aladi.org</w:t>
            </w:r>
          </w:p>
        </w:tc>
        <w:tc>
          <w:tcPr>
            <w:tcW w:w="2400" w:type="dxa"/>
          </w:tcPr>
          <w:p>
            <w:r>
              <w:t xml:space="preserve">There is a need to develop an e-learning course on integrating business and trade statistics, implementing the Handbook on Integrating Business and Trade Statistics and recommendations in the International Merchandise Trade Statistics Manual 2026 and Manual on Statistics of International Trade in Services 2026. The e-learning will enhance capacity for linking business and trade statistics in developing countries. It will strengthen national statistical systems, including the improvement of quality, relevance, and comparability of the statistics. It will focus on the conceptual and methodological framework for linking trade statistics and business statistics, including methods that potentially can assist with the integration across many domains, such as the relationship between globalization and digitalization, informal trade, environmental sustainability, well-being, and inclusivity. It will also present methods and best practices for linking business and trade statistics to social statistics for producing disaggregations by gender and based on characteristics such as ethnicity, socio-economic factors, age, and conditions of disability.</w:t>
            </w:r>
          </w:p>
        </w:tc>
        <w:tc>
          <w:tcPr>
            <w:tcW w:w="2400" w:type="dxa"/>
          </w:tcPr>
          <w:p>
            <w:r>
              <w:t xml:space="preserve"/>
            </w:r>
          </w:p>
        </w:tc>
        <w:tc>
          <w:tcPr>
            <w:tcW w:w="2400" w:type="dxa"/>
          </w:tcPr>
          <w:p>
            <w:r>
              <w:t xml:space="preserve"/>
            </w:r>
          </w:p>
        </w:tc>
      </w:tr>
      <w:tr>
        <w:tc>
          <w:tcPr>
            <w:tcW w:w="2400" w:type="dxa"/>
          </w:tcPr>
          <w:p>
            <w:r>
              <w:t xml:space="preserve">5246</w:t>
            </w:r>
          </w:p>
        </w:tc>
        <w:tc>
          <w:tcPr>
            <w:tcW w:w="2400" w:type="dxa"/>
          </w:tcPr>
          <w:p>
            <w:r>
              <w:t xml:space="preserve">Request #5246 ? In accordance with Economic and Social Council resolution E/RES/2018/2 of 10 November 2017 and decision 2023/338 of 25 July 2023, the United Nations Group of Experts on Geographical Names convened its 2025 session from 28 April to the 2 May 2025 at the United Nations Headquarters in New York, in conference room three. There were 9 meetings of the 2025 session and each meeting will be three hours: 10:00 a.m - 1:00 p.m. and 3:00 - 6:00 p.m.. In all, 197 participants representing 56 Member States across UNGEGNâ€™s geographical and linguistic divisions and observers participated. Specifically, decision 2025/8 Geographical names data management (f): Urged Member States to mobilize resources to support the development of capacity across all Member States and welcomed the possibility of convening a workshop on Linking Geographical Names, the Disaggregation and Localization of Sustainable Development Goals, and the Semantic Web from 11 to 15 August 2025 at the headquarters of the Economic Commission for Latin America and the Caribbean in Santiago.</w:t>
            </w:r>
          </w:p>
        </w:tc>
        <w:tc>
          <w:tcPr>
            <w:tcW w:w="2400" w:type="dxa"/>
          </w:tcPr>
          <w:p>
            <w:r>
              <w:t xml:space="preserve">Under consideration</w:t>
            </w:r>
          </w:p>
        </w:tc>
        <w:tc>
          <w:tcPr>
            <w:tcW w:w="2400" w:type="dxa"/>
          </w:tcPr>
          <w:p>
            <w:r>
              <w:t xml:space="preserve">Statistics Division</w:t>
            </w:r>
          </w:p>
        </w:tc>
        <w:tc>
          <w:tcPr>
            <w:tcW w:w="2400" w:type="dxa"/>
          </w:tcPr>
          <w:p>
            <w:r>
              <w:t xml:space="preserve">02 May 2025</w:t>
            </w:r>
          </w:p>
        </w:tc>
        <w:tc>
          <w:tcPr>
            <w:tcW w:w="2400" w:type="dxa"/>
          </w:tcPr>
          <w:p>
            <w:r>
              <w:t xml:space="preserve">11 Aug 2025</w:t>
            </w:r>
          </w:p>
        </w:tc>
        <w:tc>
          <w:tcPr>
            <w:tcW w:w="2400" w:type="dxa"/>
          </w:tcPr>
          <w:p>
            <w:r>
              <w:t xml:space="preserve">14 Aug 2025</w:t>
            </w:r>
          </w:p>
        </w:tc>
        <w:tc>
          <w:tcPr>
            <w:tcW w:w="2400" w:type="dxa"/>
          </w:tcPr>
          <w:p>
            <w:r>
              <w:t xml:space="preserve">Mark Iliffe | mark.iliffe@un.org</w:t>
            </w:r>
          </w:p>
        </w:tc>
        <w:tc>
          <w:tcPr>
            <w:tcW w:w="2400" w:type="dxa"/>
          </w:tcPr>
          <w:p>
            <w:r>
              <w:t xml:space="preserve">In accordance with Economic and Social Council resolution E/RES/2018/2 of 10 November 2017 and decision 2023/338 of 25 July 2023, the United Nations Group of Experts on Geographical Names convened its 2025 session from 28 April to the 2 May 2025 at the United Nations Headquarters in New York, in conference room three. There were 9 meetings of the 2025 session and each meeting will be three hours: 10:00 a.m - 1:00 p.m. and 3:00 - 6:00 p.m.. In all, 197 participants representing 56 Member States across UNGEGNâ€™s geographical and linguistic divisions and observers participated. Specifically, decision 2025/8 Geographical names data management (f): Urged Member States to mobilize resources to support the development of capacity across all Member States and welcomed the possibility of convening a workshop on Linking Geographical Names, the Disaggregation and Localization of Sustainable Development Goals, and the Semantic Web from 11 to 15 August 2025 at the headquarters of the Economic Commission for Latin America and the Caribbean in Santiago.</w:t>
            </w:r>
          </w:p>
        </w:tc>
        <w:tc>
          <w:tcPr>
            <w:tcW w:w="2400" w:type="dxa"/>
          </w:tcPr>
          <w:p>
            <w:r>
              <w:t xml:space="preserve"/>
            </w:r>
          </w:p>
        </w:tc>
        <w:tc>
          <w:tcPr>
            <w:tcW w:w="2400" w:type="dxa"/>
          </w:tcPr>
          <w:p>
            <w:r>
              <w:t xml:space="preserve"/>
            </w:r>
          </w:p>
        </w:tc>
      </w:tr>
      <w:tr>
        <w:tc>
          <w:tcPr>
            <w:tcW w:w="2400" w:type="dxa"/>
          </w:tcPr>
          <w:p>
            <w:r>
              <w:t xml:space="preserve">5129</w:t>
            </w:r>
          </w:p>
        </w:tc>
        <w:tc>
          <w:tcPr>
            <w:tcW w:w="2400" w:type="dxa"/>
          </w:tcPr>
          <w:p>
            <w:r>
              <w:t xml:space="preserve">Request #5129 ? 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Completed</w:t>
            </w:r>
          </w:p>
        </w:tc>
        <w:tc>
          <w:tcPr>
            <w:tcW w:w="2400" w:type="dxa"/>
          </w:tcPr>
          <w:p>
            <w:r>
              <w:t xml:space="preserve">Population Division, Statistics Division</w:t>
            </w:r>
          </w:p>
        </w:tc>
        <w:tc>
          <w:tcPr>
            <w:tcW w:w="2400" w:type="dxa"/>
          </w:tcPr>
          <w:p>
            <w:r>
              <w:t xml:space="preserve">28 Mar 2025</w:t>
            </w:r>
          </w:p>
        </w:tc>
        <w:tc>
          <w:tcPr>
            <w:tcW w:w="2400" w:type="dxa"/>
          </w:tcPr>
          <w:p>
            <w:r>
              <w:t xml:space="preserve">16 Jun 2025</w:t>
            </w:r>
          </w:p>
        </w:tc>
        <w:tc>
          <w:tcPr>
            <w:tcW w:w="2400" w:type="dxa"/>
          </w:tcPr>
          <w:p>
            <w:r>
              <w:t xml:space="preserve">20 Jun 2025</w:t>
            </w:r>
          </w:p>
        </w:tc>
        <w:tc>
          <w:tcPr>
            <w:tcW w:w="2400" w:type="dxa"/>
          </w:tcPr>
          <w:p>
            <w:r>
              <w:t xml:space="preserve">Maria Isabel Cobos | cobos@un.org</w:t>
            </w:r>
          </w:p>
        </w:tc>
        <w:tc>
          <w:tcPr>
            <w:tcW w:w="2400" w:type="dxa"/>
          </w:tcPr>
          <w:p>
            <w:r>
              <w:t xml:space="preserve">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Country standardized: 'Turkey' -&gt; 'Türkiye'.</w:t>
            </w:r>
          </w:p>
        </w:tc>
        <w:tc>
          <w:tcPr>
            <w:tcW w:w="2400" w:type="dxa"/>
          </w:tcPr>
          <w:p>
            <w:r>
              <w:t xml:space="preserve"/>
            </w:r>
          </w:p>
        </w:tc>
      </w:tr>
      <w:tr>
        <w:tc>
          <w:tcPr>
            <w:tcW w:w="2400" w:type="dxa"/>
          </w:tcPr>
          <w:p>
            <w:r>
              <w:t xml:space="preserve">5136</w:t>
            </w:r>
          </w:p>
        </w:tc>
        <w:tc>
          <w:tcPr>
            <w:tcW w:w="2400" w:type="dxa"/>
          </w:tcPr>
          <w:p>
            <w:r>
              <w:t xml:space="preserve">Request #5136 ? 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c>
          <w:tcPr>
            <w:tcW w:w="2400" w:type="dxa"/>
          </w:tcPr>
          <w:p>
            <w:r>
              <w:t xml:space="preserve">Under consideration</w:t>
            </w:r>
          </w:p>
        </w:tc>
        <w:tc>
          <w:tcPr>
            <w:tcW w:w="2400" w:type="dxa"/>
          </w:tcPr>
          <w:p>
            <w:r>
              <w:t xml:space="preserve">Statistics Division</w:t>
            </w:r>
          </w:p>
        </w:tc>
        <w:tc>
          <w:tcPr>
            <w:tcW w:w="2400" w:type="dxa"/>
          </w:tcPr>
          <w:p>
            <w:r>
              <w:t xml:space="preserve">03 Mar 2025</w:t>
            </w:r>
          </w:p>
        </w:tc>
        <w:tc>
          <w:tcPr>
            <w:tcW w:w="2400" w:type="dxa"/>
          </w:tcPr>
          <w:p>
            <w:r>
              <w:t xml:space="preserve">17 Mar 2025</w:t>
            </w:r>
          </w:p>
        </w:tc>
        <w:tc>
          <w:tcPr>
            <w:tcW w:w="2400" w:type="dxa"/>
          </w:tcPr>
          <w:p>
            <w:r>
              <w:t xml:space="preserve">27 May 2025</w:t>
            </w:r>
          </w:p>
        </w:tc>
        <w:tc>
          <w:tcPr>
            <w:tcW w:w="2400" w:type="dxa"/>
          </w:tcPr>
          <w:p>
            <w:r>
              <w:t xml:space="preserve">Pedro Farinas | farinas@un.org</w:t>
            </w:r>
          </w:p>
        </w:tc>
        <w:tc>
          <w:tcPr>
            <w:tcW w:w="2400" w:type="dxa"/>
          </w:tcPr>
          <w:p>
            <w:r>
              <w:t xml:space="preserve">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c>
          <w:tcPr>
            <w:tcW w:w="2400" w:type="dxa"/>
          </w:tcPr>
          <w:p>
            <w:r>
              <w:t xml:space="preserve"/>
            </w:r>
          </w:p>
        </w:tc>
        <w:tc>
          <w:tcPr>
            <w:tcW w:w="2400" w:type="dxa"/>
          </w:tcPr>
          <w:p>
            <w:r>
              <w:t xml:space="preserve"/>
            </w:r>
          </w:p>
        </w:tc>
      </w:tr>
      <w:tr>
        <w:tc>
          <w:tcPr>
            <w:tcW w:w="2400" w:type="dxa"/>
          </w:tcPr>
          <w:p>
            <w:r>
              <w:t xml:space="preserve">5083</w:t>
            </w:r>
          </w:p>
        </w:tc>
        <w:tc>
          <w:tcPr>
            <w:tcW w:w="2400" w:type="dxa"/>
          </w:tcPr>
          <w:p>
            <w:r>
              <w:t xml:space="preserve">Request #5083 ? Camilo AndrÃ©s MÃ©ndez C, Head of International Affairs at Colombia's National Statistical Office (DANE), requests support from the United Nations Statistics Division to help upgrade the data science skills and capabilities in DANE and other National Statistical Offices in Latin America. The request is made in light of rapidly advancing trends in data science and emerging technologies.</w:t>
            </w:r>
          </w:p>
        </w:tc>
        <w:tc>
          <w:tcPr>
            <w:tcW w:w="2400" w:type="dxa"/>
          </w:tcPr>
          <w:p>
            <w:r>
              <w:t xml:space="preserve">Completed</w:t>
            </w:r>
          </w:p>
        </w:tc>
        <w:tc>
          <w:tcPr>
            <w:tcW w:w="2400" w:type="dxa"/>
          </w:tcPr>
          <w:p>
            <w:r>
              <w:t xml:space="preserve">Statistics Division</w:t>
            </w:r>
          </w:p>
        </w:tc>
        <w:tc>
          <w:tcPr>
            <w:tcW w:w="2400" w:type="dxa"/>
          </w:tcPr>
          <w:p>
            <w:r>
              <w:t xml:space="preserve">20 Sept 2024</w:t>
            </w:r>
          </w:p>
        </w:tc>
        <w:tc>
          <w:tcPr>
            <w:tcW w:w="2400" w:type="dxa"/>
          </w:tcPr>
          <w:p>
            <w:r>
              <w:t xml:space="preserve">21 Sept 2024</w:t>
            </w:r>
          </w:p>
        </w:tc>
        <w:tc>
          <w:tcPr>
            <w:tcW w:w="2400" w:type="dxa"/>
          </w:tcPr>
          <w:p>
            <w:r>
              <w:t xml:space="preserve">31 Jan 2025</w:t>
            </w:r>
          </w:p>
        </w:tc>
        <w:tc>
          <w:tcPr>
            <w:tcW w:w="2400" w:type="dxa"/>
          </w:tcPr>
          <w:p>
            <w:r>
              <w:t xml:space="preserve">Camilo Andres Mendez Coronado | camendezc@dane.gov.co</w:t>
            </w:r>
          </w:p>
        </w:tc>
        <w:tc>
          <w:tcPr>
            <w:tcW w:w="2400" w:type="dxa"/>
          </w:tcPr>
          <w:p>
            <w:r>
              <w:t xml:space="preserve">Camilo AndrÃ©s MÃ©ndez C, Head of International Affairs at Colombia's National Statistical Office (DANE), requests support from the United Nations Statistics Division to help upgrade the data science skills and capabilities in DANE and other National Statistical Offices in Latin America. The request is made in light of rapidly advancing trends in data science and emerging technologies.</w:t>
            </w:r>
          </w:p>
        </w:tc>
        <w:tc>
          <w:tcPr>
            <w:tcW w:w="2400" w:type="dxa"/>
          </w:tcPr>
          <w:p>
            <w:r>
              <w:t xml:space="preserve"/>
            </w:r>
          </w:p>
        </w:tc>
        <w:tc>
          <w:tcPr>
            <w:tcW w:w="2400" w:type="dxa"/>
          </w:tcPr>
          <w:p>
            <w:r>
              <w:t xml:space="preserve"/>
            </w:r>
          </w:p>
        </w:tc>
      </w:tr>
      <w:tr>
        <w:tc>
          <w:tcPr>
            <w:tcW w:w="2400" w:type="dxa"/>
          </w:tcPr>
          <w:p>
            <w:r>
              <w:t xml:space="preserve">3932</w:t>
            </w:r>
          </w:p>
        </w:tc>
        <w:tc>
          <w:tcPr>
            <w:tcW w:w="2400" w:type="dxa"/>
          </w:tcPr>
          <w:p>
            <w:r>
              <w:t xml:space="preserve">Request #3932 ? To help address the implementation lags, the current System of National Accounts (SNA) update work programme includes an explicit component dealing with the early implementation of some of the new recommendations. This component will enable countries to start building capacity and implementing the new standard before its publication and thus giving a head start to the SNA compliance. Moreover, the experience gained during these exercises will benefit later implementers and capacity development providers. This undertaking encompasses a diversity of country, topics and receiving and supporting capacity development institutions so a well-developed project management toolkit is required for monitoring the efficacy of each engagement, harmonizing the inputs and outputs, and recording (and subsequent reporting) of the most relevant project phases. The request is for an experienced consultant that can support the development of an overarching project management toolkit.</w:t>
            </w:r>
          </w:p>
        </w:tc>
        <w:tc>
          <w:tcPr>
            <w:tcW w:w="2400" w:type="dxa"/>
          </w:tcPr>
          <w:p>
            <w:r>
              <w:t xml:space="preserve">Completed</w:t>
            </w:r>
          </w:p>
        </w:tc>
        <w:tc>
          <w:tcPr>
            <w:tcW w:w="2400" w:type="dxa"/>
          </w:tcPr>
          <w:p>
            <w:r>
              <w:t xml:space="preserve">Statistics Division</w:t>
            </w:r>
          </w:p>
        </w:tc>
        <w:tc>
          <w:tcPr>
            <w:tcW w:w="2400" w:type="dxa"/>
          </w:tcPr>
          <w:p>
            <w:r>
              <w:t xml:space="preserve">24 Aug 2021</w:t>
            </w:r>
          </w:p>
        </w:tc>
        <w:tc>
          <w:tcPr>
            <w:tcW w:w="2400" w:type="dxa"/>
          </w:tcPr>
          <w:p>
            <w:r>
              <w:t xml:space="preserve">09 Jan 2021</w:t>
            </w:r>
          </w:p>
        </w:tc>
        <w:tc>
          <w:tcPr>
            <w:tcW w:w="2400" w:type="dxa"/>
          </w:tcPr>
          <w:p>
            <w:r>
              <w:t xml:space="preserve">14 Dec 2023</w:t>
            </w:r>
          </w:p>
        </w:tc>
        <w:tc>
          <w:tcPr>
            <w:tcW w:w="2400" w:type="dxa"/>
          </w:tcPr>
          <w:p>
            <w:r>
              <w:t xml:space="preserve">Michael Stanger | michael.stanger@un.org</w:t>
            </w:r>
          </w:p>
        </w:tc>
        <w:tc>
          <w:tcPr>
            <w:tcW w:w="2400" w:type="dxa"/>
          </w:tcPr>
          <w:p>
            <w:r>
              <w:t xml:space="preserve">To help address the implementation lags, the current System of National Accounts (SNA) update work programme includes an explicit component dealing with the early implementation of some of the new recommendations. This component will enable countries to start building capacity and implementing the new standard before its publication and thus giving a head start to the SNA compliance. Moreover, the experience gained during these exercises will benefit later implementers and capacity development providers. This undertaking encompasses a diversity of country, topics and receiving and supporting capacity development institutions so a well-developed project management toolkit is required for monitoring the efficacy of each engagement, harmonizing the inputs and outputs, and recording (and subsequent reporting) of the most relevant project phases. The request is for an experienced consultant that can support the development of an overarching project management toolkit.</w:t>
            </w:r>
          </w:p>
        </w:tc>
        <w:tc>
          <w:tcPr>
            <w:tcW w:w="2400" w:type="dxa"/>
          </w:tcPr>
          <w:p>
            <w:r>
              <w:t xml:space="preserve"/>
            </w:r>
          </w:p>
        </w:tc>
        <w:tc>
          <w:tcPr>
            <w:tcW w:w="2400" w:type="dxa"/>
          </w:tcPr>
          <w:p>
            <w:r>
              <w:t xml:space="preserve"/>
            </w:r>
          </w:p>
        </w:tc>
      </w:tr>
      <w:tr>
        <w:tc>
          <w:tcPr>
            <w:tcW w:w="2400" w:type="dxa"/>
          </w:tcPr>
          <w:p>
            <w:r>
              <w:t xml:space="preserve">4715</w:t>
            </w:r>
          </w:p>
        </w:tc>
        <w:tc>
          <w:tcPr>
            <w:tcW w:w="2400" w:type="dxa"/>
          </w:tcPr>
          <w:p>
            <w:r>
              <w:t xml:space="preserve">Request #4715 ? To support a trinational development of VLRs in the Gran Chaco Region (Argentina, Bolivia, Paraguay)</w:t>
            </w:r>
          </w:p>
        </w:tc>
        <w:tc>
          <w:tcPr>
            <w:tcW w:w="2400" w:type="dxa"/>
          </w:tcPr>
          <w:p>
            <w:r>
              <w:t xml:space="preserve">Completed</w:t>
            </w:r>
          </w:p>
        </w:tc>
        <w:tc>
          <w:tcPr>
            <w:tcW w:w="2400" w:type="dxa"/>
          </w:tcPr>
          <w:p>
            <w:r>
              <w:t xml:space="preserve">Division for Sustainable Development Goals</w:t>
            </w:r>
          </w:p>
        </w:tc>
        <w:tc>
          <w:tcPr>
            <w:tcW w:w="2400" w:type="dxa"/>
          </w:tcPr>
          <w:p>
            <w:r>
              <w:t xml:space="preserve">03 Oct 2022</w:t>
            </w:r>
          </w:p>
        </w:tc>
        <w:tc>
          <w:tcPr>
            <w:tcW w:w="2400" w:type="dxa"/>
          </w:tcPr>
          <w:p>
            <w:r>
              <w:t xml:space="preserve">01 Jan 2023</w:t>
            </w:r>
          </w:p>
        </w:tc>
        <w:tc>
          <w:tcPr>
            <w:tcW w:w="2400" w:type="dxa"/>
          </w:tcPr>
          <w:p>
            <w:r>
              <w:t xml:space="preserve">31 Dec 2023</w:t>
            </w:r>
          </w:p>
        </w:tc>
        <w:tc>
          <w:tcPr>
            <w:tcW w:w="2400" w:type="dxa"/>
          </w:tcPr>
          <w:p>
            <w:r>
              <w:t xml:space="preserve">Marisol Merquel | mmerquel@politicassociales.gob.ar</w:t>
            </w:r>
          </w:p>
        </w:tc>
        <w:tc>
          <w:tcPr>
            <w:tcW w:w="2400" w:type="dxa"/>
          </w:tcPr>
          <w:p>
            <w:r>
              <w:t xml:space="preserve">To support a trinational development of VLRs in the Gran Chaco Region (Argentina, Bolivia, Paraguay)</w:t>
            </w:r>
          </w:p>
        </w:tc>
        <w:tc>
          <w:tcPr>
            <w:tcW w:w="2400" w:type="dxa"/>
          </w:tcPr>
          <w:p>
            <w:r>
              <w:t xml:space="preserve"/>
            </w:r>
          </w:p>
        </w:tc>
        <w:tc>
          <w:tcPr>
            <w:tcW w:w="2400" w:type="dxa"/>
          </w:tcPr>
          <w:p>
            <w:r>
              <w:t xml:space="preserve"/>
            </w:r>
          </w:p>
        </w:tc>
      </w:tr>
      <w:tr>
        <w:tc>
          <w:tcPr>
            <w:tcW w:w="2400" w:type="dxa"/>
          </w:tcPr>
          <w:p>
            <w:r>
              <w:t xml:space="preserve">4257</w:t>
            </w:r>
          </w:p>
        </w:tc>
        <w:tc>
          <w:tcPr>
            <w:tcW w:w="2400" w:type="dxa"/>
          </w:tcPr>
          <w:p>
            <w:r>
              <w:t xml:space="preserve">Request #4257 ? DPIDG was invited to present on the capacity development activities regarding the Curriculum on Governance, its mainstreaming for the public sector and best practices. The presentation will be a capacity development one with Q&amp;A and interaction with senior cabinet ministers and/or representatives from CLAD member countries.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15 Aug 2022</w:t>
            </w:r>
          </w:p>
        </w:tc>
        <w:tc>
          <w:tcPr>
            <w:tcW w:w="2400" w:type="dxa"/>
          </w:tcPr>
          <w:p>
            <w:r>
              <w:t xml:space="preserve">05 Sept 2022</w:t>
            </w:r>
          </w:p>
        </w:tc>
        <w:tc>
          <w:tcPr>
            <w:tcW w:w="2400" w:type="dxa"/>
          </w:tcPr>
          <w:p>
            <w:r>
              <w:t xml:space="preserve">06 Sept 2022</w:t>
            </w:r>
          </w:p>
        </w:tc>
        <w:tc>
          <w:tcPr>
            <w:tcW w:w="2400" w:type="dxa"/>
          </w:tcPr>
          <w:p>
            <w:r>
              <w:t xml:space="preserve">Dr. Francisco Velazquez | secretario.general@clad.org</w:t>
            </w:r>
          </w:p>
        </w:tc>
        <w:tc>
          <w:tcPr>
            <w:tcW w:w="2400" w:type="dxa"/>
          </w:tcPr>
          <w:p>
            <w:r>
              <w:t xml:space="preserve">DPIDG was invited to present on the capacity development activities regarding the Curriculum on Governance, its mainstreaming for the public sector and best practices. The presentation will be a capacity development one with Q&amp;A and interaction with senior cabinet ministers and/or representatives from CLAD member countries.</w:t>
            </w:r>
          </w:p>
        </w:tc>
        <w:tc>
          <w:tcPr>
            <w:tcW w:w="2400" w:type="dxa"/>
          </w:tcPr>
          <w:p>
            <w:r>
              <w:t xml:space="preserve"/>
            </w:r>
          </w:p>
        </w:tc>
        <w:tc>
          <w:tcPr>
            <w:tcW w:w="2400" w:type="dxa"/>
          </w:tcPr>
          <w:p>
            <w:r>
              <w:t xml:space="preserve"/>
            </w:r>
          </w:p>
        </w:tc>
      </w:tr>
      <w:tr>
        <w:tc>
          <w:tcPr>
            <w:tcW w:w="2400" w:type="dxa"/>
          </w:tcPr>
          <w:p>
            <w:r>
              <w:t xml:space="preserve">3989</w:t>
            </w:r>
          </w:p>
        </w:tc>
        <w:tc>
          <w:tcPr>
            <w:tcW w:w="2400" w:type="dxa"/>
          </w:tcPr>
          <w:p>
            <w:r>
              <w:t xml:space="preserve">Request #3989 ? The COVID-19 pandemic presented a major challenge for household survey programmes. Traditional face-to-face survey operations have become difficult to implement in many countries due to social distancing requirements and other restriction measures as a result of the pandemic. According to a survey conducted by the United Nations Statistics Division (UNSD) and the World Bank in May 2020, 96â€¯percent of national statistical offices (NSOs) partially or fully stopped face-to-face data collection. / In response to the government requirement on social distancing, many national statistical offices (NSOs) quickly turned to telephone or web interviews as an alternative data collection mode to maintain continuity in the production of key indicators and monitor the health and socio-economic impact of the pandemic.    / In the fourth round of UNSD and the World Bank survey of national statistical offices in May-June 2021, a marked increase was observed in the number of countries declaring a full resumption of face-to-face data collection activities. Globally 44 percent of the surveyed countries resumed full face-to-face data collection, compared to just four percent a year earlier. / While the adaptation of national household survey operations indicated the resilience of NSOs, such adaptation also raised challenges for countries on survey data quality. Change of survey data collection mode from face-to-face to telephone or web may impact on sample coverage, response rate and measurement error. Shortening survey questionnaires and changing question flows will also impact on the quality and comparability of survey data.   / In close consultation with the Task Force on COVID-19, established by the Inter-Secretariat Working Group on Household Surveys (ISWGHS), UNSD is hiring a consultant to develop a Guidance Note on Assessing and Minimizing the COVID Impact on Survey Quality.</w:t>
            </w:r>
          </w:p>
        </w:tc>
        <w:tc>
          <w:tcPr>
            <w:tcW w:w="2400" w:type="dxa"/>
          </w:tcPr>
          <w:p>
            <w:r>
              <w:t xml:space="preserve">Completed</w:t>
            </w:r>
          </w:p>
        </w:tc>
        <w:tc>
          <w:tcPr>
            <w:tcW w:w="2400" w:type="dxa"/>
          </w:tcPr>
          <w:p>
            <w:r>
              <w:t xml:space="preserve">Statistics Division</w:t>
            </w:r>
          </w:p>
        </w:tc>
        <w:tc>
          <w:tcPr>
            <w:tcW w:w="2400" w:type="dxa"/>
          </w:tcPr>
          <w:p>
            <w:r>
              <w:t xml:space="preserve">28 Sept 2021</w:t>
            </w:r>
          </w:p>
        </w:tc>
        <w:tc>
          <w:tcPr>
            <w:tcW w:w="2400" w:type="dxa"/>
          </w:tcPr>
          <w:p>
            <w:r>
              <w:t xml:space="preserve">01 Mar 2021</w:t>
            </w:r>
          </w:p>
        </w:tc>
        <w:tc>
          <w:tcPr>
            <w:tcW w:w="2400" w:type="dxa"/>
          </w:tcPr>
          <w:p>
            <w:r>
              <w:t xml:space="preserve">28 Feb 2022</w:t>
            </w:r>
          </w:p>
        </w:tc>
        <w:tc>
          <w:tcPr>
            <w:tcW w:w="2400" w:type="dxa"/>
          </w:tcPr>
          <w:p>
            <w:r>
              <w:t xml:space="preserve">Haoyi Chen | chen9@un.org</w:t>
            </w:r>
          </w:p>
        </w:tc>
        <w:tc>
          <w:tcPr>
            <w:tcW w:w="2400" w:type="dxa"/>
          </w:tcPr>
          <w:p>
            <w:r>
              <w:t xml:space="preserve">The COVID-19 pandemic presented a major challenge for household survey programmes. Traditional face-to-face survey operations have become difficult to implement in many countries due to social distancing requirements and other restriction measures as a result of the pandemic. According to a survey conducted by the United Nations Statistics Division (UNSD) and the World Bank in May 2020, 96â€¯percent of national statistical offices (NSOs) partially or fully stopped face-to-face data collection. / In response to the government requirement on social distancing, many national statistical offices (NSOs) quickly turned to telephone or web interviews as an alternative data collection mode to maintain continuity in the production of key indicators and monitor the health and socio-economic impact of the pandemic.    / In the fourth round of UNSD and the World Bank survey of national statistical offices in May-June 2021, a marked increase was observed in the number of countries declaring a full resumption of face-to-face data collection activities. Globally 44 percent of the surveyed countries resumed full face-to-face data collection, compared to just four percent a year earlier. / While the adaptation of national household survey operations indicated the resilience of NSOs, such adaptation also raised challenges for countries on survey data quality. Change of survey data collection mode from face-to-face to telephone or web may impact on sample coverage, response rate and measurement error. Shortening survey questionnaires and changing question flows will also impact on the quality and comparability of survey data.   / In close consultation with the Task Force on COVID-19, established by the Inter-Secretariat Working Group on Household Surveys (ISWGHS), UNSD is hiring a consultant to develop a Guidance Note on Assessing and Minimizing the COVID Impact on Survey Quality.</w:t>
            </w:r>
          </w:p>
        </w:tc>
        <w:tc>
          <w:tcPr>
            <w:tcW w:w="2400" w:type="dxa"/>
          </w:tcPr>
          <w:p>
            <w:r>
              <w:t xml:space="preserve"/>
            </w:r>
          </w:p>
        </w:tc>
        <w:tc>
          <w:tcPr>
            <w:tcW w:w="2400" w:type="dxa"/>
          </w:tcPr>
          <w:p>
            <w:r>
              <w:t xml:space="preserve"/>
            </w:r>
          </w:p>
        </w:tc>
      </w:tr>
      <w:tr>
        <w:tc>
          <w:tcPr>
            <w:tcW w:w="2400" w:type="dxa"/>
          </w:tcPr>
          <w:p>
            <w:r>
              <w:t xml:space="preserve">3441</w:t>
            </w:r>
          </w:p>
        </w:tc>
        <w:tc>
          <w:tcPr>
            <w:tcW w:w="2400" w:type="dxa"/>
          </w:tcPr>
          <w:p>
            <w:r>
              <w:t xml:space="preserve">Request #3441 ? Joint DESA-ECLAC initiative.   Responding to a request from UN ECLAC on behalf of member states for training in forecasting the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19 Oct 2019</w:t>
            </w:r>
          </w:p>
        </w:tc>
        <w:tc>
          <w:tcPr>
            <w:tcW w:w="2400" w:type="dxa"/>
          </w:tcPr>
          <w:p>
            <w:r>
              <w:t xml:space="preserve">25 Nov 2019</w:t>
            </w:r>
          </w:p>
        </w:tc>
        <w:tc>
          <w:tcPr>
            <w:tcW w:w="2400" w:type="dxa"/>
          </w:tcPr>
          <w:p>
            <w:r>
              <w:t xml:space="preserve">27 Nov 2019</w:t>
            </w:r>
          </w:p>
        </w:tc>
        <w:tc>
          <w:tcPr>
            <w:tcW w:w="2400" w:type="dxa"/>
          </w:tcPr>
          <w:p>
            <w:r>
              <w:t xml:space="preserve">Mr. Paulo Saad | paulo.saad@un.org</w:t>
            </w:r>
          </w:p>
        </w:tc>
        <w:tc>
          <w:tcPr>
            <w:tcW w:w="2400" w:type="dxa"/>
          </w:tcPr>
          <w:p>
            <w:r>
              <w:t xml:space="preserve">Joint DESA-ECLAC initiative.   Responding to a request from UN ECLAC on behalf of member states for training in forecasting the economic and fiscal impacts of population ageing.</w:t>
            </w:r>
          </w:p>
        </w:tc>
        <w:tc>
          <w:tcPr>
            <w:tcW w:w="2400" w:type="dxa"/>
          </w:tcPr>
          <w:p>
            <w:r>
              <w:t xml:space="preserve"/>
            </w:r>
          </w:p>
        </w:tc>
        <w:tc>
          <w:tcPr>
            <w:tcW w:w="2400" w:type="dxa"/>
          </w:tcPr>
          <w:p>
            <w:r>
              <w:t xml:space="preserve"/>
            </w:r>
          </w:p>
        </w:tc>
      </w:tr>
      <w:tr>
        <w:tc>
          <w:tcPr>
            <w:tcW w:w="2400" w:type="dxa"/>
          </w:tcPr>
          <w:p>
            <w:r>
              <w:t xml:space="preserve">3435</w:t>
            </w:r>
          </w:p>
        </w:tc>
        <w:tc>
          <w:tcPr>
            <w:tcW w:w="2400" w:type="dxa"/>
          </w:tcPr>
          <w:p>
            <w:r>
              <w:t xml:space="preserve">Request #3435 ? Joint DESA-ECLAC initiative in support of the Madrid International Plan of Action on Ageing (MIPAA). Held training workshop on forecasting the national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23 May 2019</w:t>
            </w:r>
          </w:p>
        </w:tc>
        <w:tc>
          <w:tcPr>
            <w:tcW w:w="2400" w:type="dxa"/>
          </w:tcPr>
          <w:p>
            <w:r>
              <w:t xml:space="preserve">09 Sept 2019</w:t>
            </w:r>
          </w:p>
        </w:tc>
        <w:tc>
          <w:tcPr>
            <w:tcW w:w="2400" w:type="dxa"/>
          </w:tcPr>
          <w:p>
            <w:r>
              <w:t xml:space="preserve">11 Sept 2019</w:t>
            </w:r>
          </w:p>
        </w:tc>
        <w:tc>
          <w:tcPr>
            <w:tcW w:w="2400" w:type="dxa"/>
          </w:tcPr>
          <w:p>
            <w:r>
              <w:t xml:space="preserve">Mr. Paulo Saad | paulo.saad@un.org</w:t>
            </w:r>
          </w:p>
        </w:tc>
        <w:tc>
          <w:tcPr>
            <w:tcW w:w="2400" w:type="dxa"/>
          </w:tcPr>
          <w:p>
            <w:r>
              <w:t xml:space="preserve">Joint DESA-ECLAC initiative in support of the Madrid International Plan of Action on Ageing (MIPAA). Held training workshop on forecasting the national economic and fiscal impacts of population ageing.</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SB-001376.99.99.19</w:t>
            </w:r>
          </w:p>
        </w:tc>
        <w:tc>
          <w:tcPr>
            <w:tcW w:w="2400" w:type="dxa"/>
          </w:tcPr>
          <w:p>
            <w:r>
              <w:t xml:space="preserve">Workshop on the use of interoperability standards for the management of geographical names “Linking Geographical Names, the Disaggregation and Localization of Sustainable Development Goals and the Semantic Web”</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$43,886</w:t>
            </w:r>
          </w:p>
        </w:tc>
        <w:tc>
          <w:tcPr>
            <w:tcW w:w="2400" w:type="dxa"/>
          </w:tcPr>
          <w:p>
            <w:r>
              <w:t xml:space="preserve">Argentina, Barbados, Brazil, Colombia, Costa Rica, Dominican Republic, Ecuador, Jamaica, Mexico, Panama, Uruguay</w:t>
            </w:r>
          </w:p>
        </w:tc>
        <w:tc>
          <w:tcPr>
            <w:tcW w:w="2400" w:type="dxa"/>
          </w:tcPr>
          <w:p>
            <w:r>
              <w:t xml:space="preserve"/>
            </w:r>
          </w:p>
        </w:tc>
        <w:tc>
          <w:tcPr>
            <w:tcW w:w="2400" w:type="dxa"/>
          </w:tcPr>
          <w:p>
            <w:r>
              <w:t xml:space="preserve">Proposal past due</w:t>
            </w:r>
          </w:p>
        </w:tc>
      </w:tr>
      <w:tr>
        <w:tc>
          <w:tcPr>
            <w:tcW w:w="2400" w:type="dxa"/>
          </w:tcPr>
          <w:p>
            <w:r>
              <w:t xml:space="preserve">SB-001376.99.99.33</w:t>
            </w:r>
          </w:p>
        </w:tc>
        <w:tc>
          <w:tcPr>
            <w:tcW w:w="2400" w:type="dxa"/>
          </w:tcPr>
          <w:p>
            <w:r>
              <w:t xml:space="preserve">World Data Forum and Side Event on Artificial Intelligence</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$98,403</w:t>
            </w:r>
          </w:p>
        </w:tc>
        <w:tc>
          <w:tcPr>
            <w:tcW w:w="2400" w:type="dxa"/>
          </w:tcPr>
          <w:p>
            <w:r>
              <w:t xml:space="preserve">Argentina, Burundi, Dominican Republic, Ecuador, Egypt, Estonia, Gambia, India, Indonesia, Kenya, Malawi, Mexico, Morocco, Namibia, Rwanda, South Africa</w:t>
            </w:r>
          </w:p>
        </w:tc>
        <w:tc>
          <w:tcPr>
            <w:tcW w:w="2400" w:type="dxa"/>
          </w:tcPr>
          <w:p>
            <w:r>
              <w:t xml:space="preserve">Region standardized: 'global' -&gt; 'Global'.</w:t>
            </w:r>
          </w:p>
        </w:tc>
        <w:tc>
          <w:tcPr>
            <w:tcW w:w="2400" w:type="dxa"/>
          </w:tcPr>
          <w:p>
            <w:r>
              <w:t xml:space="preserve"/>
            </w:r>
          </w:p>
        </w:tc>
      </w:tr>
      <w:tr>
        <w:tc>
          <w:tcPr>
            <w:tcW w:w="2400" w:type="dxa"/>
          </w:tcPr>
          <w:p>
            <w:r>
              <w:t xml:space="preserve">SB-001376.99.99.32</w:t>
            </w:r>
          </w:p>
        </w:tc>
        <w:tc>
          <w:tcPr>
            <w:tcW w:w="2400" w:type="dxa"/>
          </w:tcPr>
          <w:p>
            <w:r>
              <w:t xml:space="preserve">Regional Workshop on the Implementation of the Revised MSITS 2026</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$62,098</w:t>
            </w:r>
          </w:p>
        </w:tc>
        <w:tc>
          <w:tcPr>
            <w:tcW w:w="2400" w:type="dxa"/>
          </w:tcPr>
          <w:p>
            <w:r>
              <w:t xml:space="preserve">Argentina, Bolivia (Plurinational State of), Brazil, Chile, Colombia, Costa Rica, Cuba, Dominican Republic, Ecuador, El Salvador, Guatemala, Guyana, Honduras, Mexico, Nicaragua, Panama, Paraguay, Peru, Uruguay, Venezuela (Bolivarian Republic of)</w:t>
            </w:r>
          </w:p>
        </w:tc>
        <w:tc>
          <w:tcPr>
            <w:tcW w:w="2400" w:type="dxa"/>
          </w:tcPr>
          <w:p>
            <w:r>
              <w:t xml:space="preserve">Country standardized: 'Bolivia' -&gt; 'Bolivia (Plurinational State of)'. / Country standardized: 'Venezuela' -&gt; 'Venezuela (Bolivarian Republic of)'.</w:t>
            </w:r>
          </w:p>
        </w:tc>
        <w:tc>
          <w:tcPr>
            <w:tcW w:w="2400" w:type="dxa"/>
          </w:tcPr>
          <w:p>
            <w:r>
              <w:t xml:space="preserve">proposals.xlsx record 'SB-001376.99.99.32|row:49': 'f_cashGov' has non-numeric value 'N/A'. / proposals.xlsx record 'SB-001376.99.99.32|row:49': 'f_cashOther' has non-numeric value 'N/A'.</w:t>
            </w:r>
          </w:p>
        </w:tc>
      </w:tr>
      <w:tr>
        <w:tc>
          <w:tcPr>
            <w:tcW w:w="2400" w:type="dxa"/>
          </w:tcPr>
          <w:p>
            <w:r>
              <w:t xml:space="preserve">SB-001376.99.99.38</w:t>
            </w:r>
          </w:p>
        </w:tc>
        <w:tc>
          <w:tcPr>
            <w:tcW w:w="2400" w:type="dxa"/>
          </w:tcPr>
          <w:p>
            <w:r>
              <w:t xml:space="preserve">Workshop and Expert Consultation on Exonyms and Cultural Heritage, and 2026 GeoNames Symposium / ||Workshop and Expert Consultation on Exonyms and Cultural Heritage, and 2026 GeoNames Symposium / The workshop will provide a variety of techniques, including presentations, hands-on exercises, data-labs, and case studies of other national experiences.  / </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$19,672</w:t>
            </w:r>
          </w:p>
        </w:tc>
        <w:tc>
          <w:tcPr>
            <w:tcW w:w="2400" w:type="dxa"/>
          </w:tcPr>
          <w:p>
            <w:r>
              <w:t xml:space="preserve">Argentina, Cameroon, Indonesia, Kenya</w:t>
            </w:r>
          </w:p>
        </w:tc>
        <w:tc>
          <w:tcPr>
            <w:tcW w:w="2400" w:type="dxa"/>
          </w:tcPr>
          <w:p>
            <w:r>
              <w:t xml:space="preserve">Region standardized: 'global' -&gt; 'Global'.</w:t>
            </w:r>
          </w:p>
        </w:tc>
        <w:tc>
          <w:tcPr>
            <w:tcW w:w="2400" w:type="dxa"/>
          </w:tcPr>
          <w:p>
            <w:r>
              <w:t xml:space="preserve"/>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0002305809 - Argentina</w:t>
            </w:r>
          </w:p>
        </w:tc>
        <w:tc>
          <w:tcPr>
            <w:tcW w:w="2400" w:type="dxa"/>
          </w:tcPr>
          <w:p>
            <w:r>
              <w:t xml:space="preserve">0002305809</w:t>
            </w:r>
          </w:p>
        </w:tc>
        <w:tc>
          <w:tcPr>
            <w:tcW w:w="2400" w:type="dxa"/>
          </w:tcPr>
          <w:p>
            <w:r>
              <w:t xml:space="preserve">Past</w:t>
            </w:r>
          </w:p>
        </w:tc>
        <w:tc>
          <w:tcPr>
            <w:tcW w:w="2400" w:type="dxa"/>
          </w:tcPr>
          <w:p>
            <w:r>
              <w:t xml:space="preserve">Argentina</w:t>
            </w:r>
          </w:p>
        </w:tc>
        <w:tc>
          <w:tcPr>
            <w:tcW w:w="2400" w:type="dxa"/>
          </w:tcPr>
          <w:p>
            <w:r>
              <w:t xml:space="preserve"/>
            </w:r>
          </w:p>
        </w:tc>
        <w:tc>
          <w:tcPr>
            <w:tcW w:w="2400" w:type="dxa"/>
          </w:tcPr>
          <w:p>
            <w:r>
              <w:t xml:space="preserve">STATISTICS DIVISION</w:t>
            </w:r>
          </w:p>
        </w:tc>
        <w:tc>
          <w:tcPr>
            <w:tcW w:w="2400" w:type="dxa"/>
          </w:tcPr>
          <w:p>
            <w:r>
              <w:t xml:space="preserve">ATTENDING THE INTERNATIONAL SEMINAR ON UNIGIF IN SOUTH AMER</w:t>
            </w:r>
          </w:p>
        </w:tc>
        <w:tc>
          <w:tcPr>
            <w:tcW w:w="2400" w:type="dxa"/>
          </w:tcPr>
          <w:p>
            <w:r>
              <w:t xml:space="preserve"/>
            </w:r>
          </w:p>
        </w:tc>
        <w:tc>
          <w:tcPr>
            <w:tcW w:w="2400" w:type="dxa"/>
          </w:tcPr>
          <w:p>
            <w:r>
              <w:t xml:space="preserve">29 Jun 2026</w:t>
            </w:r>
          </w:p>
        </w:tc>
        <w:tc>
          <w:tcPr>
            <w:tcW w:w="2400" w:type="dxa"/>
          </w:tcPr>
          <w:p>
            <w:r>
              <w:t xml:space="preserve">05 Jul 2026</w:t>
            </w:r>
          </w:p>
        </w:tc>
      </w:tr>
      <w:tr>
        <w:tc>
          <w:tcPr>
            <w:tcW w:w="2400" w:type="dxa"/>
          </w:tcPr>
          <w:p>
            <w:r>
              <w:t xml:space="preserve">0002306285 - Argentina</w:t>
            </w:r>
          </w:p>
        </w:tc>
        <w:tc>
          <w:tcPr>
            <w:tcW w:w="2400" w:type="dxa"/>
          </w:tcPr>
          <w:p>
            <w:r>
              <w:t xml:space="preserve">0002306285</w:t>
            </w:r>
          </w:p>
        </w:tc>
        <w:tc>
          <w:tcPr>
            <w:tcW w:w="2400" w:type="dxa"/>
          </w:tcPr>
          <w:p>
            <w:r>
              <w:t xml:space="preserve">Past</w:t>
            </w:r>
          </w:p>
        </w:tc>
        <w:tc>
          <w:tcPr>
            <w:tcW w:w="2400" w:type="dxa"/>
          </w:tcPr>
          <w:p>
            <w:r>
              <w:t xml:space="preserve">Argentina</w:t>
            </w:r>
          </w:p>
        </w:tc>
        <w:tc>
          <w:tcPr>
            <w:tcW w:w="2400" w:type="dxa"/>
          </w:tcPr>
          <w:p>
            <w:r>
              <w:t xml:space="preserve"/>
            </w:r>
          </w:p>
        </w:tc>
        <w:tc>
          <w:tcPr>
            <w:tcW w:w="2400" w:type="dxa"/>
          </w:tcPr>
          <w:p>
            <w:r>
              <w:t xml:space="preserve">STATISTICS DIVISION</w:t>
            </w:r>
          </w:p>
        </w:tc>
        <w:tc>
          <w:tcPr>
            <w:tcW w:w="2400" w:type="dxa"/>
          </w:tcPr>
          <w:p>
            <w:r>
              <w:t xml:space="preserve">INTERNATIONAL SEMINAR ON THE UNIGIF SOUTHAMERICA</w:t>
            </w:r>
          </w:p>
        </w:tc>
        <w:tc>
          <w:tcPr>
            <w:tcW w:w="2400" w:type="dxa"/>
          </w:tcPr>
          <w:p>
            <w:r>
              <w:t xml:space="preserve"/>
            </w:r>
          </w:p>
        </w:tc>
        <w:tc>
          <w:tcPr>
            <w:tcW w:w="2400" w:type="dxa"/>
          </w:tcPr>
          <w:p>
            <w:r>
              <w:t xml:space="preserve">30 Jun 2026</w:t>
            </w:r>
          </w:p>
        </w:tc>
        <w:tc>
          <w:tcPr>
            <w:tcW w:w="2400" w:type="dxa"/>
          </w:tcPr>
          <w:p>
            <w:r>
              <w:t xml:space="preserve">04 Jul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capacity of national policy analysts in the social and economic sectors of developing countries in the production and use of National Transfer Accounts</w:t>
            </w:r>
          </w:p>
        </w:tc>
        <w:tc>
          <w:tcPr>
            <w:tcW w:w="2400" w:type="dxa"/>
          </w:tcPr>
          <w:p>
            <w:r>
              <w:t xml:space="preserve">2013</w:t>
            </w:r>
          </w:p>
        </w:tc>
        <w:tc>
          <w:tcPr>
            <w:tcW w:w="2400" w:type="dxa"/>
          </w:tcPr>
          <w:p>
            <w:r>
              <w:t xml:space="preserve">PD</w:t>
            </w:r>
          </w:p>
        </w:tc>
        <w:tc>
          <w:tcPr>
            <w:tcW w:w="2400" w:type="dxa"/>
          </w:tcPr>
          <w:p>
            <w:r>
              <w:t xml:space="preserve">Argentina, China, Egypt, El Salvador, Jordan, Korea, State of Palestine, Thailand, Türkiye</w:t>
            </w:r>
          </w:p>
        </w:tc>
        <w:tc>
          <w:tcPr>
            <w:tcW w:w="2400" w:type="dxa"/>
          </w:tcPr>
          <w:p>
            <w:r>
              <w:t xml:space="preserve">- Stimulate beneficiary countries to become active members of the NTA international network. / - Organize follow-up activities on applying NTA to analyzing currently relevant policy issues. / - Produce country briefs based on current empirical work. / - Raise extra funding to support empirical work and avoid the risk that national reports represent a one-off activity. / - Make training workshops an essential, though separate, part of international conferences organized by the NTA Working Group. / - Tailor workshops on NTA basics to separately address demographic, macroeconomic, microeconomic, and national accounts issues; offer some training in e-learning and online formats. / - Organize training on how to use results for policy recommendations, specifically through policy research workshops. / - Train staff to write short and clear reports aimed at fostering knowledge about the life-cycle economy and the economic and financial consequences of ageing. / - Translate the NTA Manual into other languages such as Spanish, Arabic, and Chinese. / - Integrate NTA more closely with SNA and increase its visibility in the workplans of international organizations; assess possible collaboration with organizations such as OECD and Eurostat. / - Consider estimating separate sectorial NTAs to account for heterogeneity in economic sectors within developing countries. / - Supplement cohort analysis with gender analysis by implementing National Time Transfer Accounts (NTTA) more widely.</w:t>
            </w:r>
          </w:p>
        </w:tc>
        <w:tc>
          <w:tcPr>
            <w:tcW w:w="2400" w:type="dxa"/>
          </w:tcPr>
          <w:p>
            <w:r>
              <w:t xml:space="preserve">- Demographic changes affect all countries, but awareness and institutional capacity to address them vary, especially in developing countries. / - NTA provides a powerful analytical tool for understanding the age and generational dimension of the economy, but its implementation requires significant investment in human capital and institutional capacity. / - Effectiveness and sustainability of NTA depend on the ability to estimate NTAs, interpret data for policy analysis, and communicate implications to policymakers and the public. / - Most participating countries have adequate statistical data for NTA, but challenges remain in mastering new concepts and improving data quality. / - Future training should focus on developing the capacity to interpret NTA data and derive policy recommendations, which is essential for raising awareness among policymakers. / - Clear communication of NTA results to policymakers is crucial, given the technical complexity of the issues. / - The international NTA network enhances project resilience and sustainability by supporting capacity development and facilitating expert identification.</w:t>
            </w:r>
          </w:p>
        </w:tc>
        <w:tc>
          <w:tcPr>
            <w:tcW w:w="2400" w:type="dxa"/>
          </w:tcPr>
          <w:p>
            <w:r>
              <w:t xml:space="preserve">https://unitednations.sharepoint.com/sites/DESA-CDPMO/Shared Documents/General/3. Finance Management/5 - DEVELOPMENT ACCOUNT/DA - DESA/03 PROJECTS - CLOSED/PD/ROA-167-lNational Transfer Accounts/Progress Reports/EVALUATION REPORT_ns final_24 Jul 2013.pdf</w:t>
            </w:r>
          </w:p>
        </w:tc>
        <w:tc>
          <w:tcPr>
            <w:tcW w:w="2400" w:type="dxa"/>
          </w:tcPr>
          <w:p>
            <w:r>
              <w:t xml:space="preserve">Country standardized: 'Palestine' -&gt; 'State of Palestine'. / Country standardized: 'Republic of Korea' -&gt; 'Korea'. / Country standardized: 'Turkey' -&gt; 'Türkiye'.</w:t>
            </w:r>
          </w:p>
        </w:tc>
        <w:tc>
          <w:tcPr>
            <w:tcW w:w="2400" w:type="dxa"/>
          </w:tcPr>
          <w:p>
            <w:r>
              <w:t xml:space="preserve">evaluations.xlsx rows 100 (archived) and 46 (retained): Review conflicts: RecommendationsList differs between document copies; LessonsLearnedList differs between document copies. Country lists were not merged.</w:t>
            </w:r>
          </w:p>
        </w:tc>
      </w:tr>
      <w:tr>
        <w:tc>
          <w:tcPr>
            <w:tcW w:w="2400" w:type="dxa"/>
          </w:tcPr>
          <w:p>
            <w:r>
              <w:t xml:space="preserve">Strengthening the geospatial information management capacities of developing countries for better policy making at national, regional and international level</w:t>
            </w:r>
          </w:p>
        </w:tc>
        <w:tc>
          <w:tcPr>
            <w:tcW w:w="2400" w:type="dxa"/>
          </w:tcPr>
          <w:p>
            <w:r>
              <w:t xml:space="preserve">2015</w:t>
            </w:r>
          </w:p>
        </w:tc>
        <w:tc>
          <w:tcPr>
            <w:tcW w:w="2400" w:type="dxa"/>
          </w:tcPr>
          <w:p>
            <w:r>
              <w:t xml:space="preserve">UNSD</w:t>
            </w:r>
          </w:p>
        </w:tc>
        <w:tc>
          <w:tcPr>
            <w:tcW w:w="2400" w:type="dxa"/>
          </w:tcPr>
          <w:p>
            <w:r>
              <w:t xml:space="preserve">Algeria, Argentina, Bangladesh, Bolivia (Plurinational State of), Botswana, Brazil, Burkina Faso, Burundi, Cabo Verde, Cameroon, Chile, Costa Rica, Côte d’Ivoire, Ecuador, Egypt, Ethiopia, Guyana, Jordan, Kenya, Korea, Lebanon, Madagascar, Morocco, Nigeria, South Africa, State of Palestine, Sudan, Togo, Tunisia, Uganda, Uruguay</w:t>
            </w:r>
          </w:p>
        </w:tc>
        <w:tc>
          <w:tcPr>
            <w:tcW w:w="2400" w:type="dxa"/>
          </w:tcPr>
          <w:p>
            <w:r>
              <w:t xml:space="preserve">- Create conditions to improve the technological and knowledge transfer from developed to developing countries. / - Widely promote the adoption of internationally accepted standards related to the generation, process, dissemination and use of geospatial information, created by major standards organizations such as ISO/TC211, OGC, and IHO. / - Include the integration of statistical and geospatial information as a core issue in the UN-GGIM plan work for developing countries, especially in support of the 2020 Round of Censuses and Big Data. / - Continue the work with support of the regional committees of UN-GGIM and the countries themselves to encourage the building of spatial data infrastructures. / - Raise the awareness of the importance of geospatial information at the policy and decision making levels, and strengthen human capacities in developing countries through comprehensive trainings on geodesy, cartography, remote sensing, GIS, and geostatistical mapping.</w:t>
            </w:r>
          </w:p>
        </w:tc>
        <w:tc>
          <w:tcPr>
            <w:tcW w:w="2400" w:type="dxa"/>
          </w:tcPr>
          <w:p>
            <w:r>
              <w:t xml:space="preserve">- The Steering Committee and UNSD/DESA played an important role in aligning the deliveries of the project. / - UNSD/DESA-led projects are effective in connecting experts with organizations and countries interested in geospatial knowledge. / - At a global level, only an organization such as the UN through UNSD/DESA has the capacity to convene and lead projects of this magnitude. / - Developing countries need to increase their technological capacities, which requires more financial resources. / - Improving geospatial information management requires the creation of policies, rules, and methods for information generation, management, dissemination, and use. / - Increasing awareness and support for geospatial and statistical activities among high-level politicians and decision makers is necessary. / - Specialized human resources training is essential for functional geospatial information, beyond just technical, financial, and methodological resources. / - The information exchange mechanism used in this project was effective, allowing developing countries to learn from best practices. / - Institutional coordination between geospatial and statistical offices is still a work in progress and needs to be strengthened. / - Significant gaps in geospatial data and infrastructure exist in developing countries, and this project has helped indicate the right direction. / - There is a lack of economic resources to keep information updated in some developing countries. / - Technological capacities related to geospatial information need to be upgraded. / - There is still a lack of policies, rules, and methods for geospatial information management in some developing countries. / - Specialized human resources training in geospatial disciplines and statistics is essential. / - Strong efforts are needed to create and maintain spatial data infrastructures at all levels, considering the Global Geodetic Reference Frame. / - Awareness and support for geospatial and statistical activities from high-level decision makers need improvement. / - The 2030 Sustainable Development agenda and the 2020 Round of Censuses should be leveraged to reinforce the use of geospatial and statistical data, with executional and follow-up mechanisms for expected outcomes.</w:t>
            </w:r>
          </w:p>
        </w:tc>
        <w:tc>
          <w:tcPr>
            <w:tcW w:w="2400" w:type="dxa"/>
          </w:tcPr>
          <w:p>
            <w:r>
              <w:t xml:space="preserve">https://unitednations.sharepoint.com/sites/DESA-CDPMO/Shared Documents/General/3. Finance Management/5 - DEVELOPMENT ACCOUNT/DA - DESA/03 PROJECTS - CLOSED/SD/ROA 212 - 8th tranche - Geospatial/Evaluation report/Evaluation Report- DA Project-212-8.docx</w:t>
            </w:r>
          </w:p>
        </w:tc>
        <w:tc>
          <w:tcPr>
            <w:tcW w:w="2400" w:type="dxa"/>
          </w:tcPr>
          <w:p>
            <w:r>
              <w:t xml:space="preserve">Country standardized: 'Bolivia' -&gt; 'Bolivia (Plurinational State of)'. / Country standardized: 'Cape Verde' -&gt; 'Cabo Verde'. / Country standardized: 'Cote d’Ivoire' -&gt; 'Côte d’Ivoire'. / Country standardized: 'Palestine' -&gt; 'State of Palestine'. / Country standardized: 'Republic of Korea' -&gt; 'Korea'.</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2021</w:t>
            </w:r>
          </w:p>
        </w:tc>
        <w:tc>
          <w:tcPr>
            <w:tcW w:w="2400" w:type="dxa"/>
          </w:tcPr>
          <w:p>
            <w:r>
              <w:t xml:space="preserve">DSDG</w:t>
            </w:r>
          </w:p>
        </w:tc>
        <w:tc>
          <w:tcPr>
            <w:tcW w:w="2400" w:type="dxa"/>
          </w:tcPr>
          <w:p>
            <w:r>
              <w:t xml:space="preserve">Algeria, Argentina, Austria, Bolivia (Plurinational State of), Bosnia and Herzegovina, Bulgaria, Colombia, Ecuador, Ethiopia, Georgia, Ghana, Guyana, Honduras, India, Italy, Kenya, Lebanon, Malawi, Morocco, Nauru, Niger, North Macedonia, Pakistan, Papua New Guinea, Poland, Portugal, Samoa, Seychelles, United Arab Emirates, United Kingdom of Great Britain and Northern Ireland, Zambia</w:t>
            </w:r>
          </w:p>
        </w:tc>
        <w:tc>
          <w:tcPr>
            <w:tcW w:w="2400" w:type="dxa"/>
          </w:tcPr>
          <w:p>
            <w:r>
              <w:t xml:space="preserve">- Future similar projects should apply a Results-Based Management approach, developing an M&amp;E framework, plan, and data collection tools that articulate instrumental and transformational changes rather than processes. / - Additional resources should be mobilized to ensure follow-up and implementation of the commitments secured in the global roadmap and in the Energy Compacts, starting with pilot projects to determine their viability and scalability. / - Future similar projects should include studies on Cost-Benefit Analysis to determine the viability and scalability of policy changes, ranking options in the Energy Compacts according to their costs and benefits to society. / - More staff wholly dedicated to the project should be planned for at the conceptualization stage, including roles for communications and project management assistance, and a project steering committee to ensure recommendations for course corrections are followed. / - Future projects should develop a clear partnership strategy to guide implementers on where to invest in collaboration for the greatest value to the organization. / - The composition of the global Technical Advisory Group (TAG) should be replicated and cascaded to regional and national levels to ensure continuity and nuanced specificities beyond the project’s shelf life. / - Future projects should leverage United Nations Information Centers (UNICs) to develop and implement coordinated communications strategies for Member States, amplifying project achievements at the local level.</w:t>
            </w:r>
          </w:p>
        </w:tc>
        <w:tc>
          <w:tcPr>
            <w:tcW w:w="2400" w:type="dxa"/>
          </w:tcPr>
          <w:p>
            <w:r>
              <w:t xml:space="preserve">- The joint production and dissemination of knowledge products laid a strong foundation for sustainability, scaling up, replication, and future programming, increasing knowledge and capacities for accountability. / - Synergistic partnerships and multi-stakeholder participation facilitated ownership, sustainability, and coherence between national planning processes, enhancing coordination among line ministries for timely VNR production. / - Upstream activities allowed the project to adapt to challenges such as Covid-19, and partnering with the public sector leveraged government influence for mainstreaming SDG7 implementation. / - Engagement with the private sector was strategic, as private sector input and financial commitments in the Energy Compacts are essential for accelerating SDG7 implementation. / - The project was initially thinly staffed, but hiring a dedicated Project Officer after commencement improved implementation; future projects should plan for adequate dedicated staffing from the outset.</w:t>
            </w:r>
          </w:p>
        </w:tc>
        <w:tc>
          <w:tcPr>
            <w:tcW w:w="2400" w:type="dxa"/>
          </w:tcPr>
          <w:p>
            <w:r>
              <w:t xml:space="preserve">https://unitednations.sharepoint.com/sites/DESA-CDPMO/Shared Documents/General/6. Peace and Development TF/8. Funded projects/2017/2017-02 DSD SDG7/Reports/Evaluation/Final_Dec 18th_UNDESA_Final Evaluation Report.pdf</w:t>
            </w:r>
          </w:p>
        </w:tc>
        <w:tc>
          <w:tcPr>
            <w:tcW w:w="2400" w:type="dxa"/>
          </w:tcPr>
          <w:p>
            <w:r>
              <w:t xml:space="preserve">Country standardized: 'Bolivia' -&gt; 'Bolivia (Plurinational State of)'. / Country standardized: 'United Kingdom' -&gt; 'United Kingdom of Great Britain and Northern Ireland'.</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Improved local and national government capacities for localizing SDGs progress through Voluntary Local Reviews</w:t>
            </w:r>
          </w:p>
        </w:tc>
        <w:tc>
          <w:tcPr>
            <w:tcW w:w="2400" w:type="dxa"/>
          </w:tcPr>
          <w:p>
            <w:r>
              <w:t xml:space="preserve">2025</w:t>
            </w:r>
          </w:p>
        </w:tc>
        <w:tc>
          <w:tcPr>
            <w:tcW w:w="2400" w:type="dxa"/>
          </w:tcPr>
          <w:p>
            <w:r>
              <w:t xml:space="preserve">DSDG</w:t>
            </w:r>
          </w:p>
        </w:tc>
        <w:tc>
          <w:tcPr>
            <w:tcW w:w="2400" w:type="dxa"/>
          </w:tcPr>
          <w:p>
            <w:r>
              <w:t xml:space="preserve">Argentina, Bolivia (Plurinational State of), Mozambique, Paraguay, South Africa, Zimbabwe</w:t>
            </w:r>
          </w:p>
        </w:tc>
        <w:tc>
          <w:tcPr>
            <w:tcW w:w="2400" w:type="dxa"/>
          </w:tcPr>
          <w:p>
            <w:r>
              <w:t xml:space="preserve">- Further scale-up VLR support to local governments by prioritizing the institutionalization of VLR processes and formal mechanisms to encourage peer-learning and south-south collaboration to promote a sustainable self-functioning system of SDG localization. / - Continue to work with the current donor while diversifying donor funding to engage additional local governments and countries in SDG localization and the preparation of VLRs. / - Further scale-up VLR support to Indigenous governments to continue promoting equitable development and the Leave No One Behind principle. / - Invest in developing a train-the-trainer model so that capacitated local governments with experience developing VLRs can share their knowledge and experience with other local governments through a formalized mechanism. / - Continue to support the creation and strengthening of local government networks to foster peer-to-peer learning and south-south collaboration regarding SDG localization and the development of VLRs. / - Integrate SDG localization and VLR development work into existing regional bodies that encourage cross-country collaboration wherever possible. / - Further deepen support to national and local governments to plan and implement the SDGs at the local level and to strengthen interlinkages between local and national SDG planning, monitoring, and implementation. / - Engage colleagues from other UN DESA divisions including the Statistics Division and the Financing for Development Division to provide technical and capacity development support to local and national governments. / - Work with RCOs and the UN Country Teams to identify ways to support local governments to address local level gaps in achieving the SDGs, with a focus on supporting local data collection, analysis, and dissemination. / - Continue to invest in engaging national-level government stakeholders in SDG localization and the development of VLRs to strengthen the linkages between VLRs and the VNR and/or national level sustainable development strategies. / - Continue to support multi-stakeholder engagement in SDG localization and the development of VLRs while further engaging older people and youth across countries, and CSOs in Africa. / - Continue to create on-the-ground presence at the country level through the use of national consultants and strong engagement with RCOs and other UN entities to facilitate supporting future SDG localization and VLR work. / - Select consultants to support future VLR initiatives that have proven experience successfully working with key stakeholders such as the RCO and other UN entities in country. / - Carefully consider the national context and operating dynamics between UN agencies in country contexts where VLRs have been previously produced to avoid unnecessary competition among UN agencies or challenges at engaging UN agencies to support UN DESA’s VLR efforts. / - Strengthen future VLR project monitoring systems by conducting more substantial surveys and gathering data on stakeholder experiences and their increased capacities and skills during and after VLR workshops and events. / - Make prior arrangements with other UN entities to support the distribution of funds to local stakeholders for project expenses before the project begins. / - Use informed selection criteria to identify which countries should be included in future VLR initiatives, such as VNR plans during the project period, absence of elections, regional commonalities, sufficient capacity, and strong RCO and UNDP support.</w:t>
            </w:r>
          </w:p>
        </w:tc>
        <w:tc>
          <w:tcPr>
            <w:tcW w:w="2400" w:type="dxa"/>
          </w:tcPr>
          <w:p>
            <w:r>
              <w:t xml:space="preserve">- Horizontal information-sharing and support across local governments both within country and between countries fosters motivation, reduces isolation, and facilitates the exchange of knowledge and information, helping to advance SDG localization even when the national context is less favourable. / - Creating a local project presence through hiring national consultants and working closely with RCOs and other UN entities is essential for stakeholder engagement and achievement of results. / - Sustaining donor interest through regular engagement and visibility helps secure additional funding and support for future project phases. / - Generating momentum by supporting participating local governments to start drafting their VLRs during initial workshops and following up with national consultants facilitates the VLR drafting process. / - Effective linkage between VLRs and VNRs requires synchronized timing and national government enthusiasm; country selection for future initiatives should consider VNR plans and election schedules.</w:t>
            </w:r>
          </w:p>
        </w:tc>
        <w:tc>
          <w:tcPr>
            <w:tcW w:w="2400" w:type="dxa"/>
          </w:tcPr>
          <w:p>
            <w:r>
              <w:t xml:space="preserve">https://unitednations.sharepoint.com/sites/DESA-CDPMO/Shared Documents/General/3. Finance Management/1 - TC PROJECTS/Closed Projects in Umoja/S1-178 Italy 2022 (SB-020226)/Final evaluation/UN DESA VLR Evaluation Final Report 31 January 2025 Clean.docx</w:t>
            </w:r>
          </w:p>
        </w:tc>
        <w:tc>
          <w:tcPr>
            <w:tcW w:w="2400" w:type="dxa"/>
          </w:tcPr>
          <w:p>
            <w:r>
              <w:t xml:space="preserve">Country standardized: 'Bolivia' -&gt; 'Bolivia (Plurinational State of)'.</w:t>
            </w:r>
          </w:p>
        </w:tc>
        <w:tc>
          <w:tcPr>
            <w:tcW w:w="2400" w:type="dxa"/>
          </w:tcPr>
          <w:p>
            <w:r>
              <w:t xml:space="preserve"/>
            </w:r>
          </w:p>
        </w:tc>
      </w:tr>
      <w:tr>
        <w:tc>
          <w:tcPr>
            <w:tcW w:w="2400" w:type="dxa"/>
          </w:tcPr>
          <w:p>
            <w:r>
              <w:t xml:space="preserve">Supporting the establishment of a Latin American Parliamentary Knowledge Network</w:t>
            </w:r>
          </w:p>
        </w:tc>
        <w:tc>
          <w:tcPr>
            <w:tcW w:w="2400" w:type="dxa"/>
          </w:tcPr>
          <w:p>
            <w:r>
              <w:t xml:space="preserve">2014</w:t>
            </w:r>
          </w:p>
        </w:tc>
        <w:tc>
          <w:tcPr>
            <w:tcW w:w="2400" w:type="dxa"/>
          </w:tcPr>
          <w:p>
            <w:r>
              <w:t xml:space="preserve">DPIDG</w:t>
            </w:r>
          </w:p>
        </w:tc>
        <w:tc>
          <w:tcPr>
            <w:tcW w:w="2400" w:type="dxa"/>
          </w:tcPr>
          <w:p>
            <w:r>
              <w:t xml:space="preserve">Argentina, Barbados, Bolivia (Plurinational State of), Brazil, Chile, Colombia, Costa Rica, Ecuador, El Salvador, Guatemala, Guyana, Mexico, Nicaragua, Panama, Paraguay, Saint Vincent and the Grenadines, Suriname, Trinidad and Tobago, Uruguay</w:t>
            </w:r>
          </w:p>
        </w:tc>
        <w:tc>
          <w:tcPr>
            <w:tcW w:w="2400" w:type="dxa"/>
          </w:tcPr>
          <w:p>
            <w:r>
              <w:t xml:space="preserve">- Establish regional agreement and resources for hosting of the Secretariat to ensure that it is properly funded and resourced and that the commitment for this is shared amongst those parliaments that can afford it. / - Expand opportunities for take part in network activities and extend these beyond those parliaments who have formally signed up to RIPALC. / - Ensure appropriate ongoing resources are committed to the digital portal as this is a critical component of the network and vital to ensuring the ongoing operation and relevance of it. / - Participants right across the region need to be encouraged to take ownership of the communities of interest and to see RIPALC as a place to learn, share and network. Ensuring the grass-roots value and use of the network will be the single most significant factor in the networks long term sustainability. / - RIPALC needs to be flexible and responsive to the needs of the users and allow them to create new communities of interest and for the model to develop to suit their requirements, it must be driven by demand, not controlled from the top down. / - It is important that RIPALC maintains the ability to run regional workshops and meetings so that parliamentary staff can network and collaborate. Digital networks are important and they help to sustain relationships and act as timely conduits for knowledge exchange, but they do not replace face to face meetings as a way of building social capital. / - Inter-parliamentary collaboration remains a priority and was seen by participants as a key pre-requisite for democratic strengthening in the region and RIPALC is an ideal vehicle to facilitate and support this.</w:t>
            </w:r>
          </w:p>
        </w:tc>
        <w:tc>
          <w:tcPr>
            <w:tcW w:w="2400" w:type="dxa"/>
          </w:tcPr>
          <w:p>
            <w:r>
              <w:t xml:space="preserve">- The RIPALC network was a timely and appropriate development for the region and has been well received by the participants in it. / - The clear weakness in the project was to rigidly implement a governance model based on the long-established ECPRD structure. This has proved restrictive and inflexible in the case of RIPALC and it has inhibited growth. A more organic and less rigid structure would have been more appropriate. / - Projects such as this need some level of formality and process if they are to be seen as reliable and trustworthy by parliaments, but the network must develop in line with the culture and expectations of the region it covers and duplicating a model from elsewhere can limit take-up. / - The network has become a force for active parliamentary development in the region, a timely catalyst to build on a growing desire for strong parliaments and recognition that it is important for parliaments to collaborate and share ideas, knowledge and experience. / - The network has successfully delivered face-to-face meetings and workshops, which are vital for building and sustaining relationships between parliaments, and has acted as a ‘role model’ for inter-parliamentary collaboration in a region where this is a relatively new and unknown concept. / - The web portal provides a fast and easy way for parliamentary staff to stay in touch and to discuss, advise and be advised about good practice and emergent issues in their field, which is particularly important for smaller legislatures. / - Though the uptake has been slower than expected, this is seen as a result of the structural limitations of RIPALC. In the medium to long term, the Secretariat needs to ensure that the portal is able to meet the needs and demands of its stakeholders and that it is promoted to all parliaments in the region, regardless of their formal membership of RIPALC.</w:t>
            </w:r>
          </w:p>
        </w:tc>
        <w:tc>
          <w:tcPr>
            <w:tcW w:w="2400" w:type="dxa"/>
          </w:tcPr>
          <w:p>
            <w:r>
              <w:t xml:space="preserve">https://unitednations.sharepoint.com/sites/DESA-CDPMO/Shared Documents/General/3. Finance Management/5 - DEVELOPMENT ACCOUNT/DA - DESA/Evaluation reports/7th tranche/ROA 163 (DPADM)/RIPALC.Evaluation.FinalReport-1.0.docx</w:t>
            </w:r>
          </w:p>
        </w:tc>
        <w:tc>
          <w:tcPr>
            <w:tcW w:w="2400" w:type="dxa"/>
          </w:tcPr>
          <w:p>
            <w:r>
              <w:t xml:space="preserve">Country standardized: 'Bolivia' -&gt; 'Bolivia (Plurinational State of)'. / Country standardized: 'St Vincent and the Grenadines' -&gt; 'Saint Vincent and the Grenadines'.</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rows 100 (archived) and 46 (retained): Review conflicts: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5</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6</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7</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8</w:t>
            </w:r>
          </w:p>
        </w:tc>
        <w:tc>
          <w:tcPr>
            <w:tcW w:w="2400" w:type="dxa"/>
          </w:tcPr>
          <w:p>
            <w:r>
              <w:t xml:space="preserve">GeoData_with_ISO3166_alpha3.xlsx: last modified 2026-05-22, more than 30 days before ingestion (134 days).</w:t>
            </w:r>
          </w:p>
        </w:tc>
      </w:tr>
      <w:tr>
        <w:tc>
          <w:tcPr>
            <w:tcW w:w="2400" w:type="dxa"/>
          </w:tcPr>
          <w:p>
            <w:r>
              <w:t xml:space="preserve">9</w:t>
            </w:r>
          </w:p>
        </w:tc>
        <w:tc>
          <w:tcPr>
            <w:tcW w:w="2400" w:type="dxa"/>
          </w:tcPr>
          <w:p>
            <w:r>
              <w:t xml:space="preserve">proposals.xlsx record 'SB-001376.99.99.32|row:49': 'f_cashGov' has non-numeric value 'N/A'.</w:t>
            </w:r>
          </w:p>
        </w:tc>
      </w:tr>
      <w:tr>
        <w:tc>
          <w:tcPr>
            <w:tcW w:w="2400" w:type="dxa"/>
          </w:tcPr>
          <w:p>
            <w:r>
              <w:t xml:space="preserve">10</w:t>
            </w:r>
          </w:p>
        </w:tc>
        <w:tc>
          <w:tcPr>
            <w:tcW w:w="2400" w:type="dxa"/>
          </w:tcPr>
          <w:p>
            <w:r>
              <w:t xml:space="preserve">proposals.xlsx record 'SB-001376.99.99.32|row:49': 'f_cashOther' has non-numeric value 'N/A'.</w:t>
            </w:r>
          </w:p>
        </w:tc>
      </w:tr>
      <w:tr>
        <w:tc>
          <w:tcPr>
            <w:tcW w:w="2400" w:type="dxa"/>
          </w:tcPr>
          <w:p>
            <w:r>
              <w:t xml:space="preserve">11</w:t>
            </w:r>
          </w:p>
        </w:tc>
        <w:tc>
          <w:tcPr>
            <w:tcW w:w="2400" w:type="dxa"/>
          </w:tcPr>
          <w:p>
            <w:r>
              <w:t xml:space="preserve">requests.xlsx record '5575': Dates End date 2026-09-12 is before start date 2026-11-08.</w:t>
            </w:r>
          </w:p>
        </w:tc>
      </w:tr>
      <w:tr>
        <w:tc>
          <w:tcPr>
            <w:tcW w:w="2400" w:type="dxa"/>
          </w:tcPr>
          <w:p>
            <w:r>
              <w:t xml:space="preserve">12</w:t>
            </w:r>
          </w:p>
        </w:tc>
        <w:tc>
          <w:tcPr>
            <w:tcW w:w="2400" w:type="dxa"/>
          </w:tcPr>
          <w:p>
            <w:r>
              <w:t xml:space="preserve">requests.xlsx record '5575': End date 2026-09-12 is before start date 2026-11-08.</w:t>
            </w:r>
          </w:p>
        </w:tc>
      </w:tr>
      <w:tr>
        <w:tc>
          <w:tcPr>
            <w:tcW w:w="2400" w:type="dxa"/>
          </w:tcPr>
          <w:p>
            <w:r>
              <w:t xml:space="preserve">13</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14</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15</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16</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18</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20</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21</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22</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23</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24</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25</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26</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27</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28</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29</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30</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31</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32</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33</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34</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35</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36</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37</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38</w:t>
            </w:r>
          </w:p>
        </w:tc>
        <w:tc>
          <w:tcPr>
            <w:tcW w:w="2400" w:type="dxa"/>
          </w:tcPr>
          <w:p>
            <w:r>
              <w:t xml:space="preserve">Resolved - Action: duplicate evaluation at evaluations.xlsx row 306 removed; retained row 297 ().</w:t>
            </w:r>
          </w:p>
        </w:tc>
      </w:tr>
      <w:tr>
        <w:tc>
          <w:tcPr>
            <w:tcW w:w="2400" w:type="dxa"/>
          </w:tcPr>
          <w:p>
            <w:r>
              <w:t xml:space="preserve">39</w:t>
            </w:r>
          </w:p>
        </w:tc>
        <w:tc>
          <w:tcPr>
            <w:tcW w:w="2400" w:type="dxa"/>
          </w:tcPr>
          <w:p>
            <w:r>
              <w:t xml:space="preserve">Resolved - Action: duplicate evaluation at evaluations.xlsx row 332 removed; retained row 302 ().</w:t>
            </w:r>
          </w:p>
        </w:tc>
      </w:tr>
      <w:tr>
        <w:tc>
          <w:tcPr>
            <w:tcW w:w="2400" w:type="dxa"/>
          </w:tcPr>
          <w:p>
            <w:r>
              <w:t xml:space="preserve">40</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41</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42</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43</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44</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45</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46</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47</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48</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49</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50</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51</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52</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53</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54</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55</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56</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57</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58</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59</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