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Armenia</w:t>
      </w:r>
    </w:p>
    <w:p>
      <w:r>
        <w:rPr>
          <w:sz w:val="20"/>
          <w:color w:val="4B5563"/>
        </w:rPr>
        <w:t xml:space="preserve">Asia | LLDC</w:t>
      </w:r>
    </w:p>
    <w:p>
      <w:r>
        <w:rPr>
          <w:sz w:val="20"/>
          <w:color w:val="4B5563"/>
        </w:rPr>
        <w:t xml:space="preserve">Exported 05 Oct 2026, 14:20 | Snapshot 03 Oct 2026, 21:47 GMT-4</w:t>
      </w:r>
    </w:p>
    <w:p>
      <w:r>
        <w:rPr>
          <w:b/>
          <w:sz w:val="28"/>
          <w:color w:val="174A7C"/>
        </w:rPr>
        <w:t xml:space="preserve">Summary</w:t>
      </w:r>
    </w:p>
    <w:p>
      <w:r>
        <w:t xml:space="preserve">Armenia is presented in this country card as part of Asia, with Armenia also associated with an unspecified subregion and the LLDC grouping. The filtered data for Armenia highlights 0 projects for Armenia, including 0 active or planned projects for Armenia and 0 completed or closed projects for Armenia.</w:t>
      </w:r>
    </w:p>
    <w:p>
      <w:r>
        <w:t xml:space="preserve">For Armenia, the report includes 4 requests for Armenia, 1 RPTC proposals for Armenia, 0 RPTC activities for Armenia, and 0 travel records for Armenia. Financially, Armenia shows Not provided in project budget, $25,000 in proposal planned budget, and $0 in consumed RPTC activity budget for Armenia.</w:t>
      </w:r>
    </w:p>
    <w:p>
      <w:r>
        <w:t xml:space="preserve">The main organizational coverage for Armenia points to Division for Inclusive Social Development, Financing for Sustainable Development Office, FSDO, Statistics Division. Activity records for Armenia list 0 participants, including 0 women participants, the current quality review for Armenia includes 48 data quality notes. Current highlights for Armenia include a request focus for Armenia: Request #5295 ? Request through UN Resident Coordinator to support the Government of Armenia and private stakeholders including the ICC - Armenia Chapter and the Foundation for Armenian Science and Technology to put forward credible projects for investors at the 10th SDG Investment Fair.; an RPTC proposal focus for Armenia: Peer-to-peer Learning Workshops for the Network of National Focal Points on Financing for Development.</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4</w:t>
            </w:r>
          </w:p>
        </w:tc>
      </w:tr>
      <w:tr>
        <w:tc>
          <w:tcPr>
            <w:tcW w:w="2400" w:type="dxa"/>
          </w:tcPr>
          <w:p>
            <w:r>
              <w:t xml:space="preserve">RPTC proposals</w:t>
            </w:r>
          </w:p>
        </w:tc>
        <w:tc>
          <w:tcPr>
            <w:tcW w:w="2400" w:type="dxa"/>
          </w:tcPr>
          <w:p>
            <w:r>
              <w:t xml:space="preserve">1</w:t>
            </w:r>
          </w:p>
        </w:tc>
      </w:tr>
      <w:tr>
        <w:tc>
          <w:tcPr>
            <w:tcW w:w="2400" w:type="dxa"/>
          </w:tcPr>
          <w:p>
            <w:r>
              <w:t xml:space="preserve">Proposal planned budget</w:t>
            </w:r>
          </w:p>
        </w:tc>
        <w:tc>
          <w:tcPr>
            <w:tcW w:w="2400" w:type="dxa"/>
          </w:tcPr>
          <w:p>
            <w:r>
              <w:t xml:space="preserve">$25,000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48</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r>
      <w:tr>
        <w:tc>
          <w:tcPr>
            <w:tcW w:w="2400" w:type="dxa"/>
          </w:tcPr>
          <w:p>
            <w:r>
              <w:t xml:space="preserve">5295</w:t>
            </w:r>
          </w:p>
        </w:tc>
        <w:tc>
          <w:tcPr>
            <w:tcW w:w="2400" w:type="dxa"/>
          </w:tcPr>
          <w:p>
            <w:r>
              <w:t xml:space="preserve">Request #5295 ? Request through UN Resident Coordinator to support the Government of Armenia and private stakeholders including the ICC - Armenia Chapter and the Foundation for Armenian Science and Technology to put forward credible projects for investors at the 10th SDG Investment Fair.</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12 Dec 2024</w:t>
            </w:r>
          </w:p>
        </w:tc>
        <w:tc>
          <w:tcPr>
            <w:tcW w:w="2400" w:type="dxa"/>
          </w:tcPr>
          <w:p>
            <w:r>
              <w:t xml:space="preserve">12 Dec 2024</w:t>
            </w:r>
          </w:p>
        </w:tc>
        <w:tc>
          <w:tcPr>
            <w:tcW w:w="2400" w:type="dxa"/>
          </w:tcPr>
          <w:p>
            <w:r>
              <w:t xml:space="preserve">31 Dec 2025</w:t>
            </w:r>
          </w:p>
        </w:tc>
        <w:tc>
          <w:tcPr>
            <w:tcW w:w="2400" w:type="dxa"/>
          </w:tcPr>
          <w:p>
            <w:r>
              <w:t xml:space="preserve">Francoise Jacob | francoise.jacob@un.org</w:t>
            </w:r>
          </w:p>
        </w:tc>
        <w:tc>
          <w:tcPr>
            <w:tcW w:w="2400" w:type="dxa"/>
          </w:tcPr>
          <w:p>
            <w:r>
              <w:t xml:space="preserve">Request through UN Resident Coordinator to support the Government of Armenia and private stakeholders including the ICC - Armenia Chapter and the Foundation for Armenian Science and Technology to put forward credible projects for investors at the 10th SDG Investment Fair.</w:t>
            </w:r>
          </w:p>
        </w:tc>
        <w:tc>
          <w:tcPr>
            <w:tcW w:w="2400" w:type="dxa"/>
          </w:tcPr>
          <w:p>
            <w:r>
              <w:t xml:space="preserve"/>
            </w:r>
          </w:p>
        </w:tc>
      </w:tr>
      <w:tr>
        <w:tc>
          <w:tcPr>
            <w:tcW w:w="2400" w:type="dxa"/>
          </w:tcPr>
          <w:p>
            <w:r>
              <w:t xml:space="preserve">4992</w:t>
            </w:r>
          </w:p>
        </w:tc>
        <w:tc>
          <w:tcPr>
            <w:tcW w:w="2400" w:type="dxa"/>
          </w:tcPr>
          <w:p>
            <w:r>
              <w:t xml:space="preserve">Request #4992 ? 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Under consideration</w:t>
            </w:r>
          </w:p>
        </w:tc>
        <w:tc>
          <w:tcPr>
            <w:tcW w:w="2400" w:type="dxa"/>
          </w:tcPr>
          <w:p>
            <w:r>
              <w:t xml:space="preserve">Statistics Division</w:t>
            </w:r>
          </w:p>
        </w:tc>
        <w:tc>
          <w:tcPr>
            <w:tcW w:w="2400" w:type="dxa"/>
          </w:tcPr>
          <w:p>
            <w:r>
              <w:t xml:space="preserve">31 May 2024</w:t>
            </w:r>
          </w:p>
        </w:tc>
        <w:tc>
          <w:tcPr>
            <w:tcW w:w="2400" w:type="dxa"/>
          </w:tcPr>
          <w:p>
            <w:r>
              <w:t xml:space="preserve">09 Sept 2024</w:t>
            </w:r>
          </w:p>
        </w:tc>
        <w:tc>
          <w:tcPr>
            <w:tcW w:w="2400" w:type="dxa"/>
          </w:tcPr>
          <w:p>
            <w:r>
              <w:t xml:space="preserve">12 Sept 2024</w:t>
            </w:r>
          </w:p>
        </w:tc>
        <w:tc>
          <w:tcPr>
            <w:tcW w:w="2400" w:type="dxa"/>
          </w:tcPr>
          <w:p>
            <w:r>
              <w:t xml:space="preserve">Marko Javorsek | marko.javorsek@un.org</w:t>
            </w:r>
          </w:p>
        </w:tc>
        <w:tc>
          <w:tcPr>
            <w:tcW w:w="2400" w:type="dxa"/>
          </w:tcPr>
          <w:p>
            <w:r>
              <w:t xml:space="preserve">Training Workshop on an Accounting Approach to Climate Change and Biodiversity in Central Asia and the Caucasus, 9-12 September 2024, Bishkek, Kyrgyzstan / Climate change and biodiversity loss are some of the most pressing policy issues globally, given their wide-ranging impacts on well-being. Many of the countries in the Central Asia and the Caucasus region are particularly vulnerable to the adverse effects of climate change and biodiversity loss due to their geographic location. To effectively devise climate change mitigation and adaptation strategies and biodiversity loss prevention policies, countries in the region need reliable statistics and indicators on climate change impacts and biodiversity. These statistics and indicators also need to take into account the economic impacts of climate change and biodiversity, for example, the vulnerabilities of different economic sectors to climate impacts and or the state of ecosystems and the ecosystem services they provide. Integrated statistics on the environment-economy nexus will ensure that countries in the region can create policies which mitigate and adapt to climate change and biodiversity loss while strengthening their economies. / National statistical offices in the region are well placed to produce statistics on the environment-economy nexus, which can be compiled according to the international statistical standard, the System of Environmental-Economic Accounting (SEEA). At the same time, there is a need to strengthen their capabilities to produce and disseminate related statistics and indicators to better meet user needs. This workshop will cover SEEA energy and air emission accounts, and ecosystem accounts to support the compilation of indicators relevant to climate change and biodiversity. It will also cover dissemination practices and institutional mechanisms needed to strengthen the institutions producing these statistics. / The target audience are officials from national statistical offices, ministries of environment and experts from other relevant government agencies, from the nine countries that will be invited to the will be invited to the Workshop, namely Armenia, Azerbaijan, Georgia, Kazakhstan, Kyrgyzstan, Mongolia, Tajikistan, Turkmenistan and Uzbekistan.</w:t>
            </w:r>
          </w:p>
        </w:tc>
        <w:tc>
          <w:tcPr>
            <w:tcW w:w="2400" w:type="dxa"/>
          </w:tcPr>
          <w:p>
            <w:r>
              <w:t xml:space="preserve"/>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r>
      <w:tr>
        <w:tc>
          <w:tcPr>
            <w:tcW w:w="2400" w:type="dxa"/>
          </w:tcPr>
          <w:p>
            <w:r>
              <w:t xml:space="preserve">2576</w:t>
            </w:r>
          </w:p>
        </w:tc>
        <w:tc>
          <w:tcPr>
            <w:tcW w:w="2400" w:type="dxa"/>
          </w:tcPr>
          <w:p>
            <w:r>
              <w:t xml:space="preserve">Request #2576 ? Ratification and implementation of the Convention</w:t>
            </w:r>
          </w:p>
        </w:tc>
        <w:tc>
          <w:tcPr>
            <w:tcW w:w="2400" w:type="dxa"/>
          </w:tcPr>
          <w:p>
            <w:r>
              <w:t xml:space="preserve">Completed</w:t>
            </w:r>
          </w:p>
        </w:tc>
        <w:tc>
          <w:tcPr>
            <w:tcW w:w="2400" w:type="dxa"/>
          </w:tcPr>
          <w:p>
            <w:r>
              <w:t xml:space="preserve">Division for Inclusive Social Development</w:t>
            </w:r>
          </w:p>
        </w:tc>
        <w:tc>
          <w:tcPr>
            <w:tcW w:w="2400" w:type="dxa"/>
          </w:tcPr>
          <w:p>
            <w:r>
              <w:t xml:space="preserve">30 Mar 2016</w:t>
            </w:r>
          </w:p>
        </w:tc>
        <w:tc>
          <w:tcPr>
            <w:tcW w:w="2400" w:type="dxa"/>
          </w:tcPr>
          <w:p>
            <w:r>
              <w:t xml:space="preserve">01 Jul 2016</w:t>
            </w:r>
          </w:p>
        </w:tc>
        <w:tc>
          <w:tcPr>
            <w:tcW w:w="2400" w:type="dxa"/>
          </w:tcPr>
          <w:p>
            <w:r>
              <w:t xml:space="preserve">31 Oct 2016</w:t>
            </w:r>
          </w:p>
        </w:tc>
        <w:tc>
          <w:tcPr>
            <w:tcW w:w="2400" w:type="dxa"/>
          </w:tcPr>
          <w:p>
            <w:r>
              <w:t xml:space="preserve">A. Asatryan | info@mlsa.am</w:t>
            </w:r>
          </w:p>
        </w:tc>
        <w:tc>
          <w:tcPr>
            <w:tcW w:w="2400" w:type="dxa"/>
          </w:tcPr>
          <w:p>
            <w:r>
              <w:t xml:space="preserve">Ratification and implementation of the Convention</w:t>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GeoData_with_ISO3166_alpha3.xlsx: last modified 2026-05-22, more than 30 days before ingestion (134 days).</w:t>
            </w:r>
          </w:p>
        </w:tc>
      </w:tr>
      <w:tr>
        <w:tc>
          <w:tcPr>
            <w:tcW w:w="2400" w:type="dxa"/>
          </w:tcPr>
          <w:p>
            <w:r>
              <w:t xml:space="preserve">2</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3</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5</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6</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7</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8</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9</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10</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11</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12</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13</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14</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15</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16</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17</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18</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19</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20</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21</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22</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23</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24</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25</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26</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27</w:t>
            </w:r>
          </w:p>
        </w:tc>
        <w:tc>
          <w:tcPr>
            <w:tcW w:w="2400" w:type="dxa"/>
          </w:tcPr>
          <w:p>
            <w:r>
              <w:t xml:space="preserve">Resolved - Action: duplicate evaluation at evaluations.xlsx row 306 removed; retained row 297 ().</w:t>
            </w:r>
          </w:p>
        </w:tc>
      </w:tr>
      <w:tr>
        <w:tc>
          <w:tcPr>
            <w:tcW w:w="2400" w:type="dxa"/>
          </w:tcPr>
          <w:p>
            <w:r>
              <w:t xml:space="preserve">28</w:t>
            </w:r>
          </w:p>
        </w:tc>
        <w:tc>
          <w:tcPr>
            <w:tcW w:w="2400" w:type="dxa"/>
          </w:tcPr>
          <w:p>
            <w:r>
              <w:t xml:space="preserve">Resolved - Action: duplicate evaluation at evaluations.xlsx row 332 removed; retained row 302 ().</w:t>
            </w:r>
          </w:p>
        </w:tc>
      </w:tr>
      <w:tr>
        <w:tc>
          <w:tcPr>
            <w:tcW w:w="2400" w:type="dxa"/>
          </w:tcPr>
          <w:p>
            <w:r>
              <w:t xml:space="preserve">29</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30</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31</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33</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34</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35</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36</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37</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38</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39</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40</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41</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42</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43</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44</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45</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46</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47</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48</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