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Azerbaijan</w:t>
      </w:r>
    </w:p>
    <w:p>
      <w:r>
        <w:rPr>
          <w:sz w:val="20"/>
          <w:color w:val="4B5563"/>
        </w:rPr>
        <w:t xml:space="preserve">Asia | LLDC</w:t>
      </w:r>
    </w:p>
    <w:p>
      <w:r>
        <w:rPr>
          <w:sz w:val="20"/>
          <w:color w:val="4B5563"/>
        </w:rPr>
        <w:t xml:space="preserve">Exported 05 Oct 2026, 14:20 | Snapshot 03 Oct 2026, 21:47 GMT-4</w:t>
      </w:r>
    </w:p>
    <w:p>
      <w:r>
        <w:rPr>
          <w:b/>
          <w:sz w:val="28"/>
          <w:color w:val="174A7C"/>
        </w:rPr>
        <w:t xml:space="preserve">Summary</w:t>
      </w:r>
    </w:p>
    <w:p>
      <w:r>
        <w:t xml:space="preserve">Azerbaijan is presented in this country card as part of Asia, with Azerbaijan also associated with an unspecified subregion and the LLDC grouping. The filtered data for Azerbaijan highlights 0 projects for Azerbaijan, including 0 active or planned projects for Azerbaijan and 0 completed or closed projects for Azerbaijan.</w:t>
      </w:r>
    </w:p>
    <w:p>
      <w:r>
        <w:t xml:space="preserve">For Azerbaijan, the report includes 10 requests for Azerbaijan, 0 RPTC proposals for Azerbaijan, 1 RPTC activities for Azerbaijan, and 4 travel records for Azerbaijan. Financially, Azerbaijan shows Not provided in project budget, $0 in proposal planned budget, and $6,688 in consumed RPTC activity budget for Azerbaijan.</w:t>
      </w:r>
    </w:p>
    <w:p>
      <w:r>
        <w:t xml:space="preserve">The main organizational coverage for Azerbaijan points to Division for Public Institutions and Digital Government, Financing for Sustainable Development Office, FSDO, Statistics Division. Activity records for Azerbaijan list 1,299 participants, including 665 women participants, the current quality review for Azerbaijan includes 51 data quality notes. Current highlights for Azerbaijan include a request focus for Azerbaijan: Request #5352 ? The Financing for Sustainable Development Office (FSDO) of the United Nations Department of Economic and Social Affairs (DESA) organized a Regional Workshop on Transfer Pricing in Asia-Pacific, held from 25 to 29 August 2025 in Incheon, Republic of Korea. </w:t>
      </w:r>
      <w:r>
        <w:br/>
        <w:t xml:space="preserve"/>
      </w:r>
      <w:r>
        <w:br/>
        <w:t xml:space="preserve">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w:t>
      </w:r>
      <w:r>
        <w:br/>
        <w:t xml:space="preserve"/>
      </w:r>
      <w:r>
        <w:br/>
        <w:t xml:space="preserve">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w:t>
      </w:r>
      <w:r>
        <w:br/>
        <w:t xml:space="preserve"/>
      </w:r>
      <w:r>
        <w:br/>
        <w:t xml:space="preserve">Delivered in English, the workshop contributed to ongoing capacity-building efforts, enhancing the ability of tax officials to effectively address complex international tax issues.; an activity focus for Azerbaijan: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4</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5352</w:t>
            </w:r>
          </w:p>
        </w:tc>
        <w:tc>
          <w:tcPr>
            <w:tcW w:w="2400" w:type="dxa"/>
          </w:tcPr>
          <w:p>
            <w:r>
              <w:t xml:space="preserve">Request #5352 ? 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27 May 2025</w:t>
            </w:r>
          </w:p>
        </w:tc>
        <w:tc>
          <w:tcPr>
            <w:tcW w:w="2400" w:type="dxa"/>
          </w:tcPr>
          <w:p>
            <w:r>
              <w:t xml:space="preserve">25 Aug 2025</w:t>
            </w:r>
          </w:p>
        </w:tc>
        <w:tc>
          <w:tcPr>
            <w:tcW w:w="2400" w:type="dxa"/>
          </w:tcPr>
          <w:p>
            <w:r>
              <w:t xml:space="preserve">29 Aug 2025</w:t>
            </w:r>
          </w:p>
        </w:tc>
        <w:tc>
          <w:tcPr>
            <w:tcW w:w="2400" w:type="dxa"/>
          </w:tcPr>
          <w:p>
            <w:r>
              <w:t xml:space="preserve">FSDO following request from Member States | fsdcapdev@un.org</w:t>
            </w:r>
          </w:p>
        </w:tc>
        <w:tc>
          <w:tcPr>
            <w:tcW w:w="2400" w:type="dxa"/>
          </w:tcPr>
          <w:p>
            <w:r>
              <w:t xml:space="preserve">The Financing for Sustainable Development Office (FSDO) of the United Nations Department of Economic and Social Affairs (DESA) organized a Regional Workshop on Transfer Pricing in Asia-Pacific, held from 25 to 29 August 2025 in Incheon, Republic of Korea.  / The workshop responded directly to countries' demand for practical tools and training on transfer pricing, aimed at strengthening domestic resource mobilization to support sustainable development. Transfer pricing â€” the pricing of cross-border transactions involving goods, services, or intangibles between related entitiesâ€” has gained increasing global attention due to its significant implications for equitable taxation and sustainable development.  / Developing countries face considerable challenges in this area, including a high risk of profit shifting and limited access to specialized training and resources available to policy makers and tax administrations. The workshop brought together 23 participants (39% female) from 23 countries across the Asia-Pacific region, including least developed countries (LDCs), landlocked developing countries (LLDCs), and small island developing states (SIDS). Participants engaged in hands-on training on transfer pricing principles, using practical case studies to illustrate challenges frequently encountered by tax officials during audits of real-life transfer pricing cases.  / Delivered in English, the workshop contributed to ongoing capacity-building efforts, enhancing the ability of tax officials to effectively address complex international tax issues.</w:t>
            </w:r>
          </w:p>
        </w:tc>
        <w:tc>
          <w:tcPr>
            <w:tcW w:w="2400" w:type="dxa"/>
          </w:tcPr>
          <w:p>
            <w:r>
              <w:t xml:space="preserve">Country standardized: 'Sri Lanka' -&gt; 'Democratic Socialist Republic of Sri Lanka'.</w:t>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r>
      <w:tr>
        <w:tc>
          <w:tcPr>
            <w:tcW w:w="2400" w:type="dxa"/>
          </w:tcPr>
          <w:p>
            <w:r>
              <w:t xml:space="preserve">4196</w:t>
            </w:r>
          </w:p>
        </w:tc>
        <w:tc>
          <w:tcPr>
            <w:tcW w:w="2400" w:type="dxa"/>
          </w:tcPr>
          <w:p>
            <w:r>
              <w:t xml:space="preserve">Request #4196 ? DPIDG was requested to organize the UNPS Forum, composed of several capacity development workshops, to contribute to developing the capacity of governments to anticipate the various challenges posed by the implementation of the 2030 Agenda. The Government of Azerbaijan also hosted the 2019 United Nations Public Service Awards (UNPSA) Ceremony where the winners of the UNPSA were awarded during the celebration of the UN Public Service Day.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Jun 2022</w:t>
            </w:r>
          </w:p>
        </w:tc>
        <w:tc>
          <w:tcPr>
            <w:tcW w:w="2400" w:type="dxa"/>
          </w:tcPr>
          <w:p>
            <w:r>
              <w:t xml:space="preserve">24 Jun 2019</w:t>
            </w:r>
          </w:p>
        </w:tc>
        <w:tc>
          <w:tcPr>
            <w:tcW w:w="2400" w:type="dxa"/>
          </w:tcPr>
          <w:p>
            <w:r>
              <w:t xml:space="preserve">27 Jun 2019</w:t>
            </w:r>
          </w:p>
        </w:tc>
        <w:tc>
          <w:tcPr>
            <w:tcW w:w="2400" w:type="dxa"/>
          </w:tcPr>
          <w:p>
            <w:r>
              <w:t xml:space="preserve">Ulv Mehdiev | na@na</w:t>
            </w:r>
          </w:p>
        </w:tc>
        <w:tc>
          <w:tcPr>
            <w:tcW w:w="2400" w:type="dxa"/>
          </w:tcPr>
          <w:p>
            <w:r>
              <w:t xml:space="preserve">DPIDG was requested to organize the UNPS Forum, composed of several capacity development workshops, to contribute to developing the capacity of governments to anticipate the various challenges posed by the implementation of the 2030 Agenda. The Government of Azerbaijan also hosted the 2019 United Nations Public Service Awards (UNPSA) Ceremony where the winners of the UNPSA were awarded during the celebration of the UN Public Service Day.</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3906</w:t>
            </w:r>
          </w:p>
        </w:tc>
        <w:tc>
          <w:tcPr>
            <w:tcW w:w="2400" w:type="dxa"/>
          </w:tcPr>
          <w:p>
            <w:r>
              <w:t xml:space="preserve">Request #3906 ? The activity was mandated by ECOSOC resolutions 2020/21 (para. 9) and 2021/12 (para. 9) based on CEPA deliberations and recommendations on putting the principles of effective governance for sustainable development into practice. ECOSOC specifically encourages the Committee to continue to identify and review related technical guidelines to operationalize the principles, including from sectoral perspectives, and to further engage the relevant United Nations organizations, regional organizations and professional and academic communities in this regard, in an inclusive manner, together with all relevant stakeholders.  In accordance with the Committeeâ€™s terms of reference, policy makers in centres of Government, ministries of finance, planning and public administration of developing countries, least developed countries, countries with economies in transition and countries emerging from conflict are the primary beneficiaries.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Jun 2021</w:t>
            </w:r>
          </w:p>
        </w:tc>
        <w:tc>
          <w:tcPr>
            <w:tcW w:w="2400" w:type="dxa"/>
          </w:tcPr>
          <w:p>
            <w:r>
              <w:t xml:space="preserve">01 Jul 2021</w:t>
            </w:r>
          </w:p>
        </w:tc>
        <w:tc>
          <w:tcPr>
            <w:tcW w:w="2400" w:type="dxa"/>
          </w:tcPr>
          <w:p>
            <w:r>
              <w:t xml:space="preserve">08 Mar 2022</w:t>
            </w:r>
          </w:p>
        </w:tc>
        <w:tc>
          <w:tcPr>
            <w:tcW w:w="2400" w:type="dxa"/>
          </w:tcPr>
          <w:p>
            <w:r>
              <w:t xml:space="preserve">ECOSOC | spearing@un.org</w:t>
            </w:r>
          </w:p>
        </w:tc>
        <w:tc>
          <w:tcPr>
            <w:tcW w:w="2400" w:type="dxa"/>
          </w:tcPr>
          <w:p>
            <w:r>
              <w:t xml:space="preserve">The activity was mandated by ECOSOC resolutions 2020/21 (para. 9) and 2021/12 (para. 9) based on CEPA deliberations and recommendations on putting the principles of effective governance for sustainable development into practice. ECOSOC specifically encourages the Committee to continue to identify and review related technical guidelines to operationalize the principles, including from sectoral perspectives, and to further engage the relevant United Nations organizations, regional organizations and professional and academic communities in this regard, in an inclusive manner, together with all relevant stakeholders.  In accordance with the Committeeâ€™s terms of reference, policy makers in centres of Government, ministries of finance, planning and public administration of developing countries, least developed countries, countries with economies in transition and countries emerging from conflict are the primary beneficiaries.</w:t>
            </w:r>
          </w:p>
        </w:tc>
        <w:tc>
          <w:tcPr>
            <w:tcW w:w="2400" w:type="dxa"/>
          </w:tcPr>
          <w:p>
            <w:r>
              <w:t xml:space="preserve"/>
            </w:r>
          </w:p>
        </w:tc>
      </w:tr>
      <w:tr>
        <w:tc>
          <w:tcPr>
            <w:tcW w:w="2400" w:type="dxa"/>
          </w:tcPr>
          <w:p>
            <w:r>
              <w:t xml:space="preserve">3611</w:t>
            </w:r>
          </w:p>
        </w:tc>
        <w:tc>
          <w:tcPr>
            <w:tcW w:w="2400" w:type="dxa"/>
          </w:tcPr>
          <w:p>
            <w:r>
              <w:t xml:space="preserve">Request #3611 ? UNDP-UNFP joint project proposal on the INFF funded under the SDG Joint Fund: request to provide expert support on green economy and green growth strategies and policies component of the project implementation of the project.</w:t>
            </w:r>
          </w:p>
        </w:tc>
        <w:tc>
          <w:tcPr>
            <w:tcW w:w="2400" w:type="dxa"/>
          </w:tcPr>
          <w:p>
            <w:r>
              <w:t xml:space="preserve">Completed</w:t>
            </w:r>
          </w:p>
        </w:tc>
        <w:tc>
          <w:tcPr>
            <w:tcW w:w="2400" w:type="dxa"/>
          </w:tcPr>
          <w:p>
            <w:r>
              <w:t xml:space="preserve">Economic Analysis and Policy Division</w:t>
            </w:r>
          </w:p>
        </w:tc>
        <w:tc>
          <w:tcPr>
            <w:tcW w:w="2400" w:type="dxa"/>
          </w:tcPr>
          <w:p>
            <w:r>
              <w:t xml:space="preserve">31 Mar 2020</w:t>
            </w:r>
          </w:p>
        </w:tc>
        <w:tc>
          <w:tcPr>
            <w:tcW w:w="2400" w:type="dxa"/>
          </w:tcPr>
          <w:p>
            <w:r>
              <w:t xml:space="preserve">01 May 2020</w:t>
            </w:r>
          </w:p>
        </w:tc>
        <w:tc>
          <w:tcPr>
            <w:tcW w:w="2400" w:type="dxa"/>
          </w:tcPr>
          <w:p>
            <w:r>
              <w:t xml:space="preserve">31 Dec 2020</w:t>
            </w:r>
          </w:p>
        </w:tc>
        <w:tc>
          <w:tcPr>
            <w:tcW w:w="2400" w:type="dxa"/>
          </w:tcPr>
          <w:p>
            <w:r>
              <w:t xml:space="preserve">Tarek Cheniti | tarek.cheniti@un.org</w:t>
            </w:r>
          </w:p>
        </w:tc>
        <w:tc>
          <w:tcPr>
            <w:tcW w:w="2400" w:type="dxa"/>
          </w:tcPr>
          <w:p>
            <w:r>
              <w:t xml:space="preserve">UNDP-UNFP joint project proposal on the INFF funded under the SDG Joint Fund: request to provide expert support on green economy and green growth strategies and policies component of the project implementation of the project.</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0002026616 - Azerbaijan</w:t>
            </w:r>
          </w:p>
        </w:tc>
        <w:tc>
          <w:tcPr>
            <w:tcW w:w="2400" w:type="dxa"/>
          </w:tcPr>
          <w:p>
            <w:r>
              <w:t xml:space="preserve">0002026616</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OFFICE FOR INTERGOVERNMENTAL SUPPORT AND COORDINATION FOR SUSTAINABLE DEVELOPMENT</w:t>
            </w:r>
          </w:p>
        </w:tc>
        <w:tc>
          <w:tcPr>
            <w:tcW w:w="2400" w:type="dxa"/>
          </w:tcPr>
          <w:p>
            <w:r>
              <w:t xml:space="preserve">OISC_NOCOST_TO SPEAK AT NGO RELATED EVENTS_BAKU_2225 APRIL</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0002063586 - Azerbaijan</w:t>
            </w:r>
          </w:p>
        </w:tc>
        <w:tc>
          <w:tcPr>
            <w:tcW w:w="2400" w:type="dxa"/>
          </w:tcPr>
          <w:p>
            <w:r>
              <w:t xml:space="preserve">0002063586</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DIVISION FOR PUBLIC INSTITUTIONS AND DIGITAL GOVERNMENT</w:t>
            </w:r>
          </w:p>
        </w:tc>
        <w:tc>
          <w:tcPr>
            <w:tcW w:w="2400" w:type="dxa"/>
          </w:tcPr>
          <w:p>
            <w:r>
              <w:t xml:space="preserve">KEYNOTE SPEAKER AT BAKU EPARTICIAPTION EVENT</w:t>
            </w:r>
          </w:p>
        </w:tc>
        <w:tc>
          <w:tcPr>
            <w:tcW w:w="2400" w:type="dxa"/>
          </w:tcPr>
          <w:p>
            <w:r>
              <w:t xml:space="preserve"/>
            </w:r>
          </w:p>
        </w:tc>
        <w:tc>
          <w:tcPr>
            <w:tcW w:w="2400" w:type="dxa"/>
          </w:tcPr>
          <w:p>
            <w:r>
              <w:t xml:space="preserve">26 Apr 2025</w:t>
            </w:r>
          </w:p>
        </w:tc>
        <w:tc>
          <w:tcPr>
            <w:tcW w:w="2400" w:type="dxa"/>
          </w:tcPr>
          <w:p>
            <w:r>
              <w:t xml:space="preserve">30 Apr 2025</w:t>
            </w:r>
          </w:p>
        </w:tc>
      </w:tr>
      <w:tr>
        <w:tc>
          <w:tcPr>
            <w:tcW w:w="2400" w:type="dxa"/>
          </w:tcPr>
          <w:p>
            <w:r>
              <w:t xml:space="preserve">0002290861 - Azerbaijan</w:t>
            </w:r>
          </w:p>
        </w:tc>
        <w:tc>
          <w:tcPr>
            <w:tcW w:w="2400" w:type="dxa"/>
          </w:tcPr>
          <w:p>
            <w:r>
              <w:t xml:space="preserve">0002290861</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POPULATION DIVISION</w:t>
            </w:r>
          </w:p>
        </w:tc>
        <w:tc>
          <w:tcPr>
            <w:tcW w:w="2400" w:type="dxa"/>
          </w:tcPr>
          <w:p>
            <w:r>
              <w:t xml:space="preserve">RB/NOCMAKE PRESENTATION ON WORLD URBANIZATION PROSPECTS</w:t>
            </w:r>
          </w:p>
        </w:tc>
        <w:tc>
          <w:tcPr>
            <w:tcW w:w="2400" w:type="dxa"/>
          </w:tcPr>
          <w:p>
            <w:r>
              <w:t xml:space="preserve"/>
            </w:r>
          </w:p>
        </w:tc>
        <w:tc>
          <w:tcPr>
            <w:tcW w:w="2400" w:type="dxa"/>
          </w:tcPr>
          <w:p>
            <w:r>
              <w:t xml:space="preserve">16 May 2026</w:t>
            </w:r>
          </w:p>
        </w:tc>
        <w:tc>
          <w:tcPr>
            <w:tcW w:w="2400" w:type="dxa"/>
          </w:tcPr>
          <w:p>
            <w:r>
              <w:t xml:space="preserve">20 May 2026</w:t>
            </w:r>
          </w:p>
        </w:tc>
      </w:tr>
      <w:tr>
        <w:tc>
          <w:tcPr>
            <w:tcW w:w="2400" w:type="dxa"/>
          </w:tcPr>
          <w:p>
            <w:r>
              <w:t xml:space="preserve">0002306380 - Azerbaijan</w:t>
            </w:r>
          </w:p>
        </w:tc>
        <w:tc>
          <w:tcPr>
            <w:tcW w:w="2400" w:type="dxa"/>
          </w:tcPr>
          <w:p>
            <w:r>
              <w:t xml:space="preserve">0002306380</w:t>
            </w:r>
          </w:p>
        </w:tc>
        <w:tc>
          <w:tcPr>
            <w:tcW w:w="2400" w:type="dxa"/>
          </w:tcPr>
          <w:p>
            <w:r>
              <w:t xml:space="preserve">Past</w:t>
            </w:r>
          </w:p>
        </w:tc>
        <w:tc>
          <w:tcPr>
            <w:tcW w:w="2400" w:type="dxa"/>
          </w:tcPr>
          <w:p>
            <w:r>
              <w:t xml:space="preserve">Azerbaijan</w:t>
            </w:r>
          </w:p>
        </w:tc>
        <w:tc>
          <w:tcPr>
            <w:tcW w:w="2400" w:type="dxa"/>
          </w:tcPr>
          <w:p>
            <w:r>
              <w:t xml:space="preserve"/>
            </w:r>
          </w:p>
        </w:tc>
        <w:tc>
          <w:tcPr>
            <w:tcW w:w="2400" w:type="dxa"/>
          </w:tcPr>
          <w:p>
            <w:r>
              <w:t xml:space="preserve">DIVISION FOR PUBLIC INSTITUTIONS AND DIGITAL GOVERNMENT</w:t>
            </w:r>
          </w:p>
        </w:tc>
        <w:tc>
          <w:tcPr>
            <w:tcW w:w="2400" w:type="dxa"/>
          </w:tcPr>
          <w:p>
            <w:r>
              <w:t xml:space="preserve">EREGIONAL EGOVERNMENT EXPERTS WORKSHOP BAKU  SPEAKER</w:t>
            </w:r>
          </w:p>
        </w:tc>
        <w:tc>
          <w:tcPr>
            <w:tcW w:w="2400" w:type="dxa"/>
          </w:tcPr>
          <w:p>
            <w:r>
              <w:t xml:space="preserve"/>
            </w:r>
          </w:p>
        </w:tc>
        <w:tc>
          <w:tcPr>
            <w:tcW w:w="2400" w:type="dxa"/>
          </w:tcPr>
          <w:p>
            <w:r>
              <w:t xml:space="preserve">29 Jun 2026</w:t>
            </w:r>
          </w:p>
        </w:tc>
        <w:tc>
          <w:tcPr>
            <w:tcW w:w="2400" w:type="dxa"/>
          </w:tcPr>
          <w:p>
            <w:r>
              <w:t xml:space="preserve">02 Jul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national policy capacities for jointly building the Belt and Road towards the Sustainable Development Goals</w:t>
            </w:r>
          </w:p>
        </w:tc>
        <w:tc>
          <w:tcPr>
            <w:tcW w:w="2400" w:type="dxa"/>
          </w:tcPr>
          <w:p>
            <w:r>
              <w:t xml:space="preserve">2021</w:t>
            </w:r>
          </w:p>
        </w:tc>
        <w:tc>
          <w:tcPr>
            <w:tcW w:w="2400" w:type="dxa"/>
          </w:tcPr>
          <w:p>
            <w:r>
              <w:t xml:space="preserve">EAPD</w:t>
            </w:r>
          </w:p>
        </w:tc>
        <w:tc>
          <w:tcPr>
            <w:tcW w:w="2400" w:type="dxa"/>
          </w:tcPr>
          <w:p>
            <w:r>
              <w:t xml:space="preserve">Azerbaijan, Bangladesh, Cambodia, Democratic Socialist Republic of Sri Lanka, Georgia, Kazakhstan, Kyrgyzstan, Lao People's Democratic Republic, Mongolia, Myanmar, Romania, Serbia, Thailand</w:t>
            </w:r>
          </w:p>
        </w:tc>
        <w:tc>
          <w:tcPr>
            <w:tcW w:w="2400" w:type="dxa"/>
          </w:tcPr>
          <w:p>
            <w:r>
              <w:t xml:space="preserve">- The United Nations should support UNDESA's request to extend the project on maritime issues to 15 countries, given the positive feedback and desire for extension from beneficiaries. / - If the project is extended to other countries, ensure diversity among beneficiaries, including countries from the African continent and preferably low-income countries. / - Improve the preparation and estimation of project needs and costs for future extensions, dedicating necessary resources for optimal project preparation. / - Consider the use of appropriate online cooperation tools to compensate for any events that might be canceled due to travel and meeting constraints if the project is extended. / - If the project is extended, compare the simulations performed on the impact of BRI on the SDGs with the WEFM-e model to those performed by other researchers or institutions. / - Organize Massive Open Online Courses (MOOCs) to promote the WEFM-e model and teach its use, enabling rapid dissemination of knowledge acquired in project workshops.</w:t>
            </w:r>
          </w:p>
        </w:tc>
        <w:tc>
          <w:tcPr>
            <w:tcW w:w="2400" w:type="dxa"/>
          </w:tcPr>
          <w:p>
            <w:r>
              <w:t xml:space="preserve">- Early changes in project definition, such as reducing the number of beneficiary countries, can be appropriate if made promptly and based on available resources. / - Sequencing project implementation by country packages rather than addressing all countries simultaneously can be effective, especially when resources are limited. / - Adapting project activities and tools, such as introducing online training modules, can help mitigate disruptions caused by unforeseen events like the Covid-19 pandemic. / - Building on lessons from previous capacity-building projects and pilot experiences can improve project design and implementation. / - Strong cooperation with other United Nations offices and agencies enhances project efficiency and effectiveness. / - Sustainability of project results depends on the willingness of participants and their institutions to disseminate and continue learning, supported by online tools and follow-up activities.</w:t>
            </w:r>
          </w:p>
        </w:tc>
        <w:tc>
          <w:tcPr>
            <w:tcW w:w="2400" w:type="dxa"/>
          </w:tcPr>
          <w:p>
            <w:r>
              <w:t xml:space="preserve">https://unitednations.sharepoint.com/sites/DESA-CDPMO/Shared Documents/General/6. Peace and Development TF/8. Funded projects/Evaluations_Fin. Rep/2021_PDF-SDG-2016-02_Eval_EAPD_13Jan22.docx</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evaluations.xlsx record 'row:8': Country text 'Czechoslovakia' could not be matched; no country assignment was inferred. / evaluations.xlsx rows 14 (archived) and 8 (retained): Review conflicts: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'row:8': Country text 'Czechoslovakia' could not be matched; no country assignment was inferred.</w:t>
            </w:r>
          </w:p>
        </w:tc>
      </w:tr>
      <w:tr>
        <w:tc>
          <w:tcPr>
            <w:tcW w:w="2400" w:type="dxa"/>
          </w:tcPr>
          <w:p>
            <w:r>
              <w:t xml:space="preserve">3</w:t>
            </w:r>
          </w:p>
        </w:tc>
        <w:tc>
          <w:tcPr>
            <w:tcW w:w="2400" w:type="dxa"/>
          </w:tcPr>
          <w:p>
            <w:r>
              <w:t xml:space="preserve">evaluations.xlsx rows 14 (archived) and 8 (retained): Review conflicts: LessonsLearnedList differs between document copies. Country lists were not merged.</w:t>
            </w:r>
          </w:p>
        </w:tc>
      </w:tr>
      <w:tr>
        <w:tc>
          <w:tcPr>
            <w:tcW w:w="2400" w:type="dxa"/>
          </w:tcPr>
          <w:p>
            <w:r>
              <w:t xml:space="preserve">4</w:t>
            </w:r>
          </w:p>
        </w:tc>
        <w:tc>
          <w:tcPr>
            <w:tcW w:w="2400" w:type="dxa"/>
          </w:tcPr>
          <w:p>
            <w:r>
              <w:t xml:space="preserve">GeoData_with_ISO3166_alpha3.xlsx: last modified 2026-05-22, more than 30 days before ingestion (134 days).</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