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Burundi</w:t>
      </w:r>
    </w:p>
    <w:p>
      <w:r>
        <w:rPr>
          <w:sz w:val="20"/>
          <w:color w:val="4B5563"/>
        </w:rPr>
        <w:t xml:space="preserve">Africa | LDC | LLDC</w:t>
      </w:r>
    </w:p>
    <w:p>
      <w:r>
        <w:rPr>
          <w:sz w:val="20"/>
          <w:color w:val="4B5563"/>
        </w:rPr>
        <w:t xml:space="preserve">Exported 05 Oct 2026, 14:20 | Snapshot 03 Oct 2026, 21:47 GMT-4</w:t>
      </w:r>
    </w:p>
    <w:p>
      <w:r>
        <w:rPr>
          <w:b/>
          <w:sz w:val="28"/>
          <w:color w:val="174A7C"/>
        </w:rPr>
        <w:t xml:space="preserve">Summary</w:t>
      </w:r>
    </w:p>
    <w:p>
      <w:r>
        <w:t xml:space="preserve">Burundi is presented in this country card as part of Africa, with Burundi also associated with an unspecified subregion and the LDC, LLDC grouping. The filtered data for Burundi highlights 3 projects for Burundi, including 0 active or planned projects for Burundi and 3 completed or closed projects for Burundi.</w:t>
      </w:r>
    </w:p>
    <w:p>
      <w:r>
        <w:t xml:space="preserve">For Burundi, the report includes 13 requests for Burundi, 5 RPTC proposals for Burundi, 2 RPTC activities for Burundi, and 0 travel records for Burundi. Financially, Burundi shows USD 12,922,229 in project budget, $353,201 in proposal planned budget, and $309,866 in consumed RPTC activity budget for Burundi.</w:t>
      </w:r>
    </w:p>
    <w:p>
      <w:r>
        <w:t xml:space="preserve">The main organizational coverage for Burundi points to DPIDG, DSDG, Financing for Sustainable Development Office, PD. Activity records for Burundi list 2,108 participants, including 96 women participants, the current quality review for Burundi includes 68 data quality notes. Current highlights for Burundi include a request focus for Burundi: Request #5575 ? Artificial intelligence (AI) is becoming a primary channel through which users access information. Yet many AI systems rely on secondary sources and cannot directly interact with structured official data and metadata, increasing the risk of omission, misinterpretation or insufficient citation of authoritative public information. Strengthening the AI-readiness of official data and statistics - ensuring they are discoverable, machine-readable, interoperable and correctly interpretable - is therefore essential for safeguarding accuracy, visibility and trust. </w:t>
      </w:r>
      <w:r>
        <w:br/>
        <w:t xml:space="preserve"/>
      </w:r>
      <w:r>
        <w:br/>
        <w:t xml:space="preserve"/>
      </w:r>
      <w:r>
        <w:br/>
        <w:t xml:space="preserve"/>
      </w:r>
      <w:r>
        <w:br/>
        <w:t xml:space="preserve">This activity is proposed in response to demand of the Member States for capacity building in the area of Artificial Intelligence readiness for Official Statistics. The biennial World Data Forum provides a unique platform for countries to exchange experiences, learn about innovative applications and the latest advancements in AI for official statistics, and explore new opportunities for collaboration and future development. It is proposed that the countries attend the World Data Forum on 9-12 November 2026 as well as a side event on Artificial Intelligence to be held on 8 November 2026.; an RPTC proposal focus for Burundi: Capacity building workshop for developing countries presenting voluntary national reviews at the 2026 HLPF ; an activity focus for Burundi: Capacity building workshop for developing countries presenting voluntary national reviews at the 2026 HLPF.</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3</w:t>
            </w:r>
          </w:p>
        </w:tc>
      </w:tr>
      <w:tr>
        <w:tc>
          <w:tcPr>
            <w:tcW w:w="2400" w:type="dxa"/>
          </w:tcPr>
          <w:p>
            <w:r>
              <w:t xml:space="preserve">Project budget</w:t>
            </w:r>
          </w:p>
        </w:tc>
        <w:tc>
          <w:tcPr>
            <w:tcW w:w="2400" w:type="dxa"/>
          </w:tcPr>
          <w:p>
            <w:r>
              <w:t xml:space="preserve">USD 12,922,229</w:t>
            </w:r>
          </w:p>
        </w:tc>
      </w:tr>
      <w:tr>
        <w:tc>
          <w:tcPr>
            <w:tcW w:w="2400" w:type="dxa"/>
          </w:tcPr>
          <w:p>
            <w:r>
              <w:t xml:space="preserve">Requests</w:t>
            </w:r>
          </w:p>
        </w:tc>
        <w:tc>
          <w:tcPr>
            <w:tcW w:w="2400" w:type="dxa"/>
          </w:tcPr>
          <w:p>
            <w:r>
              <w:t xml:space="preserve">13</w:t>
            </w:r>
          </w:p>
        </w:tc>
      </w:tr>
      <w:tr>
        <w:tc>
          <w:tcPr>
            <w:tcW w:w="2400" w:type="dxa"/>
          </w:tcPr>
          <w:p>
            <w:r>
              <w:t xml:space="preserve">RPTC proposals</w:t>
            </w:r>
          </w:p>
        </w:tc>
        <w:tc>
          <w:tcPr>
            <w:tcW w:w="2400" w:type="dxa"/>
          </w:tcPr>
          <w:p>
            <w:r>
              <w:t xml:space="preserve">5</w:t>
            </w:r>
          </w:p>
        </w:tc>
      </w:tr>
      <w:tr>
        <w:tc>
          <w:tcPr>
            <w:tcW w:w="2400" w:type="dxa"/>
          </w:tcPr>
          <w:p>
            <w:r>
              <w:t xml:space="preserve">Proposal planned budget</w:t>
            </w:r>
          </w:p>
        </w:tc>
        <w:tc>
          <w:tcPr>
            <w:tcW w:w="2400" w:type="dxa"/>
          </w:tcPr>
          <w:p>
            <w:r>
              <w:t xml:space="preserve">$353,201</w:t>
            </w:r>
          </w:p>
        </w:tc>
      </w:tr>
      <w:tr>
        <w:tc>
          <w:tcPr>
            <w:tcW w:w="2400" w:type="dxa"/>
          </w:tcPr>
          <w:p>
            <w:r>
              <w:t xml:space="preserve">RPTC activities</w:t>
            </w:r>
          </w:p>
        </w:tc>
        <w:tc>
          <w:tcPr>
            <w:tcW w:w="2400" w:type="dxa"/>
          </w:tcPr>
          <w:p>
            <w:r>
              <w:t xml:space="preserve">2</w:t>
            </w:r>
          </w:p>
        </w:tc>
      </w:tr>
      <w:tr>
        <w:tc>
          <w:tcPr>
            <w:tcW w:w="2400" w:type="dxa"/>
          </w:tcPr>
          <w:p>
            <w:r>
              <w:t xml:space="preserve">Consumed RPTC budget</w:t>
            </w:r>
          </w:p>
        </w:tc>
        <w:tc>
          <w:tcPr>
            <w:tcW w:w="2400" w:type="dxa"/>
          </w:tcPr>
          <w:p>
            <w:r>
              <w:t xml:space="preserve">$309,866</w:t>
            </w:r>
          </w:p>
        </w:tc>
      </w:tr>
      <w:tr>
        <w:tc>
          <w:tcPr>
            <w:tcW w:w="2400" w:type="dxa"/>
          </w:tcPr>
          <w:p>
            <w:r>
              <w:t xml:space="preserve">Activity participants</w:t>
            </w:r>
          </w:p>
        </w:tc>
        <w:tc>
          <w:tcPr>
            <w:tcW w:w="2400" w:type="dxa"/>
          </w:tcPr>
          <w:p>
            <w:r>
              <w:t xml:space="preserve">2,108</w:t>
            </w:r>
          </w:p>
        </w:tc>
      </w:tr>
      <w:tr>
        <w:tc>
          <w:tcPr>
            <w:tcW w:w="2400" w:type="dxa"/>
          </w:tcPr>
          <w:p>
            <w:r>
              <w:t xml:space="preserve">Women participants</w:t>
            </w:r>
          </w:p>
        </w:tc>
        <w:tc>
          <w:tcPr>
            <w:tcW w:w="2400" w:type="dxa"/>
          </w:tcPr>
          <w:p>
            <w:r>
              <w:t xml:space="preserve">96</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5</w:t>
            </w:r>
          </w:p>
        </w:tc>
      </w:tr>
      <w:tr>
        <w:tc>
          <w:tcPr>
            <w:tcW w:w="2400" w:type="dxa"/>
          </w:tcPr>
          <w:p>
            <w:r>
              <w:t xml:space="preserve">Data quality notes</w:t>
            </w:r>
          </w:p>
        </w:tc>
        <w:tc>
          <w:tcPr>
            <w:tcW w:w="2400" w:type="dxa"/>
          </w:tcPr>
          <w:p>
            <w:r>
              <w:t xml:space="preserve">68</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Monitoring the Sustainable Development Goals</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Aug 2016</w:t>
            </w:r>
          </w:p>
        </w:tc>
        <w:tc>
          <w:tcPr>
            <w:tcW w:w="2400" w:type="dxa"/>
          </w:tcPr>
          <w:p>
            <w:r>
              <w:t xml:space="preserve">31 Jul 2022</w:t>
            </w:r>
          </w:p>
        </w:tc>
        <w:tc>
          <w:tcPr>
            <w:tcW w:w="2400" w:type="dxa"/>
          </w:tcPr>
          <w:p>
            <w:r>
              <w:t xml:space="preserve">USD 9,334,229</w:t>
            </w:r>
          </w:p>
        </w:tc>
        <w:tc>
          <w:tcPr>
            <w:tcW w:w="2400" w:type="dxa"/>
          </w:tcPr>
          <w:p>
            <w:r>
              <w:t xml:space="preserve">Bangladesh, Burundi, Cambodia, Democratic Republic of the Congo, Ethiopia, Ghana, Kyrgyzstan, Lao People's Democratic Republic, Liberia, Mozambique, Myanmar, Nepal, Rwanda, Tajikistan, Uganda, United Republic of Tanzania, Viet Nam, Zambia, Zimbabwe</w:t>
            </w:r>
          </w:p>
        </w:tc>
        <w:tc>
          <w:tcPr>
            <w:tcW w:w="2400" w:type="dxa"/>
          </w:tcPr>
          <w:p>
            <w:r>
              <w:t xml:space="preserve">Country standardized: 'Lao PDR' -&gt; 'Lao People's Democratic Republic'. / Country standardized: 'Tanzania' -&gt; 'United Republic of Tanzania'.</w:t>
            </w:r>
          </w:p>
        </w:tc>
      </w:tr>
      <w:tr>
        <w:tc>
          <w:tcPr>
            <w:tcW w:w="2400" w:type="dxa"/>
          </w:tcPr>
          <w:p>
            <w:r>
              <w:t xml:space="preserve">Statistics and Data Project ‐ Resilient and agile National Statistical Systems (NSS) to meet post COVID‐19 data needs to recover better </w:t>
            </w:r>
          </w:p>
        </w:tc>
        <w:tc>
          <w:tcPr>
            <w:tcW w:w="2400" w:type="dxa"/>
          </w:tcPr>
          <w:p>
            <w:r>
              <w:t xml:space="preserve">2225A</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Sept 2022</w:t>
            </w:r>
          </w:p>
        </w:tc>
        <w:tc>
          <w:tcPr>
            <w:tcW w:w="2400" w:type="dxa"/>
          </w:tcPr>
          <w:p>
            <w:r>
              <w:t xml:space="preserve">31 Oct 2025</w:t>
            </w:r>
          </w:p>
        </w:tc>
        <w:tc>
          <w:tcPr>
            <w:tcW w:w="2400" w:type="dxa"/>
          </w:tcPr>
          <w:p>
            <w:r>
              <w:t xml:space="preserve">USD 3,000,000</w:t>
            </w:r>
          </w:p>
        </w:tc>
        <w:tc>
          <w:tcPr>
            <w:tcW w:w="2400" w:type="dxa"/>
          </w:tcPr>
          <w:p>
            <w:r>
              <w:t xml:space="preserve">Bhutan, Burundi, Dominican Republic, Ecuador, Eritrea, Fiji, Georgia, Indonesia, Jamaica, Jordan, Kazakhstan, Namibia, Republic of Moldova, Senegal, State of Palestine, Tunisia</w:t>
            </w:r>
          </w:p>
        </w:tc>
        <w:tc>
          <w:tcPr>
            <w:tcW w:w="2400" w:type="dxa"/>
          </w:tcPr>
          <w:p>
            <w:r>
              <w:t xml:space="preserve"/>
            </w:r>
          </w:p>
        </w:tc>
      </w:tr>
      <w:tr>
        <w:tc>
          <w:tcPr>
            <w:tcW w:w="2400" w:type="dxa"/>
          </w:tcPr>
          <w:p>
            <w:r>
              <w:t xml:space="preserve">Strengthening capacities of developing countries in sub-Saharan Africa to effectively produce and use population estimates and projections in policy-making for sustainable development</w:t>
            </w:r>
          </w:p>
        </w:tc>
        <w:tc>
          <w:tcPr>
            <w:tcW w:w="2400" w:type="dxa"/>
          </w:tcPr>
          <w:p>
            <w:r>
              <w:t xml:space="preserve">ROA 262</w:t>
            </w:r>
          </w:p>
        </w:tc>
        <w:tc>
          <w:tcPr>
            <w:tcW w:w="2400" w:type="dxa"/>
          </w:tcPr>
          <w:p>
            <w:r>
              <w:t xml:space="preserve">country</w:t>
            </w:r>
          </w:p>
        </w:tc>
        <w:tc>
          <w:tcPr>
            <w:tcW w:w="2400" w:type="dxa"/>
          </w:tcPr>
          <w:p>
            <w:r>
              <w:t xml:space="preserve">Population Division</w:t>
            </w:r>
          </w:p>
        </w:tc>
        <w:tc>
          <w:tcPr>
            <w:tcW w:w="2400" w:type="dxa"/>
          </w:tcPr>
          <w:p>
            <w:r>
              <w:t xml:space="preserve">Closed</w:t>
            </w:r>
          </w:p>
        </w:tc>
        <w:tc>
          <w:tcPr>
            <w:tcW w:w="2400" w:type="dxa"/>
          </w:tcPr>
          <w:p>
            <w:r>
              <w:t xml:space="preserve">14 Jun 2020</w:t>
            </w:r>
          </w:p>
        </w:tc>
        <w:tc>
          <w:tcPr>
            <w:tcW w:w="2400" w:type="dxa"/>
          </w:tcPr>
          <w:p>
            <w:r>
              <w:t xml:space="preserve">17 Dec 2020</w:t>
            </w:r>
          </w:p>
        </w:tc>
        <w:tc>
          <w:tcPr>
            <w:tcW w:w="2400" w:type="dxa"/>
          </w:tcPr>
          <w:p>
            <w:r>
              <w:t xml:space="preserve">USD 588,000</w:t>
            </w:r>
          </w:p>
        </w:tc>
        <w:tc>
          <w:tcPr>
            <w:tcW w:w="2400" w:type="dxa"/>
          </w:tcPr>
          <w:p>
            <w:r>
              <w:t xml:space="preserve">Botswana, Burkina Faso, Burundi, Cabo Verde, Cameroon, Djibouti, Ethiopia, Gabon, Ghana, Kenya, Mali, Namibia, Niger, Nigeria, Senegal, Togo, Uganda, Zambia</w:t>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5575</w:t>
            </w:r>
          </w:p>
        </w:tc>
        <w:tc>
          <w:tcPr>
            <w:tcW w:w="2400" w:type="dxa"/>
          </w:tcPr>
          <w:p>
            <w:r>
              <w:t xml:space="preserve">Request #5575 ? Artificial intelligence (AI) is becoming a primary channel through which users access information. Yet many AI systems rely on secondary sources and cannot directly interact with structured official data and metadata, increasing the risk of omission, misinterpretation or insufficient citation of authoritative public information. Strengthening the AI-readiness of official data and statistics - ensuring they are discoverable, machine-readable, interoperable and correctly interpretable - is therefore essential for safeguarding accuracy, visibility and trust.  / This activity is proposed in response to demand of the Member States for capacity building in the area of Artificial Intelligence readiness for Official Statistics. The biennial World Data Forum provides a unique platform for countries to exchange experiences, learn about innovative applications and the latest advancements in AI for official statistics, and explore new opportunities for collaboration and future development. It is proposed that the countries attend the World Data Forum on 9-12 November 2026 as well as a side event on Artificial Intelligence to be held on 8 November 2026.</w:t>
            </w:r>
          </w:p>
        </w:tc>
        <w:tc>
          <w:tcPr>
            <w:tcW w:w="2400" w:type="dxa"/>
          </w:tcPr>
          <w:p>
            <w:r>
              <w:t xml:space="preserve">Under consideration</w:t>
            </w:r>
          </w:p>
        </w:tc>
        <w:tc>
          <w:tcPr>
            <w:tcW w:w="2400" w:type="dxa"/>
          </w:tcPr>
          <w:p>
            <w:r>
              <w:t xml:space="preserve">Statistics Division</w:t>
            </w:r>
          </w:p>
        </w:tc>
        <w:tc>
          <w:tcPr>
            <w:tcW w:w="2400" w:type="dxa"/>
          </w:tcPr>
          <w:p>
            <w:r>
              <w:t xml:space="preserve">04 Sept 2026</w:t>
            </w:r>
          </w:p>
        </w:tc>
        <w:tc>
          <w:tcPr>
            <w:tcW w:w="2400" w:type="dxa"/>
          </w:tcPr>
          <w:p>
            <w:r>
              <w:t xml:space="preserve">08 Nov 2026</w:t>
            </w:r>
          </w:p>
        </w:tc>
        <w:tc>
          <w:tcPr>
            <w:tcW w:w="2400" w:type="dxa"/>
          </w:tcPr>
          <w:p>
            <w:r>
              <w:t xml:space="preserve">12 Sept 2026</w:t>
            </w:r>
          </w:p>
        </w:tc>
        <w:tc>
          <w:tcPr>
            <w:tcW w:w="2400" w:type="dxa"/>
          </w:tcPr>
          <w:p>
            <w:r>
              <w:t xml:space="preserve">Abdulla Gozalov | gozalov@un.org</w:t>
            </w:r>
          </w:p>
        </w:tc>
        <w:tc>
          <w:tcPr>
            <w:tcW w:w="2400" w:type="dxa"/>
          </w:tcPr>
          <w:p>
            <w:r>
              <w:t xml:space="preserve">Artificial intelligence (AI) is becoming a primary channel through which users access information. Yet many AI systems rely on secondary sources and cannot directly interact with structured official data and metadata, increasing the risk of omission, misinterpretation or insufficient citation of authoritative public information. Strengthening the AI-readiness of official data and statistics - ensuring they are discoverable, machine-readable, interoperable and correctly interpretable - is therefore essential for safeguarding accuracy, visibility and trust.  / This activity is proposed in response to demand of the Member States for capacity building in the area of Artificial Intelligence readiness for Official Statistics. The biennial World Data Forum provides a unique platform for countries to exchange experiences, learn about innovative applications and the latest advancements in AI for official statistics, and explore new opportunities for collaboration and future development. It is proposed that the countries attend the World Data Forum on 9-12 November 2026 as well as a side event on Artificial Intelligence to be held on 8 November 2026.</w:t>
            </w:r>
          </w:p>
        </w:tc>
        <w:tc>
          <w:tcPr>
            <w:tcW w:w="2400" w:type="dxa"/>
          </w:tcPr>
          <w:p>
            <w:r>
              <w:t xml:space="preserve"/>
            </w:r>
          </w:p>
        </w:tc>
        <w:tc>
          <w:tcPr>
            <w:tcW w:w="2400" w:type="dxa"/>
          </w:tcPr>
          <w:p>
            <w:r>
              <w:t xml:space="preserve">requests.xlsx record '5575': End date 2026-09-12 is before start date 2026-11-08.</w:t>
            </w:r>
          </w:p>
        </w:tc>
      </w:tr>
      <w:tr>
        <w:tc>
          <w:tcPr>
            <w:tcW w:w="2400" w:type="dxa"/>
          </w:tcPr>
          <w:p>
            <w:r>
              <w:t xml:space="preserve">5516</w:t>
            </w:r>
          </w:p>
        </w:tc>
        <w:tc>
          <w:tcPr>
            <w:tcW w:w="2400" w:type="dxa"/>
          </w:tcPr>
          <w:p>
            <w:r>
              <w:t xml:space="preserve">Request #5516 ? 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Completed</w:t>
            </w:r>
          </w:p>
        </w:tc>
        <w:tc>
          <w:tcPr>
            <w:tcW w:w="2400" w:type="dxa"/>
          </w:tcPr>
          <w:p>
            <w:r>
              <w:t xml:space="preserve">Statistics Division</w:t>
            </w:r>
          </w:p>
        </w:tc>
        <w:tc>
          <w:tcPr>
            <w:tcW w:w="2400" w:type="dxa"/>
          </w:tcPr>
          <w:p>
            <w:r>
              <w:t xml:space="preserve">14 May 2026</w:t>
            </w:r>
          </w:p>
        </w:tc>
        <w:tc>
          <w:tcPr>
            <w:tcW w:w="2400" w:type="dxa"/>
          </w:tcPr>
          <w:p>
            <w:r>
              <w:t xml:space="preserve">15 Jun 2026</w:t>
            </w:r>
          </w:p>
        </w:tc>
        <w:tc>
          <w:tcPr>
            <w:tcW w:w="2400" w:type="dxa"/>
          </w:tcPr>
          <w:p>
            <w:r>
              <w:t xml:space="preserve">19 Jun 2026</w:t>
            </w:r>
          </w:p>
        </w:tc>
        <w:tc>
          <w:tcPr>
            <w:tcW w:w="2400" w:type="dxa"/>
          </w:tcPr>
          <w:p>
            <w:r>
              <w:t xml:space="preserve">Seiffe Tadesse | tadesse5@un.org</w:t>
            </w:r>
          </w:p>
        </w:tc>
        <w:tc>
          <w:tcPr>
            <w:tcW w:w="2400" w:type="dxa"/>
          </w:tcPr>
          <w:p>
            <w:r>
              <w:t xml:space="preserve">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5474</w:t>
            </w:r>
          </w:p>
        </w:tc>
        <w:tc>
          <w:tcPr>
            <w:tcW w:w="2400" w:type="dxa"/>
          </w:tcPr>
          <w:p>
            <w:r>
              <w:t xml:space="preserve">Request #5474 ? 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Under consideration</w:t>
            </w:r>
          </w:p>
        </w:tc>
        <w:tc>
          <w:tcPr>
            <w:tcW w:w="2400" w:type="dxa"/>
          </w:tcPr>
          <w:p>
            <w:r>
              <w:t xml:space="preserve">Statistics Division</w:t>
            </w:r>
          </w:p>
        </w:tc>
        <w:tc>
          <w:tcPr>
            <w:tcW w:w="2400" w:type="dxa"/>
          </w:tcPr>
          <w:p>
            <w:r>
              <w:t xml:space="preserve">18 Feb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5376</w:t>
            </w:r>
          </w:p>
        </w:tc>
        <w:tc>
          <w:tcPr>
            <w:tcW w:w="2400" w:type="dxa"/>
          </w:tcPr>
          <w:p>
            <w:r>
              <w:t xml:space="preserve">Request #5376 ? Time-use statistics provide a critical lens for understanding how people allocate their time across paid work, unpaid care, and other activities, offering insights into well-being that go beyond traditional economic indicators. These data are essential for monitoring SDG indicator 5.4.1 on unpaid care and domestic work and are increasingly relevant in Beyond GDP discussions. / Existing international standards and tools, developed under the UNSD time-use statistics programme and endorsed by the Statistical Commission, provide a strong foundation for this work. These include the International Classification of Activities for Time-Use Statistics (ICATUS), the Guide to Producing Statistics on Time Use, and the Minimum Harmonized Instrument (MHI), which together ensure comparable, high-quality data across countries. The consultancy will develop user-friendly training materials to support national statistical offices in applying these standards, operationalizing the MHI, and producing reliable and comparable time-use statistics. / The training materials will enhance capacities in understanding international standards, operationalizing the MHI, and linking ICATUS and MHI activity lists for calculating SDG Indicator 5.4.1. They will be designed for hybrid, in-person, and online workshops, as well as userâ€“producer dialogues. This activity supports gender equality, human rights, disability inclusion, and the Leave No One Behind principle by generating disaggregated data that inform inclusive and evidence-based policies. / A total RPTC budget of US$20,000 is proposed to cover the consultancy fee for the development of these training materials, which will serve as a practical resource for statisticians</w:t>
            </w:r>
          </w:p>
        </w:tc>
        <w:tc>
          <w:tcPr>
            <w:tcW w:w="2400" w:type="dxa"/>
          </w:tcPr>
          <w:p>
            <w:r>
              <w:t xml:space="preserve">Ongoing</w:t>
            </w:r>
          </w:p>
        </w:tc>
        <w:tc>
          <w:tcPr>
            <w:tcW w:w="2400" w:type="dxa"/>
          </w:tcPr>
          <w:p>
            <w:r>
              <w:t xml:space="preserve">Statistics Division</w:t>
            </w:r>
          </w:p>
        </w:tc>
        <w:tc>
          <w:tcPr>
            <w:tcW w:w="2400" w:type="dxa"/>
          </w:tcPr>
          <w:p>
            <w:r>
              <w:t xml:space="preserve">10 Nov 2025</w:t>
            </w:r>
          </w:p>
        </w:tc>
        <w:tc>
          <w:tcPr>
            <w:tcW w:w="2400" w:type="dxa"/>
          </w:tcPr>
          <w:p>
            <w:r>
              <w:t xml:space="preserve">01 Dec 2025</w:t>
            </w:r>
          </w:p>
        </w:tc>
        <w:tc>
          <w:tcPr>
            <w:tcW w:w="2400" w:type="dxa"/>
          </w:tcPr>
          <w:p>
            <w:r>
              <w:t xml:space="preserve">31 Mar 2026</w:t>
            </w:r>
          </w:p>
        </w:tc>
        <w:tc>
          <w:tcPr>
            <w:tcW w:w="2400" w:type="dxa"/>
          </w:tcPr>
          <w:p>
            <w:r>
              <w:t xml:space="preserve">Iliana Vaca Trigo | iliana.vaca-trigo@un.org</w:t>
            </w:r>
          </w:p>
        </w:tc>
        <w:tc>
          <w:tcPr>
            <w:tcW w:w="2400" w:type="dxa"/>
          </w:tcPr>
          <w:p>
            <w:r>
              <w:t xml:space="preserve">Time-use statistics provide a critical lens for understanding how people allocate their time across paid work, unpaid care, and other activities, offering insights into well-being that go beyond traditional economic indicators. These data are essential for monitoring SDG indicator 5.4.1 on unpaid care and domestic work and are increasingly relevant in Beyond GDP discussions. / Existing international standards and tools, developed under the UNSD time-use statistics programme and endorsed by the Statistical Commission, provide a strong foundation for this work. These include the International Classification of Activities for Time-Use Statistics (ICATUS), the Guide to Producing Statistics on Time Use, and the Minimum Harmonized Instrument (MHI), which together ensure comparable, high-quality data across countries. The consultancy will develop user-friendly training materials to support national statistical offices in applying these standards, operationalizing the MHI, and producing reliable and comparable time-use statistics. / The training materials will enhance capacities in understanding international standards, operationalizing the MHI, and linking ICATUS and MHI activity lists for calculating SDG Indicator 5.4.1. They will be designed for hybrid, in-person, and online workshops, as well as userâ€“producer dialogues. This activity supports gender equality, human rights, disability inclusion, and the Leave No One Behind principle by generating disaggregated data that inform inclusive and evidence-based policies. / A total RPTC budget of US$20,000 is proposed to cover the consultancy fee for the development of these training materials, which will serve as a practical resource for statisticians</w:t>
            </w:r>
          </w:p>
        </w:tc>
        <w:tc>
          <w:tcPr>
            <w:tcW w:w="2400" w:type="dxa"/>
          </w:tcPr>
          <w:p>
            <w:r>
              <w:t xml:space="preserve"/>
            </w:r>
          </w:p>
        </w:tc>
        <w:tc>
          <w:tcPr>
            <w:tcW w:w="2400" w:type="dxa"/>
          </w:tcPr>
          <w:p>
            <w:r>
              <w:t xml:space="preserve"/>
            </w:r>
          </w:p>
        </w:tc>
      </w:tr>
      <w:tr>
        <w:tc>
          <w:tcPr>
            <w:tcW w:w="2400" w:type="dxa"/>
          </w:tcPr>
          <w:p>
            <w:r>
              <w:t xml:space="preserve">5374</w:t>
            </w:r>
          </w:p>
        </w:tc>
        <w:tc>
          <w:tcPr>
            <w:tcW w:w="2400" w:type="dxa"/>
          </w:tcPr>
          <w:p>
            <w:r>
              <w:t xml:space="preserve">Request #5374 ? In the series of regional capacity building workshops on Data Ethics, Governance, and Quality in a Changing Data Ecosystem since November 2024, many NSOs from developing countries pinpointed the increasing importance in upholding these principles to ensure official statistics remain credible, relevant, and responsive to complex and often compounded societal challenges. They requested the easy access and self-paced learning of the two FPOS guidelines with a view to challenges of navigating legal, ethical, quality, and governance issues in using novel data sources and engaging varied stakeholders in national data ecosystem. The NSOs from developing countries also raised long-standing concerns of high turnover of professional staff, which makes the online access as enabled by Jupyter Book and e-learning courses of the FPOS guidelines effective tools for capacity building of statisticians.   / During the recent capacity building regional workshop for African countries in Kenya, which was held on 2-4 September 2025, the participants recommended that beneficiary countries should take a leading role in revising and improving their statistical laws to ensure alignment with FPOS. During the meeting, Burundi mentioned that the modernization of its national statistical systems commenced with revising the two important statistical laws and regulations in line with FPOS; Kenya also highlighted the importance of FPOS in revising the statistical law reflecting a commitment to modernizing the national statistical system. As part of way forward, UNSD is requested to step up its capacity development support for African countries on unified methodologies, standardization, frameworks, and guidelines including FPOS to support transformation and modernization of national statistical systems.   / The UN Statistical Commission, in its 56th session, advised the regular review of the FPOS guidelines, with the aim of maintaining their relevance in a rapidly changing data landscape.</w:t>
            </w:r>
          </w:p>
        </w:tc>
        <w:tc>
          <w:tcPr>
            <w:tcW w:w="2400" w:type="dxa"/>
          </w:tcPr>
          <w:p>
            <w:r>
              <w:t xml:space="preserve">Under consideration</w:t>
            </w:r>
          </w:p>
        </w:tc>
        <w:tc>
          <w:tcPr>
            <w:tcW w:w="2400" w:type="dxa"/>
          </w:tcPr>
          <w:p>
            <w:r>
              <w:t xml:space="preserve">Statistics Division</w:t>
            </w:r>
          </w:p>
        </w:tc>
        <w:tc>
          <w:tcPr>
            <w:tcW w:w="2400" w:type="dxa"/>
          </w:tcPr>
          <w:p>
            <w:r>
              <w:t xml:space="preserve">04 Sept 2025</w:t>
            </w:r>
          </w:p>
        </w:tc>
        <w:tc>
          <w:tcPr>
            <w:tcW w:w="2400" w:type="dxa"/>
          </w:tcPr>
          <w:p>
            <w:r>
              <w:t xml:space="preserve">02 Feb 2026</w:t>
            </w:r>
          </w:p>
        </w:tc>
        <w:tc>
          <w:tcPr>
            <w:tcW w:w="2400" w:type="dxa"/>
          </w:tcPr>
          <w:p>
            <w:r>
              <w:t xml:space="preserve">31 Dec 2026</w:t>
            </w:r>
          </w:p>
        </w:tc>
        <w:tc>
          <w:tcPr>
            <w:tcW w:w="2400" w:type="dxa"/>
          </w:tcPr>
          <w:p>
            <w:r>
              <w:t xml:space="preserve">Benjamin Kisiavuki Avusevwa | bavusevwa@knbs.or.ke</w:t>
            </w:r>
          </w:p>
        </w:tc>
        <w:tc>
          <w:tcPr>
            <w:tcW w:w="2400" w:type="dxa"/>
          </w:tcPr>
          <w:p>
            <w:r>
              <w:t xml:space="preserve">In the series of regional capacity building workshops on Data Ethics, Governance, and Quality in a Changing Data Ecosystem since November 2024, many NSOs from developing countries pinpointed the increasing importance in upholding these principles to ensure official statistics remain credible, relevant, and responsive to complex and often compounded societal challenges. They requested the easy access and self-paced learning of the two FPOS guidelines with a view to challenges of navigating legal, ethical, quality, and governance issues in using novel data sources and engaging varied stakeholders in national data ecosystem. The NSOs from developing countries also raised long-standing concerns of high turnover of professional staff, which makes the online access as enabled by Jupyter Book and e-learning courses of the FPOS guidelines effective tools for capacity building of statisticians.   / During the recent capacity building regional workshop for African countries in Kenya, which was held on 2-4 September 2025, the participants recommended that beneficiary countries should take a leading role in revising and improving their statistical laws to ensure alignment with FPOS. During the meeting, Burundi mentioned that the modernization of its national statistical systems commenced with revising the two important statistical laws and regulations in line with FPOS; Kenya also highlighted the importance of FPOS in revising the statistical law reflecting a commitment to modernizing the national statistical system. As part of way forward, UNSD is requested to step up its capacity development support for African countries on unified methodologies, standardization, frameworks, and guidelines including FPOS to support transformation and modernization of national statistical systems.   / The UN Statistical Commission, in its 56th session, advised the regular review of the FPOS guidelines, with the aim of maintaining their relevance in a rapidly changing data landscape.</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5371</w:t>
            </w:r>
          </w:p>
        </w:tc>
        <w:tc>
          <w:tcPr>
            <w:tcW w:w="2400" w:type="dxa"/>
          </w:tcPr>
          <w:p>
            <w:r>
              <w:t xml:space="preserve">Request #5371 ? A total RPTC budget of US$ 15,000 is proposed, which will cover consultancy fee for the production of a Guidance note for incorporating the gender perspective in climate change statistics, to be used as a communicational piece for gender and climate statisticians, based on inputs from the IAEG-GS and the EG-ECCS. / Background: At the 51st session of the United Nations Statistical Commission, in 2020, the global statistical community â€œRequested that a gender perspective be adopted and integrated into all the agenda items of the Commission, as is, for example, the current practice in the Statistical Conference of the Americasâ€ (Decision 51/115, b). In response to this decision, the Inter-Agency and Expert Group on Gender Statistics (IAEG-GS) identified initial priority topics where a gender lens should be integrated, including climate change statistics.  / In collaboration with the Expert Group on Environment and Climate Change Statistics (EG-ECCS), input materials have been prepared on the importance of integrating the gender perspective into climate change statistics, raising awareness among data producers about the need to address data gaps at the intersection of gender and climate change.</w:t>
            </w:r>
          </w:p>
        </w:tc>
        <w:tc>
          <w:tcPr>
            <w:tcW w:w="2400" w:type="dxa"/>
          </w:tcPr>
          <w:p>
            <w:r>
              <w:t xml:space="preserve">Completed</w:t>
            </w:r>
          </w:p>
        </w:tc>
        <w:tc>
          <w:tcPr>
            <w:tcW w:w="2400" w:type="dxa"/>
          </w:tcPr>
          <w:p>
            <w:r>
              <w:t xml:space="preserve">Statistics Division</w:t>
            </w:r>
          </w:p>
        </w:tc>
        <w:tc>
          <w:tcPr>
            <w:tcW w:w="2400" w:type="dxa"/>
          </w:tcPr>
          <w:p>
            <w:r>
              <w:t xml:space="preserve">03 Nov 2025</w:t>
            </w:r>
          </w:p>
        </w:tc>
        <w:tc>
          <w:tcPr>
            <w:tcW w:w="2400" w:type="dxa"/>
          </w:tcPr>
          <w:p>
            <w:r>
              <w:t xml:space="preserve">17 Nov 2025</w:t>
            </w:r>
          </w:p>
        </w:tc>
        <w:tc>
          <w:tcPr>
            <w:tcW w:w="2400" w:type="dxa"/>
          </w:tcPr>
          <w:p>
            <w:r>
              <w:t xml:space="preserve">31 Mar 2026</w:t>
            </w:r>
          </w:p>
        </w:tc>
        <w:tc>
          <w:tcPr>
            <w:tcW w:w="2400" w:type="dxa"/>
          </w:tcPr>
          <w:p>
            <w:r>
              <w:t xml:space="preserve">Maria Isabel Cobos | cobos@un.org</w:t>
            </w:r>
          </w:p>
        </w:tc>
        <w:tc>
          <w:tcPr>
            <w:tcW w:w="2400" w:type="dxa"/>
          </w:tcPr>
          <w:p>
            <w:r>
              <w:t xml:space="preserve">A total RPTC budget of US$ 15,000 is proposed, which will cover consultancy fee for the production of a Guidance note for incorporating the gender perspective in climate change statistics, to be used as a communicational piece for gender and climate statisticians, based on inputs from the IAEG-GS and the EG-ECCS. / Background: At the 51st session of the United Nations Statistical Commission, in 2020, the global statistical community â€œRequested that a gender perspective be adopted and integrated into all the agenda items of the Commission, as is, for example, the current practice in the Statistical Conference of the Americasâ€ (Decision 51/115, b). In response to this decision, the Inter-Agency and Expert Group on Gender Statistics (IAEG-GS) identified initial priority topics where a gender lens should be integrated, including climate change statistics.  / In collaboration with the Expert Group on Environment and Climate Change Statistics (EG-ECCS), input materials have been prepared on the importance of integrating the gender perspective into climate change statistics, raising awareness among data producers about the need to address data gaps at the intersection of gender and climate change.</w:t>
            </w:r>
          </w:p>
        </w:tc>
        <w:tc>
          <w:tcPr>
            <w:tcW w:w="2400" w:type="dxa"/>
          </w:tcPr>
          <w:p>
            <w:r>
              <w:t xml:space="preserve"/>
            </w:r>
          </w:p>
        </w:tc>
        <w:tc>
          <w:tcPr>
            <w:tcW w:w="2400" w:type="dxa"/>
          </w:tcPr>
          <w:p>
            <w:r>
              <w:t xml:space="preserve"/>
            </w:r>
          </w:p>
        </w:tc>
      </w:tr>
      <w:tr>
        <w:tc>
          <w:tcPr>
            <w:tcW w:w="2400" w:type="dxa"/>
          </w:tcPr>
          <w:p>
            <w:r>
              <w:t xml:space="preserve">5282</w:t>
            </w:r>
          </w:p>
        </w:tc>
        <w:tc>
          <w:tcPr>
            <w:tcW w:w="2400" w:type="dxa"/>
          </w:tcPr>
          <w:p>
            <w:r>
              <w:t xml:space="preserve">Request #5282 ? The Financing for Sustainable Development Office (FSDO) of the United Nations Department of Economic and Social Affairs (DESA) organized a Regional Workshop on Transfer Pricing in Africa, scheduled to take place from 21 to 25 July 2025 in Addis Ababa, Ethiopia. The workshop responded directly to countries' demand for practical tools and training on transfer pricing, in support of strengthening domestic resource mobilization for sustainable development. Transfer pricing refers to the pricing of cross-border transactions involving goods, services, or intangibles between related entities. It has garnered increasing global attention due to its significant implications for equitable taxation and sustainable development. Transfer pricing poses considerable challenges for developing countries. These challenges are compounded by the high risk of profit shifting and the limited access to specialized training and resources available to policy makers and tax administrations.  The workshop was attended by 24 participants from 14 French-speaking developing countries, including least developed countries (LDCs), landlocked developing countries (LLDCs), and small island developing states (SIDS). Participants received hands-on training in transfer pricing principles, using practical case studies to illustrate the challenges frequently encountered by tax officials during audits of real-life transfer pricing cases. The workshop was delivered in French and English, with simultaneous interpretation, enabling active participation and supporting capacity-building efforts to enhance the ability of tax officials to effectively address complex international tax issues.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16 May 2025</w:t>
            </w:r>
          </w:p>
        </w:tc>
        <w:tc>
          <w:tcPr>
            <w:tcW w:w="2400" w:type="dxa"/>
          </w:tcPr>
          <w:p>
            <w:r>
              <w:t xml:space="preserve">21 Jul 2025</w:t>
            </w:r>
          </w:p>
        </w:tc>
        <w:tc>
          <w:tcPr>
            <w:tcW w:w="2400" w:type="dxa"/>
          </w:tcPr>
          <w:p>
            <w:r>
              <w:t xml:space="preserve">25 Jul 2025</w:t>
            </w:r>
          </w:p>
        </w:tc>
        <w:tc>
          <w:tcPr>
            <w:tcW w:w="2400" w:type="dxa"/>
          </w:tcPr>
          <w:p>
            <w:r>
              <w:t xml:space="preserve">FSDO following request from Member States | fsdcapdev@un.org</w:t>
            </w:r>
          </w:p>
        </w:tc>
        <w:tc>
          <w:tcPr>
            <w:tcW w:w="2400" w:type="dxa"/>
          </w:tcPr>
          <w:p>
            <w:r>
              <w:t xml:space="preserve">The Financing for Sustainable Development Office (FSDO) of the United Nations Department of Economic and Social Affairs (DESA) organized a Regional Workshop on Transfer Pricing in Africa, scheduled to take place from 21 to 25 July 2025 in Addis Ababa, Ethiopia. The workshop responded directly to countries' demand for practical tools and training on transfer pricing, in support of strengthening domestic resource mobilization for sustainable development. Transfer pricing refers to the pricing of cross-border transactions involving goods, services, or intangibles between related entities. It has garnered increasing global attention due to its significant implications for equitable taxation and sustainable development. Transfer pricing poses considerable challenges for developing countries. These challenges are compounded by the high risk of profit shifting and the limited access to specialized training and resources available to policy makers and tax administrations.  The workshop was attended by 24 participants from 14 French-speaking developing countries, including least developed countries (LDCs), landlocked developing countries (LLDCs), and small island developing states (SIDS). Participants received hands-on training in transfer pricing principles, using practical case studies to illustrate the challenges frequently encountered by tax officials during audits of real-life transfer pricing cases. The workshop was delivered in French and English, with simultaneous interpretation, enabling active participation and supporting capacity-building efforts to enhance the ability of tax officials to effectively address complex international tax issues.</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5039</w:t>
            </w:r>
          </w:p>
        </w:tc>
        <w:tc>
          <w:tcPr>
            <w:tcW w:w="2400" w:type="dxa"/>
          </w:tcPr>
          <w:p>
            <w:r>
              <w:t xml:space="preserve">Request #5039 ? Request to include capacity-building on the interlinkages of Human Rights, Peace and Security during the validation workshop of the National Forest Financing Strategy (#4728)</w:t>
            </w:r>
          </w:p>
        </w:tc>
        <w:tc>
          <w:tcPr>
            <w:tcW w:w="2400" w:type="dxa"/>
          </w:tcPr>
          <w:p>
            <w:r>
              <w:t xml:space="preserve">Completed</w:t>
            </w:r>
          </w:p>
        </w:tc>
        <w:tc>
          <w:tcPr>
            <w:tcW w:w="2400" w:type="dxa"/>
          </w:tcPr>
          <w:p>
            <w:r>
              <w:t xml:space="preserve">United Nations Forum on Forest</w:t>
            </w:r>
          </w:p>
        </w:tc>
        <w:tc>
          <w:tcPr>
            <w:tcW w:w="2400" w:type="dxa"/>
          </w:tcPr>
          <w:p>
            <w:r>
              <w:t xml:space="preserve">19 Jul 2024</w:t>
            </w:r>
          </w:p>
        </w:tc>
        <w:tc>
          <w:tcPr>
            <w:tcW w:w="2400" w:type="dxa"/>
          </w:tcPr>
          <w:p>
            <w:r>
              <w:t xml:space="preserve"/>
            </w:r>
          </w:p>
        </w:tc>
        <w:tc>
          <w:tcPr>
            <w:tcW w:w="2400" w:type="dxa"/>
          </w:tcPr>
          <w:p>
            <w:r>
              <w:t xml:space="preserve">18 Oct 2024</w:t>
            </w:r>
          </w:p>
        </w:tc>
        <w:tc>
          <w:tcPr>
            <w:tcW w:w="2400" w:type="dxa"/>
          </w:tcPr>
          <w:p>
            <w:r>
              <w:t xml:space="preserve">H.E. Ambassador ZÃ©phyrin Maniratanga | ambabunewyork@yahoo.fr</w:t>
            </w:r>
          </w:p>
        </w:tc>
        <w:tc>
          <w:tcPr>
            <w:tcW w:w="2400" w:type="dxa"/>
          </w:tcPr>
          <w:p>
            <w:r>
              <w:t xml:space="preserve">Request to include capacity-building on the interlinkages of Human Rights, Peace and Security during the validation workshop of the National Forest Financing Strategy (#4728)</w:t>
            </w:r>
          </w:p>
        </w:tc>
        <w:tc>
          <w:tcPr>
            <w:tcW w:w="2400" w:type="dxa"/>
          </w:tcPr>
          <w:p>
            <w:r>
              <w:t xml:space="preserve"/>
            </w:r>
          </w:p>
        </w:tc>
        <w:tc>
          <w:tcPr>
            <w:tcW w:w="2400" w:type="dxa"/>
          </w:tcPr>
          <w:p>
            <w:r>
              <w:t xml:space="preserve"/>
            </w:r>
          </w:p>
        </w:tc>
      </w:tr>
      <w:tr>
        <w:tc>
          <w:tcPr>
            <w:tcW w:w="2400" w:type="dxa"/>
          </w:tcPr>
          <w:p>
            <w:r>
              <w:t xml:space="preserve">4728</w:t>
            </w:r>
          </w:p>
        </w:tc>
        <w:tc>
          <w:tcPr>
            <w:tcW w:w="2400" w:type="dxa"/>
          </w:tcPr>
          <w:p>
            <w:r>
              <w:t xml:space="preserve">Request #4728 ? The government is requesting technical support to update the national forest action plan, develop a national forest financing strategy and develop a project proposal on sustainable forest management for submission to a multilateral donor.</w:t>
            </w:r>
          </w:p>
        </w:tc>
        <w:tc>
          <w:tcPr>
            <w:tcW w:w="2400" w:type="dxa"/>
          </w:tcPr>
          <w:p>
            <w:r>
              <w:t xml:space="preserve">Completed</w:t>
            </w:r>
          </w:p>
        </w:tc>
        <w:tc>
          <w:tcPr>
            <w:tcW w:w="2400" w:type="dxa"/>
          </w:tcPr>
          <w:p>
            <w:r>
              <w:t xml:space="preserve">United Nations Forum on Forest</w:t>
            </w:r>
          </w:p>
        </w:tc>
        <w:tc>
          <w:tcPr>
            <w:tcW w:w="2400" w:type="dxa"/>
          </w:tcPr>
          <w:p>
            <w:r>
              <w:t xml:space="preserve">26 Dec 2022</w:t>
            </w:r>
          </w:p>
        </w:tc>
        <w:tc>
          <w:tcPr>
            <w:tcW w:w="2400" w:type="dxa"/>
          </w:tcPr>
          <w:p>
            <w:r>
              <w:t xml:space="preserve"/>
            </w:r>
          </w:p>
        </w:tc>
        <w:tc>
          <w:tcPr>
            <w:tcW w:w="2400" w:type="dxa"/>
          </w:tcPr>
          <w:p>
            <w:r>
              <w:t xml:space="preserve">18 Oct 2024</w:t>
            </w:r>
          </w:p>
        </w:tc>
        <w:tc>
          <w:tcPr>
            <w:tcW w:w="2400" w:type="dxa"/>
          </w:tcPr>
          <w:p>
            <w:r>
              <w:t xml:space="preserve">Prof. Sanctus Niragira | info.mineagrie@gmail.com</w:t>
            </w:r>
          </w:p>
        </w:tc>
        <w:tc>
          <w:tcPr>
            <w:tcW w:w="2400" w:type="dxa"/>
          </w:tcPr>
          <w:p>
            <w:r>
              <w:t xml:space="preserve">The government is requesting technical support to update the national forest action plan, develop a national forest financing strategy and develop a project proposal on sustainable forest management for submission to a multilateral donor.</w:t>
            </w:r>
          </w:p>
        </w:tc>
        <w:tc>
          <w:tcPr>
            <w:tcW w:w="2400" w:type="dxa"/>
          </w:tcPr>
          <w:p>
            <w:r>
              <w:t xml:space="preserve"/>
            </w:r>
          </w:p>
        </w:tc>
        <w:tc>
          <w:tcPr>
            <w:tcW w:w="2400" w:type="dxa"/>
          </w:tcPr>
          <w:p>
            <w:r>
              <w:t xml:space="preserve"/>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Countries Country text 'Mayotte' could not be matched; no country assignment was inferred. / requests.xlsx record '4741': Countries Country text 'Reunion' could not be matched; no country assignment was inferred. / requests.xlsx record '4741': Countries Country text 'Saint Helena' could not be matched; no country assignment was inferred. / 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r>
        <w:tc>
          <w:tcPr>
            <w:tcW w:w="2400" w:type="dxa"/>
          </w:tcPr>
          <w:p>
            <w:r>
              <w:t xml:space="preserve">4234</w:t>
            </w:r>
          </w:p>
        </w:tc>
        <w:tc>
          <w:tcPr>
            <w:tcW w:w="2400" w:type="dxa"/>
          </w:tcPr>
          <w:p>
            <w:r>
              <w:t xml:space="preserve">Request #4234 ? 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Completed</w:t>
            </w:r>
          </w:p>
        </w:tc>
        <w:tc>
          <w:tcPr>
            <w:tcW w:w="2400" w:type="dxa"/>
          </w:tcPr>
          <w:p>
            <w:r>
              <w:t xml:space="preserve">Statistics Division</w:t>
            </w:r>
          </w:p>
        </w:tc>
        <w:tc>
          <w:tcPr>
            <w:tcW w:w="2400" w:type="dxa"/>
          </w:tcPr>
          <w:p>
            <w:r>
              <w:t xml:space="preserve">05 Jul 2022</w:t>
            </w:r>
          </w:p>
        </w:tc>
        <w:tc>
          <w:tcPr>
            <w:tcW w:w="2400" w:type="dxa"/>
          </w:tcPr>
          <w:p>
            <w:r>
              <w:t xml:space="preserve">08 Jan 2022</w:t>
            </w:r>
          </w:p>
        </w:tc>
        <w:tc>
          <w:tcPr>
            <w:tcW w:w="2400" w:type="dxa"/>
          </w:tcPr>
          <w:p>
            <w:r>
              <w:t xml:space="preserve">30 Dec 2022</w:t>
            </w:r>
          </w:p>
        </w:tc>
        <w:tc>
          <w:tcPr>
            <w:tcW w:w="2400" w:type="dxa"/>
          </w:tcPr>
          <w:p>
            <w:r>
              <w:t xml:space="preserve">UN Statistical Commission | vibeke.nielsen@un.org</w:t>
            </w:r>
          </w:p>
        </w:tc>
        <w:tc>
          <w:tcPr>
            <w:tcW w:w="2400" w:type="dxa"/>
          </w:tcPr>
          <w:p>
            <w:r>
              <w:t xml:space="preserve">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c>
          <w:tcPr>
            <w:tcW w:w="2400" w:type="dxa"/>
          </w:tcPr>
          <w:p>
            <w:r>
              <w:t xml:space="preserve"/>
            </w:r>
          </w:p>
        </w:tc>
      </w:tr>
      <w:tr>
        <w:tc>
          <w:tcPr>
            <w:tcW w:w="2400" w:type="dxa"/>
          </w:tcPr>
          <w:p>
            <w:r>
              <w:t xml:space="preserve">4000</w:t>
            </w:r>
          </w:p>
        </w:tc>
        <w:tc>
          <w:tcPr>
            <w:tcW w:w="2400" w:type="dxa"/>
          </w:tcPr>
          <w:p>
            <w:r>
              <w:t xml:space="preserve">Request #4000 ? APAAM requested DPIDG's support in strengthening the capacities of African governments (Burundi, Comoros Congo, Ethiopia, Malawi, Madagascar, Mozambique, Rwanda, South Rwanda, Uganda, Tanzania) to promote leadership knowledge and skills to advance the SDGs though the organization  of a workshop on Leadership and Public Service for National Development: A Continental Approach in Africa which was held  15 â€“ 19 November  2021 in South Africa.</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13 Oct 2021</w:t>
            </w:r>
          </w:p>
        </w:tc>
        <w:tc>
          <w:tcPr>
            <w:tcW w:w="2400" w:type="dxa"/>
          </w:tcPr>
          <w:p>
            <w:r>
              <w:t xml:space="preserve">15 Nov 2021</w:t>
            </w:r>
          </w:p>
        </w:tc>
        <w:tc>
          <w:tcPr>
            <w:tcW w:w="2400" w:type="dxa"/>
          </w:tcPr>
          <w:p>
            <w:r>
              <w:t xml:space="preserve">19 Nov 2021</w:t>
            </w:r>
          </w:p>
        </w:tc>
        <w:tc>
          <w:tcPr>
            <w:tcW w:w="2400" w:type="dxa"/>
          </w:tcPr>
          <w:p>
            <w:r>
              <w:t xml:space="preserve">Dr. G.K. Scott | g.k.scott@aapam.org</w:t>
            </w:r>
          </w:p>
        </w:tc>
        <w:tc>
          <w:tcPr>
            <w:tcW w:w="2400" w:type="dxa"/>
          </w:tcPr>
          <w:p>
            <w:r>
              <w:t xml:space="preserve">APAAM requested DPIDG's support in strengthening the capacities of African governments (Burundi, Comoros Congo, Ethiopia, Malawi, Madagascar, Mozambique, Rwanda, South Rwanda, Uganda, Tanzania) to promote leadership knowledge and skills to advance the SDGs though the organization  of a workshop on Leadership and Public Service for National Development: A Continental Approach in Africa which was held  15 â€“ 19 November  2021 in South Africa.</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SB-001375.99.40</w:t>
            </w:r>
          </w:p>
        </w:tc>
        <w:tc>
          <w:tcPr>
            <w:tcW w:w="2400" w:type="dxa"/>
          </w:tcPr>
          <w:p>
            <w:r>
              <w:t xml:space="preserve">Capacity building workshop for developing countries presenting voluntary national reviews at the 2026 HLPF </w:t>
            </w:r>
          </w:p>
        </w:tc>
        <w:tc>
          <w:tcPr>
            <w:tcW w:w="2400" w:type="dxa"/>
          </w:tcPr>
          <w:p>
            <w:r>
              <w:t xml:space="preserve">OISC</w:t>
            </w:r>
          </w:p>
        </w:tc>
        <w:tc>
          <w:tcPr>
            <w:tcW w:w="2400" w:type="dxa"/>
          </w:tcPr>
          <w:p>
            <w:r>
              <w:t xml:space="preserve">30 Jun 2026</w:t>
            </w:r>
          </w:p>
        </w:tc>
        <w:tc>
          <w:tcPr>
            <w:tcW w:w="2400" w:type="dxa"/>
          </w:tcPr>
          <w:p>
            <w:r>
              <w:t xml:space="preserve">30 Jun 2026</w:t>
            </w:r>
          </w:p>
        </w:tc>
        <w:tc>
          <w:tcPr>
            <w:tcW w:w="2400" w:type="dxa"/>
          </w:tcPr>
          <w:p>
            <w:r>
              <w:t xml:space="preserve">$114,966</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r>
        <w:tc>
          <w:tcPr>
            <w:tcW w:w="2400" w:type="dxa"/>
          </w:tcPr>
          <w:p>
            <w:r>
              <w:t xml:space="preserve">SB-001376.99.99.21</w:t>
            </w:r>
          </w:p>
        </w:tc>
        <w:tc>
          <w:tcPr>
            <w:tcW w:w="2400" w:type="dxa"/>
          </w:tcPr>
          <w:p>
            <w:r>
              <w:t xml:space="preserve">United Nations Regional Workshop on the 2030 World Programme on Population and Housing Censuses for Francophone Africa: International Standards and Innovative Approaches /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$45,487</w:t>
            </w:r>
          </w:p>
        </w:tc>
        <w:tc>
          <w:tcPr>
            <w:tcW w:w="2400" w:type="dxa"/>
          </w:tcPr>
          <w:p>
            <w:r>
              <w:t xml:space="preserve">Algeria, Angola, Benin, Burkina Faso, Burundi, Cabo Verde, Cameroon, Central African Republic, Chad, Comoros, Congo, Côte d’Ivoire, Democratic Republic of the Congo, Djibouti, Equatorial Guinea, Gabon, Guinea, Guinea-Bissau, Madagascar, Mali, Mauritania, Morocco, Niger, Rwanda, Sao Tome and Principe, Senegal, Seychelles, Togo, Tunisia</w:t>
            </w:r>
          </w:p>
        </w:tc>
        <w:tc>
          <w:tcPr>
            <w:tcW w:w="2400" w:type="dxa"/>
          </w:tcPr>
          <w:p>
            <w:r>
              <w:t xml:space="preserve">Country standardized: 'Côte d'Ivoire' -&gt; 'Côte d’Ivoire'.</w:t>
            </w:r>
          </w:p>
        </w:tc>
        <w:tc>
          <w:tcPr>
            <w:tcW w:w="2400" w:type="dxa"/>
          </w:tcPr>
          <w:p>
            <w:r>
              <w:t xml:space="preserve">Proposal past due</w:t>
            </w:r>
          </w:p>
        </w:tc>
      </w:tr>
      <w:tr>
        <w:tc>
          <w:tcPr>
            <w:tcW w:w="2400" w:type="dxa"/>
          </w:tcPr>
          <w:p>
            <w:r>
              <w:t xml:space="preserve">SB-001376.99.99.33</w:t>
            </w:r>
          </w:p>
        </w:tc>
        <w:tc>
          <w:tcPr>
            <w:tcW w:w="2400" w:type="dxa"/>
          </w:tcPr>
          <w:p>
            <w:r>
              <w:t xml:space="preserve">World Data Forum and Side Event on Artificial Intelligence</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$98,403</w:t>
            </w:r>
          </w:p>
        </w:tc>
        <w:tc>
          <w:tcPr>
            <w:tcW w:w="2400" w:type="dxa"/>
          </w:tcPr>
          <w:p>
            <w:r>
              <w:t xml:space="preserve">Argentina, Burundi, Dominican Republic, Ecuador, Egypt, Estonia, Gambia, India, Indonesia, Kenya, Malawi, Mexico, Morocco, Namibia, Rwanda, South Africa</w:t>
            </w:r>
          </w:p>
        </w:tc>
        <w:tc>
          <w:tcPr>
            <w:tcW w:w="2400" w:type="dxa"/>
          </w:tcPr>
          <w:p>
            <w:r>
              <w:t xml:space="preserve">Region standardized: 'global' -&gt; 'Global'.</w:t>
            </w:r>
          </w:p>
        </w:tc>
        <w:tc>
          <w:tcPr>
            <w:tcW w:w="2400" w:type="dxa"/>
          </w:tcPr>
          <w:p>
            <w:r>
              <w:t xml:space="preserve"/>
            </w:r>
          </w:p>
        </w:tc>
      </w:tr>
      <w:tr>
        <w:tc>
          <w:tcPr>
            <w:tcW w:w="2400" w:type="dxa"/>
          </w:tcPr>
          <w:p>
            <w:r>
              <w:t xml:space="preserve">SB-001376.99.99.16</w:t>
            </w:r>
          </w:p>
        </w:tc>
        <w:tc>
          <w:tcPr>
            <w:tcW w:w="2400" w:type="dxa"/>
          </w:tcPr>
          <w:p>
            <w:r>
              <w:t xml:space="preserve">Capacity building workshop for developing countries presenting voluntary national reviews at the 2026 HLPF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$6,578</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r>
        <w:tc>
          <w:tcPr>
            <w:tcW w:w="2400" w:type="dxa"/>
          </w:tcPr>
          <w:p>
            <w:r>
              <w:t xml:space="preserve">SB-001374.99.40</w:t>
            </w:r>
          </w:p>
        </w:tc>
        <w:tc>
          <w:tcPr>
            <w:tcW w:w="2400" w:type="dxa"/>
          </w:tcPr>
          <w:p>
            <w:r>
              <w:t xml:space="preserve">Strengthening Artificial Intelligence (AI) Capabilities and Governance for Sustainable Digital Transformation in Africa and Asia-Pacific</w:t>
            </w:r>
          </w:p>
        </w:tc>
        <w:tc>
          <w:tcPr>
            <w:tcW w:w="2400" w:type="dxa"/>
          </w:tcPr>
          <w:p>
            <w:r>
              <w:t xml:space="preserve">DPIDG , DSDG</w:t>
            </w:r>
          </w:p>
        </w:tc>
        <w:tc>
          <w:tcPr>
            <w:tcW w:w="2400" w:type="dxa"/>
          </w:tcPr>
          <w:p>
            <w:r>
              <w:t xml:space="preserve">30 Sept 2026</w:t>
            </w:r>
          </w:p>
        </w:tc>
        <w:tc>
          <w:tcPr>
            <w:tcW w:w="2400" w:type="dxa"/>
          </w:tcPr>
          <w:p>
            <w:r>
              <w:t xml:space="preserve">30 Sept 2026</w:t>
            </w:r>
          </w:p>
        </w:tc>
        <w:tc>
          <w:tcPr>
            <w:tcW w:w="2400" w:type="dxa"/>
          </w:tcPr>
          <w:p>
            <w:r>
              <w:t xml:space="preserve">$87,767</w:t>
            </w:r>
          </w:p>
        </w:tc>
        <w:tc>
          <w:tcPr>
            <w:tcW w:w="2400" w:type="dxa"/>
          </w:tcPr>
          <w:p>
            <w:r>
              <w:t xml:space="preserve">Algeria, Burkina Faso, Burundi, Cambodia, Democratic Socialist Republic of Sri Lanka, Gambia, Guinea-Bissau, Kenya, Lao People's Democratic Republic, Pakistan, Rwanda, Sierra Leone, Togo, Uganda, United Republic of Tanzania, Uzbekistan, Viet Nam, Zambia, Zimbabwe</w:t>
            </w:r>
          </w:p>
        </w:tc>
        <w:tc>
          <w:tcPr>
            <w:tcW w:w="2400" w:type="dxa"/>
          </w:tcPr>
          <w:p>
            <w:r>
              <w:t xml:space="preserve">Country standardized: 'Sri Lanka' -&gt; 'Democratic Socialist Republic of Sri Lanka'.</w:t>
            </w:r>
          </w:p>
        </w:tc>
        <w:tc>
          <w:tcPr>
            <w:tcW w:w="2400" w:type="dxa"/>
          </w:tcPr>
          <w:p>
            <w:r>
              <w:t xml:space="preserve">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SB-001375.99.31</w:t>
            </w:r>
          </w:p>
        </w:tc>
        <w:tc>
          <w:tcPr>
            <w:tcW w:w="2400" w:type="dxa"/>
          </w:tcPr>
          <w:p>
            <w:r>
              <w:t xml:space="preserve">Capacity building workshop for developing countries presenting voluntary national reviews at the 2026 HLPF</w:t>
            </w:r>
          </w:p>
        </w:tc>
        <w:tc>
          <w:tcPr>
            <w:tcW w:w="2400" w:type="dxa"/>
          </w:tcPr>
          <w:p>
            <w:r>
              <w:t xml:space="preserve">Unspecified</w:t>
            </w:r>
          </w:p>
        </w:tc>
        <w:tc>
          <w:tcPr>
            <w:tcW w:w="2400" w:type="dxa"/>
          </w:tcPr>
          <w:p>
            <w:r>
              <w:t xml:space="preserve">08 Apr 2026</w:t>
            </w:r>
          </w:p>
        </w:tc>
        <w:tc>
          <w:tcPr>
            <w:tcW w:w="2400" w:type="dxa"/>
          </w:tcPr>
          <w:p>
            <w:r>
              <w:t xml:space="preserve">10 Apr 2026</w:t>
            </w:r>
          </w:p>
        </w:tc>
        <w:tc>
          <w:tcPr>
            <w:tcW w:w="2400" w:type="dxa"/>
          </w:tcPr>
          <w:p>
            <w:r>
              <w:t xml:space="preserve">$114,966</w:t>
            </w:r>
          </w:p>
        </w:tc>
        <w:tc>
          <w:tcPr>
            <w:tcW w:w="2400" w:type="dxa"/>
          </w:tcPr>
          <w:p>
            <w:r>
              <w:t xml:space="preserve">2,026</w:t>
            </w:r>
          </w:p>
        </w:tc>
        <w:tc>
          <w:tcPr>
            <w:tcW w:w="2400" w:type="dxa"/>
          </w:tcPr>
          <w:p>
            <w:r>
              <w:t xml:space="preserve">52</w:t>
            </w:r>
          </w:p>
        </w:tc>
        <w:tc>
          <w:tcPr>
            <w:tcW w:w="2400" w:type="dxa"/>
          </w:tcPr>
          <w:p>
            <w:r>
              <w:t xml:space="preserve">Country standardized: 'Saint Kitts and Nevis' -&gt; 'Federation of Saint Kitts and Nevis'. / Region standardized: 'global' -&gt; 'Global'.</w:t>
            </w:r>
          </w:p>
        </w:tc>
        <w:tc>
          <w:tcPr>
            <w:tcW w:w="2400" w:type="dxa"/>
          </w:tcPr>
          <w:p>
            <w:r>
              <w:t xml:space="preserve">activity.xlsx record 'SB-001375.99.31|row:4': '#Conventions' has non-numeric value 'no'. / activity.xlsx record 'SB-001375.99.31|row:4': '#Laws' has non-numeric value 'yes'. / activity.xlsx record 'SB-001375.99.31|row:4': '#National Plans' has non-numeric value 'yes'. / activity.xlsx record 'SB-001375.99.31|row:4': '#Policies' has non-numeric value 'yes'. / activity.xlsx record 'SB-001375.99.31|row:4': '#Reporting Obligations' has non-numeric value 'yes'. / activity.xlsx record 'SB-001375.99.31|row:4': '#Strategies' has non-numeric value 'yes'. / No matching proposal</w:t>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c>
          <w:tcPr>
            <w:tcW w:w="2400" w:type="dxa"/>
          </w:tcPr>
          <w:p>
            <w:r>
              <w:t xml:space="preserve"/>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African Statistical Knowledge Network in support of progress towards the internationally agreed development goals</w:t>
            </w:r>
          </w:p>
        </w:tc>
        <w:tc>
          <w:tcPr>
            <w:tcW w:w="2400" w:type="dxa"/>
          </w:tcPr>
          <w:p>
            <w:r>
              <w:t xml:space="preserve">2012</w:t>
            </w:r>
          </w:p>
        </w:tc>
        <w:tc>
          <w:tcPr>
            <w:tcW w:w="2400" w:type="dxa"/>
          </w:tcPr>
          <w:p>
            <w:r>
              <w:t xml:space="preserve">UNSD</w:t>
            </w:r>
          </w:p>
        </w:tc>
        <w:tc>
          <w:tcPr>
            <w:tcW w:w="2400" w:type="dxa"/>
          </w:tcPr>
          <w:p>
            <w:r>
              <w:t xml:space="preserve">Algeria, Angola, Benin, Botswana, Burkina Faso, Burundi, Cabo Verde, Cameroon, Central African Republic, Chad, Comoros, Congo, Côte d’Ivoire, Democratic Republic of the Congo, Djibouti, Egypt, Eritrea, Eswatini, Ethiopia, Gabon, Gambia, Ghana, Guinea, Guinea-Bissau, Kenya, Lesotho, Liberia, Madagascar, Malawi, Mali, Mauritania, Mauritius, Morocco, Mozambique, Namibia, Niger, Nigeria, Rwanda, Sao Tome and Principe, Senegal, Seychelles, Sierra Leone, Somalia, South Africa, Sudan, Togo, Tunisia, Uganda, United Republic of Tanzania, Zambia, Zimbabwe</w:t>
            </w:r>
          </w:p>
        </w:tc>
        <w:tc>
          <w:tcPr>
            <w:tcW w:w="2400" w:type="dxa"/>
          </w:tcPr>
          <w:p>
            <w:r>
              <w:t xml:space="preserve">- Create awareness and promote the value of ASK-Net aggressively by disseminating information in major meetings, conferences, and professional associations. / - Re-invigorate inactive sub-networks within ASK-Net, possibly by introducing incentives or removing inactive sub-networks from the website. / - Follow up with study tour participants periodically to assess if they are applying what they learned. / - Encourage network members to actively update and contribute to the ASK-Net website to ensure its long-term impact. / - Monitor ASK-Net website performance using tools like Google Analytics and report traffic statistics quarterly to management. / - Promote sub-regional collaboration and coordination with Regional Economic Communities (RECs) in implementing statistical projects. / - Take workshop participant evaluations seriously, archive analyzed results, and conduct follow-up after some time, especially for study tours. / - Conduct surveys and questionnaires to measure awareness, use, and knowledge sharing as a result of ASK-Net, as originally planned in the project document.</w:t>
            </w:r>
          </w:p>
        </w:tc>
        <w:tc>
          <w:tcPr>
            <w:tcW w:w="2400" w:type="dxa"/>
          </w:tcPr>
          <w:p>
            <w:r>
              <w:t xml:space="preserve">- The Steering Committee, in collaboration with ACS and UNSD, was crucial in aligning project deliveries with other statistical development initiatives in Africa. / - The revised study tour modality enhanced South-South cooperation by making expert support more relevant to countries in need. / - Almost all African countries participated in project events, but future workshops should consider the distribution of country participation across events. / - Some NSOs sent staff not directly involved in workshop themes, which reduced optimal experience sharing and network strengthening. / - Contributions from resource persons at UNSD, ILO, and other organizations raised the quality of workshop outputs to international standards. / - Involvement of development partners contributed to project success and ensured sustainability of outcomes. / - Compiling member country inputs through the ASK-Net website for the statistical data management handbook proved to be a useful and cost-saving approach. / - ACS staff benefited from project execution and experience sharing with UNSD.</w:t>
            </w:r>
          </w:p>
        </w:tc>
        <w:tc>
          <w:tcPr>
            <w:tcW w:w="2400" w:type="dxa"/>
          </w:tcPr>
          <w:p>
            <w:r>
              <w:t xml:space="preserve">https://unitednations.sharepoint.com/sites/DESA-CDPMO/Shared Documents/General/3. Finance Management/5 - DEVELOPMENT ACCOUNT/DA - DESA/03 PROJECTS - CLOSED/SD/ROA 102 - 6th tranche - Afr Stat Know Net towards Agreed Develop Goals/Progress Reports/ASKN Project Eval Rep-YZ-29 June.docx</w:t>
            </w:r>
          </w:p>
        </w:tc>
        <w:tc>
          <w:tcPr>
            <w:tcW w:w="2400" w:type="dxa"/>
          </w:tcPr>
          <w:p>
            <w:r>
              <w:t xml:space="preserve">Country standardized: 'Cape Verde' -&gt; 'Cabo Verde'. / Country standardized: 'Republic of the Congo' -&gt; 'Congo'. / Country standardized: 'Swaziland' -&gt; 'Eswatini'. / Country standardized: 'Tanzania' -&gt; 'United Republic of Tanzania'.</w:t>
            </w:r>
          </w:p>
        </w:tc>
        <w:tc>
          <w:tcPr>
            <w:tcW w:w="2400" w:type="dxa"/>
          </w:tcPr>
          <w:p>
            <w:r>
              <w:t xml:space="preserve"/>
            </w:r>
          </w:p>
        </w:tc>
      </w:tr>
      <w:tr>
        <w:tc>
          <w:tcPr>
            <w:tcW w:w="2400" w:type="dxa"/>
          </w:tcPr>
          <w:p>
            <w:r>
              <w:t xml:space="preserve">Inclusive Development for Indigenous Peoples in Africa</w:t>
            </w:r>
          </w:p>
        </w:tc>
        <w:tc>
          <w:tcPr>
            <w:tcW w:w="2400" w:type="dxa"/>
          </w:tcPr>
          <w:p>
            <w:r>
              <w:t xml:space="preserve">2024</w:t>
            </w:r>
          </w:p>
        </w:tc>
        <w:tc>
          <w:tcPr>
            <w:tcW w:w="2400" w:type="dxa"/>
          </w:tcPr>
          <w:p>
            <w:r>
              <w:t xml:space="preserve">DISD; CDPMO</w:t>
            </w:r>
          </w:p>
        </w:tc>
        <w:tc>
          <w:tcPr>
            <w:tcW w:w="2400" w:type="dxa"/>
          </w:tcPr>
          <w:p>
            <w:r>
              <w:t xml:space="preserve">Angola, Botswana, Burundi, Kenya, Malawi, Mozambique, Namibia, South Africa, Uganda, United Republic of Tanzania, Zambia, Zimbabwe</w:t>
            </w:r>
          </w:p>
        </w:tc>
        <w:tc>
          <w:tcPr>
            <w:tcW w:w="2400" w:type="dxa"/>
          </w:tcPr>
          <w:p>
            <w:r>
              <w:t xml:space="preserve">- Design and implement, with the participation of target governments and Indigenous Peoples, a second phase of the project to continue processes initiated in target countries, including developing Free, Prior and Informed Consent (FPIC) mechanisms, Indigenous Peoples' Analysis (IPA) per country/region, and supporting institutional capacity. / - Engage other bilateral and multilateral donors such as USAID, European Union, World Bank, and African Development Bank to mobilize technical and financial support, ensuring meaningful participation of Indigenous Peoples. / - Increase engagement with Indigenous Peoples in target countries by setting mechanisms to increase diversity and reach Indigenous Peoples in remote areas, supporting their participation in project activities and political processes. / - Increase the incorporation of United Nations Resident Coordinators and Country Teams into the project to enable conversations and support Indigenous Peoples' rights, engaging them in the development of Development Assistance Frameworks and country program action plans. / - Expand dialogue and training on Indigenous women, youth, and other groups in society that remain invisible, implementing the project through intersectional lenses and ensuring sufficient financial and technical capacity. / - Improve data collection, monitoring and evaluation, and database management, developing indicators in cooperation with Indigenous Peoples and target governments, and ensuring relevant qualitative indicators are set from the beginning of the project.</w:t>
            </w:r>
          </w:p>
        </w:tc>
        <w:tc>
          <w:tcPr>
            <w:tcW w:w="2400" w:type="dxa"/>
          </w:tcPr>
          <w:p>
            <w:r>
              <w:t xml:space="preserve">- Development approaches that respect Indigenous Peoples’ rights and engage them as partners in design, implementation, management, administration, monitoring, and evaluation are vital to achieving the 2030 Sustainable Development Goals. / - Flexibility and adaptability are essential in project implementation to respond to emerging needs and local contexts, as demonstrated by the development of a conservation toolkit and COVID-19 materials. / - Ownership of the process by Indigenous Peoples and stakeholders at different levels is key to sustainability and success. / - Capacity development and participatory approaches are effective in strengthening national capacities and advancing policy drafts, but institutionalization and political support are necessary for long-term impact. / - Ensuring diversity and inclusion, particularly of Indigenous women and youth, requires targeted activities and proactive engagement strategies. / - Improved monitoring mechanisms, data collection, and systematic evaluation are needed to better assess project outcomes and inform future efforts.</w:t>
            </w:r>
          </w:p>
        </w:tc>
        <w:tc>
          <w:tcPr>
            <w:tcW w:w="2400" w:type="dxa"/>
          </w:tcPr>
          <w:p>
            <w:r>
              <w:t xml:space="preserve">https://unitednations.sharepoint.com/sites/DESA-CDPMO/Shared Documents/General/3. Finance Management/5 - DEVELOPMENT ACCOUNT/DA - DESA/03 PROJECTS - CLOSED/DISD/2023C SB-014517 Indigenous in Africa/Evaluation/DESA_2023C_Evaluation report_Mngt response.pdf</w:t>
            </w:r>
          </w:p>
        </w:tc>
        <w:tc>
          <w:tcPr>
            <w:tcW w:w="2400" w:type="dxa"/>
          </w:tcPr>
          <w:p>
            <w:r>
              <w:t xml:space="preserve">Country standardized: 'Tanzania' -&gt; 'United Republic of Tanzania'.</w:t>
            </w:r>
          </w:p>
        </w:tc>
        <w:tc>
          <w:tcPr>
            <w:tcW w:w="2400" w:type="dxa"/>
          </w:tcPr>
          <w:p>
            <w:r>
              <w:t xml:space="preserve"/>
            </w:r>
          </w:p>
        </w:tc>
      </w:tr>
      <w:tr>
        <w:tc>
          <w:tcPr>
            <w:tcW w:w="2400" w:type="dxa"/>
          </w:tcPr>
          <w:p>
            <w:r>
              <w:t xml:space="preserve">Strengthening the geospatial information management capacities of developing countries for better policy making at national, regional and international level</w:t>
            </w:r>
          </w:p>
        </w:tc>
        <w:tc>
          <w:tcPr>
            <w:tcW w:w="2400" w:type="dxa"/>
          </w:tcPr>
          <w:p>
            <w:r>
              <w:t xml:space="preserve">2015</w:t>
            </w:r>
          </w:p>
        </w:tc>
        <w:tc>
          <w:tcPr>
            <w:tcW w:w="2400" w:type="dxa"/>
          </w:tcPr>
          <w:p>
            <w:r>
              <w:t xml:space="preserve">UNSD</w:t>
            </w:r>
          </w:p>
        </w:tc>
        <w:tc>
          <w:tcPr>
            <w:tcW w:w="2400" w:type="dxa"/>
          </w:tcPr>
          <w:p>
            <w:r>
              <w:t xml:space="preserve">Algeria, Argentina, Bangladesh, Bolivia (Plurinational State of), Botswana, Brazil, Burkina Faso, Burundi, Cabo Verde, Cameroon, Chile, Costa Rica, Côte d’Ivoire, Ecuador, Egypt, Ethiopia, Guyana, Jordan, Kenya, Korea, Lebanon, Madagascar, Morocco, Nigeria, South Africa, State of Palestine, Sudan, Togo, Tunisia, Uganda, Uruguay</w:t>
            </w:r>
          </w:p>
        </w:tc>
        <w:tc>
          <w:tcPr>
            <w:tcW w:w="2400" w:type="dxa"/>
          </w:tcPr>
          <w:p>
            <w:r>
              <w:t xml:space="preserve">- Create conditions to improve the technological and knowledge transfer from developed to developing countries. / - Widely promote the adoption of internationally accepted standards related to the generation, process, dissemination and use of geospatial information, created by major standards organizations such as ISO/TC211, OGC, and IHO. / - Include the integration of statistical and geospatial information as a core issue in the UN-GGIM plan work for developing countries, especially in support of the 2020 Round of Censuses and Big Data. / - Continue the work with support of the regional committees of UN-GGIM and the countries themselves to encourage the building of spatial data infrastructures. / - Raise the awareness of the importance of geospatial information at the policy and decision making levels, and strengthen human capacities in developing countries through comprehensive trainings on geodesy, cartography, remote sensing, GIS, and geostatistical mapping.</w:t>
            </w:r>
          </w:p>
        </w:tc>
        <w:tc>
          <w:tcPr>
            <w:tcW w:w="2400" w:type="dxa"/>
          </w:tcPr>
          <w:p>
            <w:r>
              <w:t xml:space="preserve">- The Steering Committee and UNSD/DESA played an important role in aligning the deliveries of the project. / - UNSD/DESA-led projects are effective in connecting experts with organizations and countries interested in geospatial knowledge. / - At a global level, only an organization such as the UN through UNSD/DESA has the capacity to convene and lead projects of this magnitude. / - Developing countries need to increase their technological capacities, which requires more financial resources. / - Improving geospatial information management requires the creation of policies, rules, and methods for information generation, management, dissemination, and use. / - Increasing awareness and support for geospatial and statistical activities among high-level politicians and decision makers is necessary. / - Specialized human resources training is essential for functional geospatial information, beyond just technical, financial, and methodological resources. / - The information exchange mechanism used in this project was effective, allowing developing countries to learn from best practices. / - Institutional coordination between geospatial and statistical offices is still a work in progress and needs to be strengthened. / - Significant gaps in geospatial data and infrastructure exist in developing countries, and this project has helped indicate the right direction. / - There is a lack of economic resources to keep information updated in some developing countries. / - Technological capacities related to geospatial information need to be upgraded. / - There is still a lack of policies, rules, and methods for geospatial information management in some developing countries. / - Specialized human resources training in geospatial disciplines and statistics is essential. / - Strong efforts are needed to create and maintain spatial data infrastructures at all levels, considering the Global Geodetic Reference Frame. / - Awareness and support for geospatial and statistical activities from high-level decision makers need improvement. / - The 2030 Sustainable Development agenda and the 2020 Round of Censuses should be leveraged to reinforce the use of geospatial and statistical data, with executional and follow-up mechanisms for expected outcomes.</w:t>
            </w:r>
          </w:p>
        </w:tc>
        <w:tc>
          <w:tcPr>
            <w:tcW w:w="2400" w:type="dxa"/>
          </w:tcPr>
          <w:p>
            <w:r>
              <w:t xml:space="preserve">https://unitednations.sharepoint.com/sites/DESA-CDPMO/Shared Documents/General/3. Finance Management/5 - DEVELOPMENT ACCOUNT/DA - DESA/03 PROJECTS - CLOSED/SD/ROA 212 - 8th tranche - Geospatial/Evaluation report/Evaluation Report- DA Project-212-8.docx</w:t>
            </w:r>
          </w:p>
        </w:tc>
        <w:tc>
          <w:tcPr>
            <w:tcW w:w="2400" w:type="dxa"/>
          </w:tcPr>
          <w:p>
            <w:r>
              <w:t xml:space="preserve">Country standardized: 'Bolivia' -&gt; 'Bolivia (Plurinational State of)'. / Country standardized: 'Cape Verde' -&gt; 'Cabo Verde'. / Country standardized: 'Cote d’Ivoire' -&gt; 'Côte d’Ivoire'. / Country standardized: 'Palestine' -&gt; 'State of Palestine'. / Country standardized: 'Republic of Korea' -&gt; 'Korea'.</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Supporting Member States in developing and strengthening environment statistics and integrated environmental-economic accounting for improved monitoring of sustainable development</w:t>
            </w:r>
          </w:p>
        </w:tc>
        <w:tc>
          <w:tcPr>
            <w:tcW w:w="2400" w:type="dxa"/>
          </w:tcPr>
          <w:p>
            <w:r>
              <w:t xml:space="preserve">2018</w:t>
            </w:r>
          </w:p>
        </w:tc>
        <w:tc>
          <w:tcPr>
            <w:tcW w:w="2400" w:type="dxa"/>
          </w:tcPr>
          <w:p>
            <w:r>
              <w:t xml:space="preserve">UNSD</w:t>
            </w:r>
          </w:p>
        </w:tc>
        <w:tc>
          <w:tcPr>
            <w:tcW w:w="2400" w:type="dxa"/>
          </w:tcPr>
          <w:p>
            <w:r>
              <w:t xml:space="preserve">Burundi, Indonesia, Kenya, Malaysia, Rwanda, South Sudan, Uganda, United Republic of Tanzania</w:t>
            </w:r>
          </w:p>
        </w:tc>
        <w:tc>
          <w:tcPr>
            <w:tcW w:w="2400" w:type="dxa"/>
          </w:tcPr>
          <w:p>
            <w:r>
              <w:t xml:space="preserve">- Future projects in the African region should encourage more equal gender participation in the workshops. / - Future projects working across different UNSD areas should set out guidelines for a consistent level of documentation that should be produced for each activity. / - International agencies and NSOs providing training programmes need to collaborate on the timing and content of their projects to ensure resources are used effectively and participating countries get the best value out of the activities. / - At the completion of the project, discussions should be undertaken with participating countries to assess what future support is needed and is available to assist with meeting the objectives of their national action plans.</w:t>
            </w:r>
          </w:p>
        </w:tc>
        <w:tc>
          <w:tcPr>
            <w:tcW w:w="2400" w:type="dxa"/>
          </w:tcPr>
          <w:p>
            <w:r>
              <w:t xml:space="preserve">- Workshops organized as part of the capacity building and concluding phases played a significant role in the successful outcome of the project objectives, especially by enabling the sharing of experiences among countries. / - Engaging consultants and providing guidance and feedback from UNSD was essential for countries to develop meaningful national action plans and environment statistics compendiums and pilot SEEA accounts. / - The involvement and support of regional organizations and other United Nations agencies contributed to the success and sustainability of the project outcomes. / - The project complemented broader goals of regional unions such as EAC, GDSA, and ASEAN, and future projects would benefit from working with groups of countries in similar unions. / - Working with countries in a sub-regional setting or with countries that work closely together in developing their statistical systems helped motivate progress and proved useful in advancing the implementation of SEEA and FDES. / - Participation of agencies outside the NSOs should be encouraged in similar projects, as environment data comes from a range of sources. / - FDES and SEEA frameworks, though both related to environment statistics, are generally the responsibility of different areas in the NSOs and require different implementation strategies; there are no dependencies in their implementation and countries can choose based on policy priorities. / - Examples of environmental-economic accounting drawn from the region or other developing countries were particularly helpful in understanding how to build the accounts; future projects should include more such examples. / - There is strong interest from all participating countries to continue or commence developing environmental-economic accounting programmes, and the project demonstrated that pilot SEEA accounts can be implemented successfully in data poor environments. / - The project was timely as participating countries noted that the 'environment' was becoming a key issue in policy dialogues, and the FDES and SEEA frameworks provide a response to global initiatives such as the SDGs and the 2030 sustainability agenda.</w:t>
            </w:r>
          </w:p>
        </w:tc>
        <w:tc>
          <w:tcPr>
            <w:tcW w:w="2400" w:type="dxa"/>
          </w:tcPr>
          <w:p>
            <w:r>
              <w:t xml:space="preserve">https://unitednations.sharepoint.com/sites/DESA-CDPMO/Shared Documents/General/3. Finance Management/5 - DEVELOPMENT ACCOUNT/DA - DESA/Audits/2018 Audit information/ROA 258 - UNSD Final Evalution Report.pdf</w:t>
            </w:r>
          </w:p>
        </w:tc>
        <w:tc>
          <w:tcPr>
            <w:tcW w:w="2400" w:type="dxa"/>
          </w:tcPr>
          <w:p>
            <w:r>
              <w:t xml:space="preserve"/>
            </w:r>
          </w:p>
        </w:tc>
        <w:tc>
          <w:tcPr>
            <w:tcW w:w="2400" w:type="dxa"/>
          </w:tcPr>
          <w:p>
            <w:r>
              <w:t xml:space="preserve">evaluations.xlsx rows 211 (archived) and 209 (retained): Review conflicts: LessonsLearnedList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'SB-001375.99.31|row:4': '#Conventions' has non-numeric value 'no'.</w:t>
            </w:r>
          </w:p>
        </w:tc>
      </w:tr>
      <w:tr>
        <w:tc>
          <w:tcPr>
            <w:tcW w:w="2400" w:type="dxa"/>
          </w:tcPr>
          <w:p>
            <w:r>
              <w:t xml:space="preserve">2</w:t>
            </w:r>
          </w:p>
        </w:tc>
        <w:tc>
          <w:tcPr>
            <w:tcW w:w="2400" w:type="dxa"/>
          </w:tcPr>
          <w:p>
            <w:r>
              <w:t xml:space="preserve">activity.xlsx record 'SB-001375.99.31|row:4': '#Laws' has non-numeric value 'yes'.</w:t>
            </w:r>
          </w:p>
        </w:tc>
      </w:tr>
      <w:tr>
        <w:tc>
          <w:tcPr>
            <w:tcW w:w="2400" w:type="dxa"/>
          </w:tcPr>
          <w:p>
            <w:r>
              <w:t xml:space="preserve">3</w:t>
            </w:r>
          </w:p>
        </w:tc>
        <w:tc>
          <w:tcPr>
            <w:tcW w:w="2400" w:type="dxa"/>
          </w:tcPr>
          <w:p>
            <w:r>
              <w:t xml:space="preserve">activity.xlsx record 'SB-001375.99.31|row:4': '#National Plans' has non-numeric value 'yes'.</w:t>
            </w:r>
          </w:p>
        </w:tc>
      </w:tr>
      <w:tr>
        <w:tc>
          <w:tcPr>
            <w:tcW w:w="2400" w:type="dxa"/>
          </w:tcPr>
          <w:p>
            <w:r>
              <w:t xml:space="preserve">4</w:t>
            </w:r>
          </w:p>
        </w:tc>
        <w:tc>
          <w:tcPr>
            <w:tcW w:w="2400" w:type="dxa"/>
          </w:tcPr>
          <w:p>
            <w:r>
              <w:t xml:space="preserve">activity.xlsx record 'SB-001375.99.31|row:4': '#Policies' has non-numeric value 'yes'.</w:t>
            </w:r>
          </w:p>
        </w:tc>
      </w:tr>
      <w:tr>
        <w:tc>
          <w:tcPr>
            <w:tcW w:w="2400" w:type="dxa"/>
          </w:tcPr>
          <w:p>
            <w:r>
              <w:t xml:space="preserve">5</w:t>
            </w:r>
          </w:p>
        </w:tc>
        <w:tc>
          <w:tcPr>
            <w:tcW w:w="2400" w:type="dxa"/>
          </w:tcPr>
          <w:p>
            <w:r>
              <w:t xml:space="preserve">activity.xlsx record 'SB-001375.99.31|row:4': '#Reporting Obligations' has non-numeric value 'yes'.</w:t>
            </w:r>
          </w:p>
        </w:tc>
      </w:tr>
      <w:tr>
        <w:tc>
          <w:tcPr>
            <w:tcW w:w="2400" w:type="dxa"/>
          </w:tcPr>
          <w:p>
            <w:r>
              <w:t xml:space="preserve">6</w:t>
            </w:r>
          </w:p>
        </w:tc>
        <w:tc>
          <w:tcPr>
            <w:tcW w:w="2400" w:type="dxa"/>
          </w:tcPr>
          <w:p>
            <w:r>
              <w:t xml:space="preserve">activity.xlsx record 'SB-001375.99.31|row:4': '#Strategies' has non-numeric value 'yes'.</w:t>
            </w:r>
          </w:p>
        </w:tc>
      </w:tr>
      <w:tr>
        <w:tc>
          <w:tcPr>
            <w:tcW w:w="2400" w:type="dxa"/>
          </w:tcPr>
          <w:p>
            <w:r>
              <w:t xml:space="preserve">7</w:t>
            </w:r>
          </w:p>
        </w:tc>
        <w:tc>
          <w:tcPr>
            <w:tcW w:w="2400" w:type="dxa"/>
          </w:tcPr>
          <w:p>
            <w:r>
              <w:t xml:space="preserve">evaluations.xlsx record 'row:206': Country text 'French Guiana' could not be matched; no country assignment was inferred.</w:t>
            </w:r>
          </w:p>
        </w:tc>
      </w:tr>
      <w:tr>
        <w:tc>
          <w:tcPr>
            <w:tcW w:w="2400" w:type="dxa"/>
          </w:tcPr>
          <w:p>
            <w:r>
              <w:t xml:space="preserve">8</w:t>
            </w:r>
          </w:p>
        </w:tc>
        <w:tc>
          <w:tcPr>
            <w:tcW w:w="2400" w:type="dxa"/>
          </w:tcPr>
          <w:p>
            <w:r>
              <w:t xml:space="preserve">evaluations.xlsx rows 211 (archived) and 209 (retained): Review conflicts: LessonsLearnedList differs between document copies. Country lists were not merged.</w:t>
            </w:r>
          </w:p>
        </w:tc>
      </w:tr>
      <w:tr>
        <w:tc>
          <w:tcPr>
            <w:tcW w:w="2400" w:type="dxa"/>
          </w:tcPr>
          <w:p>
            <w:r>
              <w:t xml:space="preserve">9</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10</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11</w:t>
            </w:r>
          </w:p>
        </w:tc>
        <w:tc>
          <w:tcPr>
            <w:tcW w:w="2400" w:type="dxa"/>
          </w:tcPr>
          <w:p>
            <w:r>
              <w:t xml:space="preserve">GeoData_with_ISO3166_alpha3.xlsx: last modified 2026-05-22, more than 30 days before ingestion (134 days).</w:t>
            </w:r>
          </w:p>
        </w:tc>
      </w:tr>
      <w:tr>
        <w:tc>
          <w:tcPr>
            <w:tcW w:w="2400" w:type="dxa"/>
          </w:tcPr>
          <w:p>
            <w:r>
              <w:t xml:space="preserve">12</w:t>
            </w:r>
          </w:p>
        </w:tc>
        <w:tc>
          <w:tcPr>
            <w:tcW w:w="2400" w:type="dxa"/>
          </w:tcPr>
          <w:p>
            <w:r>
              <w:t xml:space="preserve">requests.xlsx record '4741': Countries Country text 'Mayotte' could not be matched; no country assignment was inferred.</w:t>
            </w:r>
          </w:p>
        </w:tc>
      </w:tr>
      <w:tr>
        <w:tc>
          <w:tcPr>
            <w:tcW w:w="2400" w:type="dxa"/>
          </w:tcPr>
          <w:p>
            <w:r>
              <w:t xml:space="preserve">13</w:t>
            </w:r>
          </w:p>
        </w:tc>
        <w:tc>
          <w:tcPr>
            <w:tcW w:w="2400" w:type="dxa"/>
          </w:tcPr>
          <w:p>
            <w:r>
              <w:t xml:space="preserve">requests.xlsx record '4741': Countries Country text 'Reunion' could not be matched; no country assignment was inferred.</w:t>
            </w:r>
          </w:p>
        </w:tc>
      </w:tr>
      <w:tr>
        <w:tc>
          <w:tcPr>
            <w:tcW w:w="2400" w:type="dxa"/>
          </w:tcPr>
          <w:p>
            <w:r>
              <w:t xml:space="preserve">14</w:t>
            </w:r>
          </w:p>
        </w:tc>
        <w:tc>
          <w:tcPr>
            <w:tcW w:w="2400" w:type="dxa"/>
          </w:tcPr>
          <w:p>
            <w:r>
              <w:t xml:space="preserve">requests.xlsx record '4741': Countries Country text 'Saint Helena' could not be matched; no country assignment was inferred.</w:t>
            </w:r>
          </w:p>
        </w:tc>
      </w:tr>
      <w:tr>
        <w:tc>
          <w:tcPr>
            <w:tcW w:w="2400" w:type="dxa"/>
          </w:tcPr>
          <w:p>
            <w:r>
              <w:t xml:space="preserve">15</w:t>
            </w:r>
          </w:p>
        </w:tc>
        <w:tc>
          <w:tcPr>
            <w:tcW w:w="2400" w:type="dxa"/>
          </w:tcPr>
          <w:p>
            <w:r>
              <w:t xml:space="preserve">requests.xlsx record '4741': Country 'Mayotte' could not be matched to an ISO3 value.</w:t>
            </w:r>
          </w:p>
        </w:tc>
      </w:tr>
      <w:tr>
        <w:tc>
          <w:tcPr>
            <w:tcW w:w="2400" w:type="dxa"/>
          </w:tcPr>
          <w:p>
            <w:r>
              <w:t xml:space="preserve">16</w:t>
            </w:r>
          </w:p>
        </w:tc>
        <w:tc>
          <w:tcPr>
            <w:tcW w:w="2400" w:type="dxa"/>
          </w:tcPr>
          <w:p>
            <w:r>
              <w:t xml:space="preserve">requests.xlsx record '4741': Country 'Reunion' could not be matched to an ISO3 value.</w:t>
            </w:r>
          </w:p>
        </w:tc>
      </w:tr>
      <w:tr>
        <w:tc>
          <w:tcPr>
            <w:tcW w:w="2400" w:type="dxa"/>
          </w:tcPr>
          <w:p>
            <w:r>
              <w:t xml:space="preserve">17</w:t>
            </w:r>
          </w:p>
        </w:tc>
        <w:tc>
          <w:tcPr>
            <w:tcW w:w="2400" w:type="dxa"/>
          </w:tcPr>
          <w:p>
            <w:r>
              <w:t xml:space="preserve">requests.xlsx record '4741': Country 'Saint Helena' could not be matched to an ISO3 value.</w:t>
            </w:r>
          </w:p>
        </w:tc>
      </w:tr>
      <w:tr>
        <w:tc>
          <w:tcPr>
            <w:tcW w:w="2400" w:type="dxa"/>
          </w:tcPr>
          <w:p>
            <w:r>
              <w:t xml:space="preserve">18</w:t>
            </w:r>
          </w:p>
        </w:tc>
        <w:tc>
          <w:tcPr>
            <w:tcW w:w="2400" w:type="dxa"/>
          </w:tcPr>
          <w:p>
            <w:r>
              <w:t xml:space="preserve">requests.xlsx record '4741': Country text 'Mayotte' could not be matched; no country assignment was inferred.</w:t>
            </w:r>
          </w:p>
        </w:tc>
      </w:tr>
      <w:tr>
        <w:tc>
          <w:tcPr>
            <w:tcW w:w="2400" w:type="dxa"/>
          </w:tcPr>
          <w:p>
            <w:r>
              <w:t xml:space="preserve">19</w:t>
            </w:r>
          </w:p>
        </w:tc>
        <w:tc>
          <w:tcPr>
            <w:tcW w:w="2400" w:type="dxa"/>
          </w:tcPr>
          <w:p>
            <w:r>
              <w:t xml:space="preserve">requests.xlsx record '4741': Country text 'Reunion' could not be matched; no country assignment was inferred.</w:t>
            </w:r>
          </w:p>
        </w:tc>
      </w:tr>
      <w:tr>
        <w:tc>
          <w:tcPr>
            <w:tcW w:w="2400" w:type="dxa"/>
          </w:tcPr>
          <w:p>
            <w:r>
              <w:t xml:space="preserve">20</w:t>
            </w:r>
          </w:p>
        </w:tc>
        <w:tc>
          <w:tcPr>
            <w:tcW w:w="2400" w:type="dxa"/>
          </w:tcPr>
          <w:p>
            <w:r>
              <w:t xml:space="preserve">requests.xlsx record '4741': Country text 'Saint Helena' could not be matched; no country assignment was inferred.</w:t>
            </w:r>
          </w:p>
        </w:tc>
      </w:tr>
      <w:tr>
        <w:tc>
          <w:tcPr>
            <w:tcW w:w="2400" w:type="dxa"/>
          </w:tcPr>
          <w:p>
            <w:r>
              <w:t xml:space="preserve">21</w:t>
            </w:r>
          </w:p>
        </w:tc>
        <w:tc>
          <w:tcPr>
            <w:tcW w:w="2400" w:type="dxa"/>
          </w:tcPr>
          <w:p>
            <w:r>
              <w:t xml:space="preserve">requests.xlsx record '5575': End date 2026-09-12 is before start date 2026-11-08.</w:t>
            </w:r>
          </w:p>
        </w:tc>
      </w:tr>
      <w:tr>
        <w:tc>
          <w:tcPr>
            <w:tcW w:w="2400" w:type="dxa"/>
          </w:tcPr>
          <w:p>
            <w:r>
              <w:t xml:space="preserve">22</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23</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24</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25</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26</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27</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28</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29</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30</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31</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32</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33</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34</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35</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36</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37</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38</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39</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40</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41</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42</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43</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44</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45</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46</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47</w:t>
            </w:r>
          </w:p>
        </w:tc>
        <w:tc>
          <w:tcPr>
            <w:tcW w:w="2400" w:type="dxa"/>
          </w:tcPr>
          <w:p>
            <w:r>
              <w:t xml:space="preserve">Resolved - Action: duplicate evaluation at evaluations.xlsx row 306 removed; retained row 297 ().</w:t>
            </w:r>
          </w:p>
        </w:tc>
      </w:tr>
      <w:tr>
        <w:tc>
          <w:tcPr>
            <w:tcW w:w="2400" w:type="dxa"/>
          </w:tcPr>
          <w:p>
            <w:r>
              <w:t xml:space="preserve">48</w:t>
            </w:r>
          </w:p>
        </w:tc>
        <w:tc>
          <w:tcPr>
            <w:tcW w:w="2400" w:type="dxa"/>
          </w:tcPr>
          <w:p>
            <w:r>
              <w:t xml:space="preserve">Resolved - Action: duplicate evaluation at evaluations.xlsx row 332 removed; retained row 302 ().</w:t>
            </w:r>
          </w:p>
        </w:tc>
      </w:tr>
      <w:tr>
        <w:tc>
          <w:tcPr>
            <w:tcW w:w="2400" w:type="dxa"/>
          </w:tcPr>
          <w:p>
            <w:r>
              <w:t xml:space="preserve">49</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50</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51</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52</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53</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54</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55</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56</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57</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58</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59</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60</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61</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62</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63</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64</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65</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66</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67</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68</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