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Bahrain</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Bahrain is presented in this country card as part of Asia, with Bahrain also associated with an unspecified subregion and the no recorded country group grouping. The filtered data for Bahrain highlights 0 projects for Bahrain, including 0 active or planned projects for Bahrain and 0 completed or closed projects for Bahrain.</w:t>
      </w:r>
    </w:p>
    <w:p>
      <w:r>
        <w:t xml:space="preserve">For Bahrain, the report includes 7 requests for Bahrain, 4 RPTC proposals for Bahrain, 0 RPTC activities for Bahrain, and 0 travel records for Bahrain. Financially, Bahrain shows Not provided in project budget, $162,020 in proposal planned budget, and $0 in consumed RPTC activity budget for Bahrain.</w:t>
      </w:r>
    </w:p>
    <w:p>
      <w:r>
        <w:t xml:space="preserve">The main organizational coverage for Bahrain points to Division for Sustainable Development Goals, Financing for Sustainable Development Office, FSDO, OISC. Activity records for Bahrain list 0 participants, including 0 women participants, the current quality review for Bahrain includes 50 data quality notes. Current highlights for Bahrain include a request focus for Bahrain: 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w:t>
      </w:r>
      <w:r>
        <w:br/>
        <w:t xml:space="preserve"/>
      </w:r>
      <w:r>
        <w:br/>
        <w:t xml:space="preserve">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w:t>
      </w:r>
      <w:r>
        <w:br/>
        <w:t xml:space="preserve"/>
      </w:r>
      <w:r>
        <w:br/>
        <w:t xml:space="preserve">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 an RPTC proposal focus for Bahrain: Capacity building workshop for developing countries presenting voluntary national reviews at the 2026 HLPF .</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$162,020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5562</w:t>
            </w:r>
          </w:p>
        </w:tc>
        <w:tc>
          <w:tcPr>
            <w:tcW w:w="2400" w:type="dxa"/>
          </w:tcPr>
          <w:p>
            <w:r>
              <w:t xml:space="preserve">Request #5562 ? 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c>
          <w:tcPr>
            <w:tcW w:w="2400" w:type="dxa"/>
          </w:tcPr>
          <w:p>
            <w:r>
              <w:t xml:space="preserve">Under consideration</w:t>
            </w:r>
          </w:p>
        </w:tc>
        <w:tc>
          <w:tcPr>
            <w:tcW w:w="2400" w:type="dxa"/>
          </w:tcPr>
          <w:p>
            <w:r>
              <w:t xml:space="preserve">Statistics Division</w:t>
            </w:r>
          </w:p>
        </w:tc>
        <w:tc>
          <w:tcPr>
            <w:tcW w:w="2400" w:type="dxa"/>
          </w:tcPr>
          <w:p>
            <w:r>
              <w:t xml:space="preserve">08 Jul 2026</w:t>
            </w:r>
          </w:p>
        </w:tc>
        <w:tc>
          <w:tcPr>
            <w:tcW w:w="2400" w:type="dxa"/>
          </w:tcPr>
          <w:p>
            <w:r>
              <w:t xml:space="preserve">23 Aug 2026</w:t>
            </w:r>
          </w:p>
        </w:tc>
        <w:tc>
          <w:tcPr>
            <w:tcW w:w="2400" w:type="dxa"/>
          </w:tcPr>
          <w:p>
            <w:r>
              <w:t xml:space="preserve">28 Aug 2026</w:t>
            </w:r>
          </w:p>
        </w:tc>
        <w:tc>
          <w:tcPr>
            <w:tcW w:w="2400" w:type="dxa"/>
          </w:tcPr>
          <w:p>
            <w:r>
              <w:t xml:space="preserve">Harumi Shibata Salazar | shibata@un.org</w:t>
            </w:r>
          </w:p>
        </w:tc>
        <w:tc>
          <w:tcPr>
            <w:tcW w:w="2400" w:type="dxa"/>
          </w:tcPr>
          <w:p>
            <w:r>
              <w:t xml:space="preserve">This workshop is held in response to a request from the Gulf Cooperation Council (GCC) on behalf of its member states who require more in-depth coverage of some aspects of automated data and metadata exchange. GCC will provide the venue and funding of participants, while UNSD and ESCWA will cover their own staff travel costs.  / As part of this sub-regional 3-day workshop, the Gulf Cooperation Council plans to invite 3â€“4 participants each from the 6 GCC countries and GCC-STAT (expected total 20-25 participants) and tailor the activities to their specific needs. This workshop will enable the participants to enhance the exchange and dissemination of statistical data and metadata using the global standard SDMX format as well as strengthen the countriesâ€™ reporting of their national SDG datasets to the ESCWA data portal, increasing the accessibility and availability of SDG data for the ESCWA region.  / In particular, this workshop focuses on strengthening metadata practices including modelling, dissemination, and exchange. Metadata collection and dissemination often receive less attention compared to data production, despite being critical for ensuring transparency, comparability, and usability of statistics. Without comprehensive metadata, users cannot fully understand the context, methodology, or limitations of the data, which undermines its value for policy-making and analysis.</w:t>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r>
      <w:tr>
        <w:tc>
          <w:tcPr>
            <w:tcW w:w="2400" w:type="dxa"/>
          </w:tcPr>
          <w:p>
            <w:r>
              <w:t xml:space="preserve">5143</w:t>
            </w:r>
          </w:p>
        </w:tc>
        <w:tc>
          <w:tcPr>
            <w:tcW w:w="2400" w:type="dxa"/>
          </w:tcPr>
          <w:p>
            <w:r>
              <w:t xml:space="preserve">Request #5143 ? 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c>
          <w:tcPr>
            <w:tcW w:w="2400" w:type="dxa"/>
          </w:tcPr>
          <w:p>
            <w:r>
              <w:t xml:space="preserve">Under consideration</w:t>
            </w:r>
          </w:p>
        </w:tc>
        <w:tc>
          <w:tcPr>
            <w:tcW w:w="2400" w:type="dxa"/>
          </w:tcPr>
          <w:p>
            <w:r>
              <w:t xml:space="preserve">Statistics Division</w:t>
            </w:r>
          </w:p>
        </w:tc>
        <w:tc>
          <w:tcPr>
            <w:tcW w:w="2400" w:type="dxa"/>
          </w:tcPr>
          <w:p>
            <w:r>
              <w:t xml:space="preserve">09 Oct 2024</w:t>
            </w:r>
          </w:p>
        </w:tc>
        <w:tc>
          <w:tcPr>
            <w:tcW w:w="2400" w:type="dxa"/>
          </w:tcPr>
          <w:p>
            <w:r>
              <w:t xml:space="preserve">14 Apr 2025</w:t>
            </w:r>
          </w:p>
        </w:tc>
        <w:tc>
          <w:tcPr>
            <w:tcW w:w="2400" w:type="dxa"/>
          </w:tcPr>
          <w:p>
            <w:r>
              <w:t xml:space="preserve">16 Apr 2025</w:t>
            </w:r>
          </w:p>
        </w:tc>
        <w:tc>
          <w:tcPr>
            <w:tcW w:w="2400" w:type="dxa"/>
          </w:tcPr>
          <w:p>
            <w:r>
              <w:t xml:space="preserve">Ms. Intisar Abdullah Al Wahaibi | ialwahaibi@gccstat.org</w:t>
            </w:r>
          </w:p>
        </w:tc>
        <w:tc>
          <w:tcPr>
            <w:tcW w:w="2400" w:type="dxa"/>
          </w:tcPr>
          <w:p>
            <w:r>
              <w:t xml:space="preserve">Countries in the UNESCWA region, including member states of the Cooperation Council for the Arab Countries of the Gulf (GCC) through the Statistical Centre for the Cooperation Council for the Arab Countries of the Gulf (â€œGCC-Statâ€) have requested UNSD to organize a Regional Workshop on the revised trade statistics manuals: International Merchandise Trade Statistics; Concepts and Definitions (IMTS 2026), the Manual on Statistics on International Trade in Services (MSITS 2026) and the Handbook on Integrating Business and Trade Statistics (HIBTS).</w:t>
            </w:r>
          </w:p>
        </w:tc>
      </w:tr>
      <w:tr>
        <w:tc>
          <w:tcPr>
            <w:tcW w:w="2400" w:type="dxa"/>
          </w:tcPr>
          <w:p>
            <w:r>
              <w:t xml:space="preserve">5056</w:t>
            </w:r>
          </w:p>
        </w:tc>
        <w:tc>
          <w:tcPr>
            <w:tcW w:w="2400" w:type="dxa"/>
          </w:tcPr>
          <w:p>
            <w:r>
              <w:t xml:space="preserve">Request #5056 ? Support new ministry established to promote sustainable development and SDG alignment in national planning with technical advice on sustainable finance issues including SDG investment preparation and mobilization through bonds and other innovative approaches.</w:t>
            </w:r>
          </w:p>
        </w:tc>
        <w:tc>
          <w:tcPr>
            <w:tcW w:w="2400" w:type="dxa"/>
          </w:tcPr>
          <w:p>
            <w:r>
              <w:t xml:space="preserve">Ongoing</w:t>
            </w:r>
          </w:p>
        </w:tc>
        <w:tc>
          <w:tcPr>
            <w:tcW w:w="2400" w:type="dxa"/>
          </w:tcPr>
          <w:p>
            <w:r>
              <w:t xml:space="preserve">Financing for Sustainable Development Office</w:t>
            </w:r>
          </w:p>
        </w:tc>
        <w:tc>
          <w:tcPr>
            <w:tcW w:w="2400" w:type="dxa"/>
          </w:tcPr>
          <w:p>
            <w:r>
              <w:t xml:space="preserve">06 Sept 2024</w:t>
            </w:r>
          </w:p>
        </w:tc>
        <w:tc>
          <w:tcPr>
            <w:tcW w:w="2400" w:type="dxa"/>
          </w:tcPr>
          <w:p>
            <w:r>
              <w:t xml:space="preserve">01 Jan 2024</w:t>
            </w:r>
          </w:p>
        </w:tc>
        <w:tc>
          <w:tcPr>
            <w:tcW w:w="2400" w:type="dxa"/>
          </w:tcPr>
          <w:p>
            <w:r>
              <w:t xml:space="preserve">31 Jul 2025</w:t>
            </w:r>
          </w:p>
        </w:tc>
        <w:tc>
          <w:tcPr>
            <w:tcW w:w="2400" w:type="dxa"/>
          </w:tcPr>
          <w:p>
            <w:r>
              <w:t xml:space="preserve">Dana Imad Hamzah | dana.hamzah@mos.gov.bh</w:t>
            </w:r>
          </w:p>
        </w:tc>
        <w:tc>
          <w:tcPr>
            <w:tcW w:w="2400" w:type="dxa"/>
          </w:tcPr>
          <w:p>
            <w:r>
              <w:t xml:space="preserve">Support new ministry established to promote sustainable development and SDG alignment in national planning with technical advice on sustainable finance issues including SDG investment preparation and mobilization through bonds and other innovative approaches.</w:t>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r>
      <w:tr>
        <w:tc>
          <w:tcPr>
            <w:tcW w:w="2400" w:type="dxa"/>
          </w:tcPr>
          <w:p>
            <w:r>
              <w:t xml:space="preserve">3199</w:t>
            </w:r>
          </w:p>
        </w:tc>
        <w:tc>
          <w:tcPr>
            <w:tcW w:w="2400" w:type="dxa"/>
          </w:tcPr>
          <w:p>
            <w:r>
              <w:t xml:space="preserve">Request #3199 ? organize a study tour on MSME matters for interested countries to Bahrain</w:t>
            </w:r>
          </w:p>
        </w:tc>
        <w:tc>
          <w:tcPr>
            <w:tcW w:w="2400" w:type="dxa"/>
          </w:tcPr>
          <w:p>
            <w:r>
              <w:t xml:space="preserve">Outdated</w:t>
            </w:r>
          </w:p>
        </w:tc>
        <w:tc>
          <w:tcPr>
            <w:tcW w:w="2400" w:type="dxa"/>
          </w:tcPr>
          <w:p>
            <w:r>
              <w:t xml:space="preserve">Division for Sustainable Development Goals</w:t>
            </w:r>
          </w:p>
        </w:tc>
        <w:tc>
          <w:tcPr>
            <w:tcW w:w="2400" w:type="dxa"/>
          </w:tcPr>
          <w:p>
            <w:r>
              <w:t xml:space="preserve">31 Jan 2020</w:t>
            </w:r>
          </w:p>
        </w:tc>
        <w:tc>
          <w:tcPr>
            <w:tcW w:w="2400" w:type="dxa"/>
          </w:tcPr>
          <w:p>
            <w:r>
              <w:t xml:space="preserve"/>
            </w:r>
          </w:p>
        </w:tc>
        <w:tc>
          <w:tcPr>
            <w:tcW w:w="2400" w:type="dxa"/>
          </w:tcPr>
          <w:p>
            <w:r>
              <w:t xml:space="preserve"/>
            </w:r>
          </w:p>
        </w:tc>
        <w:tc>
          <w:tcPr>
            <w:tcW w:w="2400" w:type="dxa"/>
          </w:tcPr>
          <w:p>
            <w:r>
              <w:t xml:space="preserve">Husain Janahi | husain.janahi@one.un.org</w:t>
            </w:r>
          </w:p>
        </w:tc>
        <w:tc>
          <w:tcPr>
            <w:tcW w:w="2400" w:type="dxa"/>
          </w:tcPr>
          <w:p>
            <w:r>
              <w:t xml:space="preserve">organize a study tour on MSME matters for interested countries to Bahrain</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SB-001376.99.99.26</w:t>
            </w:r>
          </w:p>
        </w:tc>
        <w:tc>
          <w:tcPr>
            <w:tcW w:w="2400" w:type="dxa"/>
          </w:tcPr>
          <w:p>
            <w:r>
              <w:t xml:space="preserve">First Sub-regional Workshop on the Use of SDMX for Reporting on SDGs for the GCC</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$15,476</w:t>
            </w:r>
          </w:p>
        </w:tc>
        <w:tc>
          <w:tcPr>
            <w:tcW w:w="2400" w:type="dxa"/>
          </w:tcPr>
          <w:p>
            <w:r>
              <w:t xml:space="preserve">Bahrain, Kuwait, Oman, Qatar, Saudi Arabia, United Arab Emirates</w:t>
            </w:r>
          </w:p>
        </w:tc>
        <w:tc>
          <w:tcPr>
            <w:tcW w:w="2400" w:type="dxa"/>
          </w:tcPr>
          <w:p>
            <w:r>
              <w:t xml:space="preserve"/>
            </w:r>
          </w:p>
        </w:tc>
        <w:tc>
          <w:tcPr>
            <w:tcW w:w="2400" w:type="dxa"/>
          </w:tcPr>
          <w:p>
            <w:r>
              <w:t xml:space="preserve">proposals.xlsx record 'SB-001376.99.99.26|row:55': 'f_cashGov' has non-numeric value 'GCC countries will cover their participants’ travel'. / proposals.xlsx record 'SB-001376.99.99.26|row:55': 'f_cashOther' has non-numeric value 'ESCWA will cover the travel of their staff. GCC will provide the venue.'. / 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r>
        <w:tc>
          <w:tcPr>
            <w:tcW w:w="2400" w:type="dxa"/>
          </w:tcPr>
          <w:p>
            <w:r>
              <w:t xml:space="preserve">Strengthening Capacities of the Public Sector in least developing countries to deliver quality services equitably through the transfer and adaptation of innovative practices</w:t>
            </w:r>
          </w:p>
        </w:tc>
        <w:tc>
          <w:tcPr>
            <w:tcW w:w="2400" w:type="dxa"/>
          </w:tcPr>
          <w:p>
            <w:r>
              <w:t xml:space="preserve">2016</w:t>
            </w:r>
          </w:p>
        </w:tc>
        <w:tc>
          <w:tcPr>
            <w:tcW w:w="2400" w:type="dxa"/>
          </w:tcPr>
          <w:p>
            <w:r>
              <w:t xml:space="preserve">DPIDG</w:t>
            </w:r>
          </w:p>
        </w:tc>
        <w:tc>
          <w:tcPr>
            <w:tcW w:w="2400" w:type="dxa"/>
          </w:tcPr>
          <w:p>
            <w:r>
              <w:t xml:space="preserve">Bahrain, China, Ethiopia</w:t>
            </w:r>
          </w:p>
        </w:tc>
        <w:tc>
          <w:tcPr>
            <w:tcW w:w="2400" w:type="dxa"/>
          </w:tcPr>
          <w:p>
            <w:r>
              <w:t xml:space="preserve">- DPADM should consider creating a blog to post updates on research material on recommended best practices and the progress made by various LDCs in implementing practices learned. / - For future technical cooperation projects, DPADM should consider constituting a Steering Group made of various experts and possibly select members of EGM and a representative of CDO to provide advice and support throughout project implementation. / - DPADM should take a more active role in the selection of participants by issuing clear criteria for who should apply, including required level of authority and gender representation, clarifying expected outputs, and vetting candidates based on those criteria. / - DPADM should take a more active role in the selection of lecturers, considering quality and background. / - Inform and discuss with host country coordinators and lecturers the participants’ background before the workshop to ensure more relevant information for participants. / - DPADM should vet and validate all documents and learning material in advance of the visit, prioritizing inclusion of case studies on best practices and how challenges were solved, and ensure quality and readability of documents such as training slides in proper translation. / - Organize at the beginning of the workshop a few presentations and facilitated discussions by participants of their country’s situation and challenges, with all lecturers present. / - Involve UNDP country representatives at an early stage and seek their advice on identifying additional resources for project delivery, including the implementation phase.</w:t>
            </w:r>
          </w:p>
        </w:tc>
        <w:tc>
          <w:tcPr>
            <w:tcW w:w="2400" w:type="dxa"/>
          </w:tcPr>
          <w:p>
            <w:r>
              <w:t xml:space="preserve">- Selecting LDCs based on demonstrated potential and commitment to engage in innovation relevant to their context may require closer analysis of specific needs and engagement with potential partners, leading to different implementation paths. / - The peer-to-peer method is valuable but was not consistently implemented throughout the project. / - Outcomes of the first two study tours should have been monitored more effectively by DPADM, and lessons learned and recommendations applied with greater timeliness to improve subsequent events. / - DPADM should have recognized early that the adaptation process between host and recipient governments was not proceeding as planned and encouraged adoption of less formal agreements. / - The project design underestimated the complexity of government-to-government partnerships and the level of decision-making authority needed by delegates; selection criteria should include technical skills, authority, and gender representation. / - UNDP resources could have been mobilized more effectively during the Bahrain study tours for delivery, follow-up, and possibly additional funding of national participants. / - There was lack of participation by some collaborators identified in the TORs, such as UNODC, UN Women, and UN Habitat, whose advice and support could have been better mobilized. / - Internal resources of DPADM, particularly eGB, could have been leveraged more effectively during the first two years of the project. / - The 'Guide for the Transfer and Adaptation of Innovation in Governance' should have been shared with all relevant partners, such as the Chinese Academy of Governance, to facilitate preparations.</w:t>
            </w:r>
          </w:p>
        </w:tc>
        <w:tc>
          <w:tcPr>
            <w:tcW w:w="2400" w:type="dxa"/>
          </w:tcPr>
          <w:p>
            <w:r>
              <w:t xml:space="preserve">https://unitednations.sharepoint.com/sites/DESA-CDPMO/Shared Documents/General/3. Finance Management/5 - DEVELOPMENT ACCOUNT/DA - DESA/Audits/2018 Audit information/ROA 206 - DPADM Final Evaluation Report.pdf</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'SB-001376.99.99.26|row:55': 'f_cashGov' has non-numeric value 'GCC countries will cover their participants’ travel'.</w:t>
            </w:r>
          </w:p>
        </w:tc>
      </w:tr>
      <w:tr>
        <w:tc>
          <w:tcPr>
            <w:tcW w:w="2400" w:type="dxa"/>
          </w:tcPr>
          <w:p>
            <w:r>
              <w:t xml:space="preserve">3</w:t>
            </w:r>
          </w:p>
        </w:tc>
        <w:tc>
          <w:tcPr>
            <w:tcW w:w="2400" w:type="dxa"/>
          </w:tcPr>
          <w:p>
            <w:r>
              <w:t xml:space="preserve">proposals.xlsx record 'SB-001376.99.99.26|row:55': 'f_cashOther' has non-numeric value 'ESCWA will cover the travel of their staff. GCC will provide the venue.'.</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