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Bolivia (Plurinational State of)</w:t>
      </w:r>
    </w:p>
    <w:p>
      <w:r>
        <w:rPr>
          <w:sz w:val="20"/>
          <w:color w:val="4B5563"/>
        </w:rPr>
        <w:t xml:space="preserve">Americas | LLDC</w:t>
      </w:r>
    </w:p>
    <w:p>
      <w:r>
        <w:rPr>
          <w:sz w:val="20"/>
          <w:color w:val="4B5563"/>
        </w:rPr>
        <w:t xml:space="preserve">Exported 05 Oct 2026, 14:20 | Snapshot 03 Oct 2026, 21:47 GMT-4</w:t>
      </w:r>
    </w:p>
    <w:p>
      <w:r>
        <w:rPr>
          <w:b/>
          <w:sz w:val="28"/>
          <w:color w:val="174A7C"/>
        </w:rPr>
        <w:t xml:space="preserve">Summary</w:t>
      </w:r>
    </w:p>
    <w:p>
      <w:r>
        <w:t xml:space="preserve">Bolivia (Plurinational State of) is presented in this country card as part of Americas, with Bolivia (Plurinational State of) also associated with an unspecified subregion and the LLDC grouping. The filtered data for Bolivia (Plurinational State of) highlights 4 projects for Bolivia (Plurinational State of), including 1 active or planned projects for Bolivia (Plurinational State of) and 3 completed or closed projects for Bolivia (Plurinational State of).</w:t>
      </w:r>
    </w:p>
    <w:p>
      <w:r>
        <w:t xml:space="preserve">For Bolivia (Plurinational State of), the report includes 8 requests for Bolivia (Plurinational State of), 2 RPTC proposals for Bolivia (Plurinational State of), 1 RPTC activities for Bolivia (Plurinational State of), and 0 travel records for Bolivia (Plurinational State of). Financially, Bolivia (Plurinational State of) shows USD 2,738,400 in project budget, $82,098 in proposal planned budget, and $6,688 in consumed RPTC activity budget for Bolivia (Plurinational State of).</w:t>
      </w:r>
    </w:p>
    <w:p>
      <w:r>
        <w:t xml:space="preserve">The main organizational coverage for Bolivia (Plurinational State of) points to Division for Public Institutions and Digital Government, Division for Sustainable Development Goals, DSDG, Economic Analysis and Policy Division. Activity records for Bolivia (Plurinational State of) list 1,299 participants, including 665 women participants, the current quality review for Bolivia (Plurinational State of) includes 59 data quality notes. Current highlights for Bolivia (Plurinational State of) include a request focus for Bolivia (Plurinational State of):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Bolivia (Plurinational State of): Accelerating achievement of the SDGs in Bolivia; an activity focus for Bolivia (Plurinational State of):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2,738,400</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$82,098</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r>
      <w:tr>
        <w:tc>
          <w:tcPr>
            <w:tcW w:w="2400" w:type="dxa"/>
          </w:tcPr>
          <w:p>
            <w:r>
              <w:t xml:space="preserve">5154</w:t>
            </w:r>
          </w:p>
        </w:tc>
        <w:tc>
          <w:tcPr>
            <w:tcW w:w="2400" w:type="dxa"/>
          </w:tcPr>
          <w:p>
            <w:r>
              <w:t xml:space="preserve">Request #5154 ? 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18 Dec 2024</w:t>
            </w:r>
          </w:p>
        </w:tc>
        <w:tc>
          <w:tcPr>
            <w:tcW w:w="2400" w:type="dxa"/>
          </w:tcPr>
          <w:p>
            <w:r>
              <w:t xml:space="preserve">1</w:t>
            </w:r>
          </w:p>
        </w:tc>
        <w:tc>
          <w:tcPr>
            <w:tcW w:w="2400" w:type="dxa"/>
          </w:tcPr>
          <w:p>
            <w:r>
              <w:t xml:space="preserve">1</w:t>
            </w:r>
          </w:p>
        </w:tc>
        <w:tc>
          <w:tcPr>
            <w:tcW w:w="2400" w:type="dxa"/>
          </w:tcPr>
          <w:p>
            <w:r>
              <w:t xml:space="preserve">Luis Roberto Flores Orellana | josinaga@abt.gob.bo</w:t>
            </w:r>
          </w:p>
        </w:tc>
        <w:tc>
          <w:tcPr>
            <w:tcW w:w="2400" w:type="dxa"/>
          </w:tcPr>
          <w:p>
            <w:r>
              <w:t xml:space="preserve">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r>
      <w:tr>
        <w:tc>
          <w:tcPr>
            <w:tcW w:w="2400" w:type="dxa"/>
          </w:tcPr>
          <w:p>
            <w:r>
              <w:t xml:space="preserve">5155</w:t>
            </w:r>
          </w:p>
        </w:tc>
        <w:tc>
          <w:tcPr>
            <w:tcW w:w="2400" w:type="dxa"/>
          </w:tcPr>
          <w:p>
            <w:r>
              <w:t xml:space="preserve">Request #5155 ? Request for continued support of DESA to UN Bolivia in SDG localization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30 Jan 2025</w:t>
            </w:r>
          </w:p>
        </w:tc>
        <w:tc>
          <w:tcPr>
            <w:tcW w:w="2400" w:type="dxa"/>
          </w:tcPr>
          <w:p>
            <w:r>
              <w:t xml:space="preserve">01 Jan 2025</w:t>
            </w:r>
          </w:p>
        </w:tc>
        <w:tc>
          <w:tcPr>
            <w:tcW w:w="2400" w:type="dxa"/>
          </w:tcPr>
          <w:p>
            <w:r>
              <w:t xml:space="preserve">31 Dec 2026</w:t>
            </w:r>
          </w:p>
        </w:tc>
        <w:tc>
          <w:tcPr>
            <w:tcW w:w="2400" w:type="dxa"/>
          </w:tcPr>
          <w:p>
            <w:r>
              <w:t xml:space="preserve">Anna Marttinen-Pont | pont1@un.org</w:t>
            </w:r>
          </w:p>
        </w:tc>
        <w:tc>
          <w:tcPr>
            <w:tcW w:w="2400" w:type="dxa"/>
          </w:tcPr>
          <w:p>
            <w:r>
              <w:t xml:space="preserve">Request for continued support of DESA to UN Bolivia in SDG localization</w:t>
            </w:r>
          </w:p>
        </w:tc>
      </w:tr>
      <w:tr>
        <w:tc>
          <w:tcPr>
            <w:tcW w:w="2400" w:type="dxa"/>
          </w:tcPr>
          <w:p>
            <w:r>
              <w:t xml:space="preserve">5170</w:t>
            </w:r>
          </w:p>
        </w:tc>
        <w:tc>
          <w:tcPr>
            <w:tcW w:w="2400" w:type="dxa"/>
          </w:tcPr>
          <w:p>
            <w:r>
              <w:t xml:space="preserve">Request #5170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Dec 2024</w:t>
            </w:r>
          </w:p>
        </w:tc>
        <w:tc>
          <w:tcPr>
            <w:tcW w:w="2400" w:type="dxa"/>
          </w:tcPr>
          <w:p>
            <w:r>
              <w:t xml:space="preserve">1</w:t>
            </w:r>
          </w:p>
        </w:tc>
        <w:tc>
          <w:tcPr>
            <w:tcW w:w="2400" w:type="dxa"/>
          </w:tcPr>
          <w:p>
            <w:r>
              <w:t xml:space="preserve">1</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r>
      <w:tr>
        <w:tc>
          <w:tcPr>
            <w:tcW w:w="2400" w:type="dxa"/>
          </w:tcPr>
          <w:p>
            <w:r>
              <w:t xml:space="preserve">2724</w:t>
            </w:r>
          </w:p>
        </w:tc>
        <w:tc>
          <w:tcPr>
            <w:tcW w:w="2400" w:type="dxa"/>
          </w:tcPr>
          <w:p>
            <w:r>
              <w:t xml:space="preserve">Request #2724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15 Nov 2020</w:t>
            </w:r>
          </w:p>
        </w:tc>
        <w:tc>
          <w:tcPr>
            <w:tcW w:w="2400" w:type="dxa"/>
          </w:tcPr>
          <w:p>
            <w:r>
              <w:t xml:space="preserve">Anna Kudo | anna.kudo@un.org</w:t>
            </w:r>
          </w:p>
        </w:tc>
        <w:tc>
          <w:tcPr>
            <w:tcW w:w="2400" w:type="dxa"/>
          </w:tcPr>
          <w:p>
            <w:r>
              <w:t xml:space="preserve">N/A</w:t>
            </w:r>
          </w:p>
        </w:tc>
      </w:tr>
      <w:tr>
        <w:tc>
          <w:tcPr>
            <w:tcW w:w="2400" w:type="dxa"/>
          </w:tcPr>
          <w:p>
            <w:r>
              <w:t xml:space="preserve">4753</w:t>
            </w:r>
          </w:p>
        </w:tc>
        <w:tc>
          <w:tcPr>
            <w:tcW w:w="2400" w:type="dxa"/>
          </w:tcPr>
          <w:p>
            <w:r>
              <w:t xml:space="preserve">Request #4753 ? DPIDG was requested by the Association of Municipalities of Bolivia to provide capacity development support at the municipal level in the areas of leadership and changing mindsets, innovation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04 Aug 2022</w:t>
            </w:r>
          </w:p>
        </w:tc>
        <w:tc>
          <w:tcPr>
            <w:tcW w:w="2400" w:type="dxa"/>
          </w:tcPr>
          <w:p>
            <w:r>
              <w:t xml:space="preserve">31 Dec 2023</w:t>
            </w:r>
          </w:p>
        </w:tc>
        <w:tc>
          <w:tcPr>
            <w:tcW w:w="2400" w:type="dxa"/>
          </w:tcPr>
          <w:p>
            <w:r>
              <w:t xml:space="preserve">Ing. Alfonso P. Lema Grosz | info@amb.bo</w:t>
            </w:r>
          </w:p>
        </w:tc>
        <w:tc>
          <w:tcPr>
            <w:tcW w:w="2400" w:type="dxa"/>
          </w:tcPr>
          <w:p>
            <w:r>
              <w:t xml:space="preserve">DPIDG was requested by the Association of Municipalities of Bolivia to provide capacity development support at the municipal level in the areas of leadership and changing mindsets, innovation and digital government transformation.</w:t>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SB-001375.99.46</w:t>
            </w:r>
          </w:p>
        </w:tc>
        <w:tc>
          <w:tcPr>
            <w:tcW w:w="2400" w:type="dxa"/>
          </w:tcPr>
          <w:p>
            <w:r>
              <w:t xml:space="preserve">Accelerating achievement of the SDGs in Bolivia</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$20,000</w:t>
            </w:r>
          </w:p>
        </w:tc>
        <w:tc>
          <w:tcPr>
            <w:tcW w:w="2400" w:type="dxa"/>
          </w:tcPr>
          <w:p>
            <w:r>
              <w:t xml:space="preserve">Bolivia (Plurinational State of)</w:t>
            </w:r>
          </w:p>
        </w:tc>
        <w:tc>
          <w:tcPr>
            <w:tcW w:w="2400" w:type="dxa"/>
          </w:tcPr>
          <w:p>
            <w:r>
              <w:t xml:space="preserve"/>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Integrating Climate Change into National Sustainable Development Strategies and Plans in Latin America and the Caribbean</w:t>
            </w:r>
          </w:p>
        </w:tc>
        <w:tc>
          <w:tcPr>
            <w:tcW w:w="2400" w:type="dxa"/>
          </w:tcPr>
          <w:p>
            <w:r>
              <w:t xml:space="preserve">2013</w:t>
            </w:r>
          </w:p>
        </w:tc>
        <w:tc>
          <w:tcPr>
            <w:tcW w:w="2400" w:type="dxa"/>
          </w:tcPr>
          <w:p>
            <w:r>
              <w:t xml:space="preserve">DSDG</w:t>
            </w:r>
          </w:p>
        </w:tc>
        <w:tc>
          <w:tcPr>
            <w:tcW w:w="2400" w:type="dxa"/>
          </w:tcPr>
          <w:p>
            <w:r>
              <w:t xml:space="preserve">Bolivia (Plurinational State of), Grenada, Guatemala</w:t>
            </w:r>
          </w:p>
        </w:tc>
        <w:tc>
          <w:tcPr>
            <w:tcW w:w="2400" w:type="dxa"/>
          </w:tcPr>
          <w:p>
            <w:r>
              <w:t xml:space="preserve">- Include the preparation of project proposals for follow-up funding opportunities in the Terms of Reference for local consultants in all participating countries and future projects. / - Undertake efforts in future projects to more closely link adaptation project efforts to mitigation ones, leveraging existing institutional support for mitigation. / - Pay increased attention to defining and incorporating ‘resilience’ concepts, including the development of suitable indicators and methodologies, and integrating these with disaster risk reduction and sustainable development approaches. / - Re-establish the discontinued website to disseminate information about the adaptation project, including methodologies, results, and published reports, to benefit other developing countries.</w:t>
            </w:r>
          </w:p>
        </w:tc>
        <w:tc>
          <w:tcPr>
            <w:tcW w:w="2400" w:type="dxa"/>
          </w:tcPr>
          <w:p>
            <w:r>
              <w:t xml:space="preserve">- The AIM methodology was especially well suited for this type of project and contributed significantly to its success. / - AIM enables planners to address resilience concerns that have previously received insufficient attention in national planning processes. / - Project activities were relevant to individual country needs due to the participatory approach and local decision-making in topic selection. / - The project was effective, producing comprehensive and professionally prepared outputs useful for planning and development in participating countries. / - The project was sustainable, with proposals prepared as part of task assignments, results incorporated into UNDAF plans, and countries seeking additional follow-up financing. / - The project contributed significantly to UNDESA’s priority areas in capacity development, particularly sustainable development and social integration of vulnerable groups. / - The AIM methodology and participatory workshops led countries to focus on food security, energy, and water, aligning with global thematic priorities.</w:t>
            </w:r>
          </w:p>
        </w:tc>
        <w:tc>
          <w:tcPr>
            <w:tcW w:w="2400" w:type="dxa"/>
          </w:tcPr>
          <w:p>
            <w:r>
              <w:t xml:space="preserve">https://unitednations.sharepoint.com/sites/DESA-CDPMO/Shared Documents/General/3. Finance Management/5 - DEVELOPMENT ACCOUNT/DA - DESA/Evaluation reports/5th tranche/ROA 126 (DSD)/Raufer evaluation report DA ROA 126 March 2013.pdf</w:t>
            </w:r>
          </w:p>
        </w:tc>
        <w:tc>
          <w:tcPr>
            <w:tcW w:w="2400" w:type="dxa"/>
          </w:tcPr>
          <w:p>
            <w:r>
              <w:t xml:space="preserve">Country standardized: 'Bolivia' -&gt; 'Bolivia (Plurinational State of)'.</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Supporting governments in the transition to low-carbon growth and human development using economy-wide models</w:t>
            </w:r>
          </w:p>
        </w:tc>
        <w:tc>
          <w:tcPr>
            <w:tcW w:w="2400" w:type="dxa"/>
          </w:tcPr>
          <w:p>
            <w:r>
              <w:t xml:space="preserve">2016</w:t>
            </w:r>
          </w:p>
        </w:tc>
        <w:tc>
          <w:tcPr>
            <w:tcW w:w="2400" w:type="dxa"/>
          </w:tcPr>
          <w:p>
            <w:r>
              <w:t xml:space="preserve">DPAD</w:t>
            </w:r>
          </w:p>
        </w:tc>
        <w:tc>
          <w:tcPr>
            <w:tcW w:w="2400" w:type="dxa"/>
          </w:tcPr>
          <w:p>
            <w:r>
              <w:t xml:space="preserve">Bolivia (Plurinational State of), Nicaragua, Uganda</w:t>
            </w:r>
          </w:p>
        </w:tc>
        <w:tc>
          <w:tcPr>
            <w:tcW w:w="2400" w:type="dxa"/>
          </w:tcPr>
          <w:p>
            <w:r>
              <w:t xml:space="preserve">- Establish effective dialogue and agreements between UN/DESA and government authorities to ensure institutional commitment, including providing stability to participating personnel, integrating course tasks into regular workloads, and ensuring authorities understand the value of the tools. / - Improve the availability and quality of national information required for the models, making it a responsibility and commitment of state organizations participating in the project. / - Advance towards a more efficient process of adjusting the models to national realities and promote autonomous local capacities, such as through train-the-trainer programs or developing country-specific models, and provide manuals for model adaptation. / - Fine-tune the participant selection process to ensure a homogeneous level of knowledge and commitment, possibly including a stricter selection and preparation stage before the workshops. / - Publish and distribute the policy notes to validate and legitimize achievements within participating public institutions, and consider standardizing courses into diploma-type certifications. / - Provide more continuity for the program and encourage more practical research, broadening the scope to other energy sectors and expanding the target audience to include university academics.</w:t>
            </w:r>
          </w:p>
        </w:tc>
        <w:tc>
          <w:tcPr>
            <w:tcW w:w="2400" w:type="dxa"/>
          </w:tcPr>
          <w:p>
            <w:r>
              <w:t xml:space="preserve">- High interest and commitment from officials and focal points, as well as institutional commitment, are critical for project success. / - Professional excellence and responsiveness of instructors, and partnerships with leading institutions, enhance training effectiveness. / - Interinstitutional participation enriches information quality and facilitates the collection and understanding of data needed for the models. / - Heterogeneity in participants’ knowledge and commitment can hinder training effectiveness; better preparation and selection are needed. / - Lack of time for officials to complete tasks and staff turnover in public organizations can disrupt capacity building and institutional strengthening. / - Adapting models to each country’s reality and ensuring the availability of relevant data are ongoing challenges. / - Dissemination and recognition of policy notes are important for institutionalizing the project’s results.</w:t>
            </w:r>
          </w:p>
        </w:tc>
        <w:tc>
          <w:tcPr>
            <w:tcW w:w="2400" w:type="dxa"/>
          </w:tcPr>
          <w:p>
            <w:r>
              <w:t xml:space="preserve">https://unitednations.sharepoint.com/sites/DESA-CDPMO/Shared Documents/General/3. Finance Management/5 - DEVELOPMENT ACCOUNT/DA - DESA/03 PROJECTS - CLOSED/EAPD/ROA 246 - DPAD - Low-Carbon/Evaluation report/Evaluation report ROA 246_English.pdf</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8</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11</w:t>
            </w:r>
          </w:p>
        </w:tc>
        <w:tc>
          <w:tcPr>
            <w:tcW w:w="2400" w:type="dxa"/>
          </w:tcPr>
          <w:p>
            <w:r>
              <w:t xml:space="preserve">proposals.xlsx record 'SB-001376.99.99.32|row:49': 'f_cashGov' has non-numeric value 'N/A'.</w:t>
            </w:r>
          </w:p>
        </w:tc>
      </w:tr>
      <w:tr>
        <w:tc>
          <w:tcPr>
            <w:tcW w:w="2400" w:type="dxa"/>
          </w:tcPr>
          <w:p>
            <w:r>
              <w:t xml:space="preserve">12</w:t>
            </w:r>
          </w:p>
        </w:tc>
        <w:tc>
          <w:tcPr>
            <w:tcW w:w="2400" w:type="dxa"/>
          </w:tcPr>
          <w:p>
            <w:r>
              <w:t xml:space="preserve">proposals.xlsx record 'SB-001376.99.99.32|row:49': 'f_cashOther' has non-numeric value 'N/A'.</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