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Barbados</w:t>
      </w:r>
    </w:p>
    <w:p>
      <w:r>
        <w:rPr>
          <w:sz w:val="20"/>
          <w:color w:val="4B5563"/>
        </w:rPr>
        <w:t xml:space="preserve">Americas | SIDS</w:t>
      </w:r>
    </w:p>
    <w:p>
      <w:r>
        <w:rPr>
          <w:sz w:val="20"/>
          <w:color w:val="4B5563"/>
        </w:rPr>
        <w:t xml:space="preserve">Exported 05 Oct 2026, 14:20 | Snapshot 03 Oct 2026, 21:47 GMT-4</w:t>
      </w:r>
    </w:p>
    <w:p>
      <w:r>
        <w:rPr>
          <w:b/>
          <w:sz w:val="28"/>
          <w:color w:val="174A7C"/>
        </w:rPr>
        <w:t xml:space="preserve">Summary</w:t>
      </w:r>
    </w:p>
    <w:p>
      <w:r>
        <w:t xml:space="preserve">Barbados is presented in this country card as part of Americas, with Barbados also associated with an unspecified subregion and the SIDS grouping. The filtered data for Barbados highlights 3 projects for Barbados, including 2 active or planned projects for Barbados and 1 completed or closed projects for Barbados.</w:t>
      </w:r>
    </w:p>
    <w:p>
      <w:r>
        <w:t xml:space="preserve">For Barbados, the report includes 8 requests for Barbados, 1 RPTC proposals for Barbados, 1 RPTC activities for Barbados, and 2 travel records for Barbados. Financially, Barbados shows USD 1,935,520 in project budget, $43,886 in proposal planned budget, and $6,688 in consumed RPTC activity budget for Barbados.</w:t>
      </w:r>
    </w:p>
    <w:p>
      <w:r>
        <w:t xml:space="preserve">The main organizational coverage for Barbados points to Division for Public Institutions and Digital Government, Economic Analysis and Policy Division, Financing for Sustainable Development Office, FSDO. Activity records for Barbados list 1,299 participants, including 665 women participants, the current quality review for Barbados includes 52 data quality notes. Current highlights for Barbados include a request focus for Barbados: Request #5319 ? This request is in response to request from members of the Alliance of Small Island States (AOSIS) for UNSD to organize a series of capacity building workshops to validate the M&amp;E framework for the Antigua and Barbuda Action for Small Island Developing States (AOSIS) with statistical experts of national statistical offices (NSOs) of SIDS and to provide them with crucial technical support for the frameworkâ€™s implementation.  </w:t>
      </w:r>
      <w:r>
        <w:br/>
        <w:t xml:space="preserve"/>
      </w:r>
      <w:r>
        <w:br/>
        <w:t xml:space="preserve"/>
      </w:r>
      <w:r>
        <w:br/>
        <w:t xml:space="preserve"/>
      </w:r>
      <w:r>
        <w:br/>
        <w:t xml:space="preserve">The workshop will be conducted face-to-face over and will consist of a series of presentations followed by group discussions. The main facilitators will be staff members from UNSD and SIDS Unit. </w:t>
      </w:r>
      <w:r>
        <w:br/>
        <w:t xml:space="preserve"/>
      </w:r>
      <w:r>
        <w:br/>
        <w:t xml:space="preserve"/>
      </w:r>
      <w:r>
        <w:br/>
        <w:t xml:space="preserve"/>
      </w:r>
      <w:r>
        <w:br/>
        <w:t xml:space="preserve">International and regional organisations who are custodians of selected SDG indicators will be invited to share lessons from SDG reporting and monitoring that can be adapted for the reporting and monitoring process for the ABAS. They will also be requested to share relevant resources and technical assistance opportunities to improve the production of the adopted ABAS indicators.  </w:t>
      </w:r>
      <w:r>
        <w:br/>
        <w:t xml:space="preserve"/>
      </w:r>
      <w:r>
        <w:br/>
        <w:t xml:space="preserve"/>
      </w:r>
      <w:r>
        <w:br/>
        <w:t xml:space="preserve"/>
      </w:r>
      <w:r>
        <w:br/>
        <w:t xml:space="preserve">The workshop will benefit from the intergovernmental support work and analytical products by UNSD on areas including SDG reporting and monitoring, the implementation of the SDG global indicator framework, and evidence-based Voluntary National Reviews (VNRs).  It is fully in line with the priorities set out in the approved work programme  of the Inter-agency and Expert Group on SDG Indicators (IAEG-SDGs) to encourage data innovations and national efforts in bridging data gaps for SDG indicators as well as to improve data flows and global data reporting for the SDGs.</w:t>
      </w:r>
      <w:r>
        <w:br/>
        <w:t xml:space="preserve"/>
      </w:r>
      <w:r>
        <w:br/>
        <w:t xml:space="preserve"/>
      </w:r>
      <w:r>
        <w:br/>
        <w:t xml:space="preserve"/>
      </w:r>
      <w:r>
        <w:br/>
        <w:t xml:space="preserve">This workshop is being jointly planned and organized with the SIDS Unit of DSDG. The final decision on the venue and date will be made in September 2025.; an RPTC proposal focus for Barbados: Workshop on the use of interoperability standards for the management of geographical names “Linking Geographical Names, the Disaggregation and Localization of Sustainable Development Goals and the Semantic Web”; an activity focus for Barbados: Strengthening developing countries’ capacity to address transfer-pricing challenges related to centralized procurement activities and to enhance their VAT/GST systems through global virtual workshops..</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3</w:t>
            </w:r>
          </w:p>
        </w:tc>
      </w:tr>
      <w:tr>
        <w:tc>
          <w:tcPr>
            <w:tcW w:w="2400" w:type="dxa"/>
          </w:tcPr>
          <w:p>
            <w:r>
              <w:t xml:space="preserve">Project budget</w:t>
            </w:r>
          </w:p>
        </w:tc>
        <w:tc>
          <w:tcPr>
            <w:tcW w:w="2400" w:type="dxa"/>
          </w:tcPr>
          <w:p>
            <w:r>
              <w:t xml:space="preserve">USD 1,935,520</w:t>
            </w:r>
          </w:p>
        </w:tc>
      </w:tr>
      <w:tr>
        <w:tc>
          <w:tcPr>
            <w:tcW w:w="2400" w:type="dxa"/>
          </w:tcPr>
          <w:p>
            <w:r>
              <w:t xml:space="preserve">Requests</w:t>
            </w:r>
          </w:p>
        </w:tc>
        <w:tc>
          <w:tcPr>
            <w:tcW w:w="2400" w:type="dxa"/>
          </w:tcPr>
          <w:p>
            <w:r>
              <w:t xml:space="preserve">8</w:t>
            </w:r>
          </w:p>
        </w:tc>
      </w:tr>
      <w:tr>
        <w:tc>
          <w:tcPr>
            <w:tcW w:w="2400" w:type="dxa"/>
          </w:tcPr>
          <w:p>
            <w:r>
              <w:t xml:space="preserve">RPTC proposals</w:t>
            </w:r>
          </w:p>
        </w:tc>
        <w:tc>
          <w:tcPr>
            <w:tcW w:w="2400" w:type="dxa"/>
          </w:tcPr>
          <w:p>
            <w:r>
              <w:t xml:space="preserve">1</w:t>
            </w:r>
          </w:p>
        </w:tc>
      </w:tr>
      <w:tr>
        <w:tc>
          <w:tcPr>
            <w:tcW w:w="2400" w:type="dxa"/>
          </w:tcPr>
          <w:p>
            <w:r>
              <w:t xml:space="preserve">Proposal planned budget</w:t>
            </w:r>
          </w:p>
        </w:tc>
        <w:tc>
          <w:tcPr>
            <w:tcW w:w="2400" w:type="dxa"/>
          </w:tcPr>
          <w:p>
            <w:r>
              <w:t xml:space="preserve">$43,886</w:t>
            </w:r>
          </w:p>
        </w:tc>
      </w:tr>
      <w:tr>
        <w:tc>
          <w:tcPr>
            <w:tcW w:w="2400" w:type="dxa"/>
          </w:tcPr>
          <w:p>
            <w:r>
              <w:t xml:space="preserve">RPTC activities</w:t>
            </w:r>
          </w:p>
        </w:tc>
        <w:tc>
          <w:tcPr>
            <w:tcW w:w="2400" w:type="dxa"/>
          </w:tcPr>
          <w:p>
            <w:r>
              <w:t xml:space="preserve">1</w:t>
            </w:r>
          </w:p>
        </w:tc>
      </w:tr>
      <w:tr>
        <w:tc>
          <w:tcPr>
            <w:tcW w:w="2400" w:type="dxa"/>
          </w:tcPr>
          <w:p>
            <w:r>
              <w:t xml:space="preserve">Consumed RPTC budget</w:t>
            </w:r>
          </w:p>
        </w:tc>
        <w:tc>
          <w:tcPr>
            <w:tcW w:w="2400" w:type="dxa"/>
          </w:tcPr>
          <w:p>
            <w:r>
              <w:t xml:space="preserve">$6,688</w:t>
            </w:r>
          </w:p>
        </w:tc>
      </w:tr>
      <w:tr>
        <w:tc>
          <w:tcPr>
            <w:tcW w:w="2400" w:type="dxa"/>
          </w:tcPr>
          <w:p>
            <w:r>
              <w:t xml:space="preserve">Activity participants</w:t>
            </w:r>
          </w:p>
        </w:tc>
        <w:tc>
          <w:tcPr>
            <w:tcW w:w="2400" w:type="dxa"/>
          </w:tcPr>
          <w:p>
            <w:r>
              <w:t xml:space="preserve">1,299</w:t>
            </w:r>
          </w:p>
        </w:tc>
      </w:tr>
      <w:tr>
        <w:tc>
          <w:tcPr>
            <w:tcW w:w="2400" w:type="dxa"/>
          </w:tcPr>
          <w:p>
            <w:r>
              <w:t xml:space="preserve">Women participants</w:t>
            </w:r>
          </w:p>
        </w:tc>
        <w:tc>
          <w:tcPr>
            <w:tcW w:w="2400" w:type="dxa"/>
          </w:tcPr>
          <w:p>
            <w:r>
              <w:t xml:space="preserve">665</w:t>
            </w:r>
          </w:p>
        </w:tc>
      </w:tr>
      <w:tr>
        <w:tc>
          <w:tcPr>
            <w:tcW w:w="2400" w:type="dxa"/>
          </w:tcPr>
          <w:p>
            <w:r>
              <w:t xml:space="preserve">Travel records</w:t>
            </w:r>
          </w:p>
        </w:tc>
        <w:tc>
          <w:tcPr>
            <w:tcW w:w="2400" w:type="dxa"/>
          </w:tcPr>
          <w:p>
            <w:r>
              <w:t xml:space="preserve">2</w:t>
            </w:r>
          </w:p>
        </w:tc>
      </w:tr>
      <w:tr>
        <w:tc>
          <w:tcPr>
            <w:tcW w:w="2400" w:type="dxa"/>
          </w:tcPr>
          <w:p>
            <w:r>
              <w:t xml:space="preserve">Evaluations</w:t>
            </w:r>
          </w:p>
        </w:tc>
        <w:tc>
          <w:tcPr>
            <w:tcW w:w="2400" w:type="dxa"/>
          </w:tcPr>
          <w:p>
            <w:r>
              <w:t xml:space="preserve">4</w:t>
            </w:r>
          </w:p>
        </w:tc>
      </w:tr>
      <w:tr>
        <w:tc>
          <w:tcPr>
            <w:tcW w:w="2400" w:type="dxa"/>
          </w:tcPr>
          <w:p>
            <w:r>
              <w:t xml:space="preserve">Data quality notes</w:t>
            </w:r>
          </w:p>
        </w:tc>
        <w:tc>
          <w:tcPr>
            <w:tcW w:w="2400" w:type="dxa"/>
          </w:tcPr>
          <w:p>
            <w:r>
              <w:t xml:space="preserve">52</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r>
      <w:tr>
        <w:tc>
          <w:tcPr>
            <w:tcW w:w="2400" w:type="dxa"/>
          </w:tcPr>
          <w:p>
            <w:r>
              <w:t xml:space="preserve">Evidence-based Climate Action through Artificial Intelligence and Data Innovation for Caribbean SIDS</w:t>
            </w:r>
          </w:p>
        </w:tc>
        <w:tc>
          <w:tcPr>
            <w:tcW w:w="2400" w:type="dxa"/>
          </w:tcPr>
          <w:p>
            <w:r>
              <w:t xml:space="preserve">2528A</w:t>
            </w:r>
          </w:p>
        </w:tc>
        <w:tc>
          <w:tcPr>
            <w:tcW w:w="2400" w:type="dxa"/>
          </w:tcPr>
          <w:p>
            <w:r>
              <w:t xml:space="preserve">country</w:t>
            </w:r>
          </w:p>
        </w:tc>
        <w:tc>
          <w:tcPr>
            <w:tcW w:w="2400" w:type="dxa"/>
          </w:tcPr>
          <w:p>
            <w:r>
              <w:t xml:space="preserve">Statistics Division</w:t>
            </w:r>
          </w:p>
        </w:tc>
        <w:tc>
          <w:tcPr>
            <w:tcW w:w="2400" w:type="dxa"/>
          </w:tcPr>
          <w:p>
            <w:r>
              <w:t xml:space="preserve">Active</w:t>
            </w:r>
          </w:p>
        </w:tc>
        <w:tc>
          <w:tcPr>
            <w:tcW w:w="2400" w:type="dxa"/>
          </w:tcPr>
          <w:p>
            <w:r>
              <w:t xml:space="preserve">15 Apr 2025</w:t>
            </w:r>
          </w:p>
        </w:tc>
        <w:tc>
          <w:tcPr>
            <w:tcW w:w="2400" w:type="dxa"/>
          </w:tcPr>
          <w:p>
            <w:r>
              <w:t xml:space="preserve">31 Dec 2028</w:t>
            </w:r>
          </w:p>
        </w:tc>
        <w:tc>
          <w:tcPr>
            <w:tcW w:w="2400" w:type="dxa"/>
          </w:tcPr>
          <w:p>
            <w:r>
              <w:t xml:space="preserve">USD 803,520</w:t>
            </w:r>
          </w:p>
        </w:tc>
        <w:tc>
          <w:tcPr>
            <w:tcW w:w="2400" w:type="dxa"/>
          </w:tcPr>
          <w:p>
            <w:r>
              <w:t xml:space="preserve">Barbados, Belize, Dominican Republic, Trinidad and Tobago</w:t>
            </w:r>
          </w:p>
        </w:tc>
      </w:tr>
      <w:tr>
        <w:tc>
          <w:tcPr>
            <w:tcW w:w="2400" w:type="dxa"/>
          </w:tcPr>
          <w:p>
            <w:r>
              <w:t xml:space="preserve">Innovation, Digital Government Transformation and Changing Mindsets in the Caribbean SIDS</w:t>
            </w:r>
          </w:p>
        </w:tc>
        <w:tc>
          <w:tcPr>
            <w:tcW w:w="2400" w:type="dxa"/>
          </w:tcPr>
          <w:p>
            <w:r>
              <w:t xml:space="preserve">2427J</w:t>
            </w:r>
          </w:p>
        </w:tc>
        <w:tc>
          <w:tcPr>
            <w:tcW w:w="2400" w:type="dxa"/>
          </w:tcPr>
          <w:p>
            <w:r>
              <w:t xml:space="preserve">country</w:t>
            </w:r>
          </w:p>
        </w:tc>
        <w:tc>
          <w:tcPr>
            <w:tcW w:w="2400" w:type="dxa"/>
          </w:tcPr>
          <w:p>
            <w:r>
              <w:t xml:space="preserve">Division for Public Institutions and Digital Government</w:t>
            </w:r>
          </w:p>
        </w:tc>
        <w:tc>
          <w:tcPr>
            <w:tcW w:w="2400" w:type="dxa"/>
          </w:tcPr>
          <w:p>
            <w:r>
              <w:t xml:space="preserve">Active</w:t>
            </w:r>
          </w:p>
        </w:tc>
        <w:tc>
          <w:tcPr>
            <w:tcW w:w="2400" w:type="dxa"/>
          </w:tcPr>
          <w:p>
            <w:r>
              <w:t xml:space="preserve">01 Feb 2024</w:t>
            </w:r>
          </w:p>
        </w:tc>
        <w:tc>
          <w:tcPr>
            <w:tcW w:w="2400" w:type="dxa"/>
          </w:tcPr>
          <w:p>
            <w:r>
              <w:t xml:space="preserve">01 Dec 2027</w:t>
            </w:r>
          </w:p>
        </w:tc>
        <w:tc>
          <w:tcPr>
            <w:tcW w:w="2400" w:type="dxa"/>
          </w:tcPr>
          <w:p>
            <w:r>
              <w:t xml:space="preserve">USD 500,000</w:t>
            </w:r>
          </w:p>
        </w:tc>
        <w:tc>
          <w:tcPr>
            <w:tcW w:w="2400" w:type="dxa"/>
          </w:tcPr>
          <w:p>
            <w:r>
              <w:t xml:space="preserve">Bahamas, Barbados, Saint Lucia</w:t>
            </w:r>
          </w:p>
        </w:tc>
      </w:tr>
      <w:tr>
        <w:tc>
          <w:tcPr>
            <w:tcW w:w="2400" w:type="dxa"/>
          </w:tcPr>
          <w:p>
            <w:r>
              <w:t xml:space="preserve">Strengthening capacity of National Tax Administrations in developing countries to effectively negotiate and apply double tax treaties for financing of sustainable development</w:t>
            </w:r>
          </w:p>
        </w:tc>
        <w:tc>
          <w:tcPr>
            <w:tcW w:w="2400" w:type="dxa"/>
          </w:tcPr>
          <w:p>
            <w:r>
              <w:t xml:space="preserve">1415A</w:t>
            </w:r>
          </w:p>
        </w:tc>
        <w:tc>
          <w:tcPr>
            <w:tcW w:w="2400" w:type="dxa"/>
          </w:tcPr>
          <w:p>
            <w:r>
              <w:t xml:space="preserve">country</w:t>
            </w:r>
          </w:p>
        </w:tc>
        <w:tc>
          <w:tcPr>
            <w:tcW w:w="2400" w:type="dxa"/>
          </w:tcPr>
          <w:p>
            <w:r>
              <w:t xml:space="preserve">Financing for Sustainable Development Office</w:t>
            </w:r>
          </w:p>
        </w:tc>
        <w:tc>
          <w:tcPr>
            <w:tcW w:w="2400" w:type="dxa"/>
          </w:tcPr>
          <w:p>
            <w:r>
              <w:t xml:space="preserve">Closed</w:t>
            </w:r>
          </w:p>
        </w:tc>
        <w:tc>
          <w:tcPr>
            <w:tcW w:w="2400" w:type="dxa"/>
          </w:tcPr>
          <w:p>
            <w:r>
              <w:t xml:space="preserve">15 Jan 2020</w:t>
            </w:r>
          </w:p>
        </w:tc>
        <w:tc>
          <w:tcPr>
            <w:tcW w:w="2400" w:type="dxa"/>
          </w:tcPr>
          <w:p>
            <w:r>
              <w:t xml:space="preserve">18 Sept 2020</w:t>
            </w:r>
          </w:p>
        </w:tc>
        <w:tc>
          <w:tcPr>
            <w:tcW w:w="2400" w:type="dxa"/>
          </w:tcPr>
          <w:p>
            <w:r>
              <w:t xml:space="preserve">USD 632,000</w:t>
            </w:r>
          </w:p>
        </w:tc>
        <w:tc>
          <w:tcPr>
            <w:tcW w:w="2400" w:type="dxa"/>
          </w:tcPr>
          <w:p>
            <w:r>
              <w:t xml:space="preserve">Barbados, Bolivia (Plurinational State of), Brazil, Chile, Colombia, Costa Rica, Cuba, Dominican Republic, Ecuador, El Salvador, Guatemala, Honduras, Jamaica, Mexico, Nicaragua, Panama, Paraguay, Peru, Trinidad and Tobago, Uruguay, Venezuela (Bolivarian Republic of)</w:t>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r>
      <w:tr>
        <w:tc>
          <w:tcPr>
            <w:tcW w:w="2400" w:type="dxa"/>
          </w:tcPr>
          <w:p>
            <w:r>
              <w:t xml:space="preserve">5319</w:t>
            </w:r>
          </w:p>
        </w:tc>
        <w:tc>
          <w:tcPr>
            <w:tcW w:w="2400" w:type="dxa"/>
          </w:tcPr>
          <w:p>
            <w:r>
              <w:t xml:space="preserve">Request #5319 ? This request is in response to request from members of the Alliance of Small Island States (AOSIS) for UNSD to organize a series of capacity building workshops to validate the M&amp;E framework for the Antigua and Barbuda Action for Small Island Developing States (AOSIS) with statistical experts of national statistical offices (NSOs) of SIDS and to provide them with crucial technical support for the frameworkâ€™s implementation.   / The workshop will be conducted face-to-face over and will consist of a series of presentations followed by group discussions. The main facilitators will be staff members from UNSD and SIDS Unit.  / International and regional organisations who are custodians of selected SDG indicators will be invited to share lessons from SDG reporting and monitoring that can be adapted for the reporting and monitoring process for the ABAS. They will also be requested to share relevant resources and technical assistance opportunities to improve the production of the adopted ABAS indicators.   / The workshop will benefit from the intergovernmental support work and analytical products by UNSD on areas including SDG reporting and monitoring, the implementation of the SDG global indicator framework, and evidence-based Voluntary National Reviews (VNRs).  It is fully in line with the priorities set out in the approved work programme  of the Inter-agency and Expert Group on SDG Indicators (IAEG-SDGs) to encourage data innovations and national efforts in bridging data gaps for SDG indicators as well as to improve data flows and global data reporting for the SDGs. / This workshop is being jointly planned and organized with the SIDS Unit of DSDG. The final decision on the venue and date will be made in September 2025.</w:t>
            </w:r>
          </w:p>
        </w:tc>
        <w:tc>
          <w:tcPr>
            <w:tcW w:w="2400" w:type="dxa"/>
          </w:tcPr>
          <w:p>
            <w:r>
              <w:t xml:space="preserve">Completed</w:t>
            </w:r>
          </w:p>
        </w:tc>
        <w:tc>
          <w:tcPr>
            <w:tcW w:w="2400" w:type="dxa"/>
          </w:tcPr>
          <w:p>
            <w:r>
              <w:t xml:space="preserve">Statistics Division</w:t>
            </w:r>
          </w:p>
        </w:tc>
        <w:tc>
          <w:tcPr>
            <w:tcW w:w="2400" w:type="dxa"/>
          </w:tcPr>
          <w:p>
            <w:r>
              <w:t xml:space="preserve">18 Aug 2025</w:t>
            </w:r>
          </w:p>
        </w:tc>
        <w:tc>
          <w:tcPr>
            <w:tcW w:w="2400" w:type="dxa"/>
          </w:tcPr>
          <w:p>
            <w:r>
              <w:t xml:space="preserve">15 Dec 2025</w:t>
            </w:r>
          </w:p>
        </w:tc>
        <w:tc>
          <w:tcPr>
            <w:tcW w:w="2400" w:type="dxa"/>
          </w:tcPr>
          <w:p>
            <w:r>
              <w:t xml:space="preserve">17 Dec 2025</w:t>
            </w:r>
          </w:p>
        </w:tc>
        <w:tc>
          <w:tcPr>
            <w:tcW w:w="2400" w:type="dxa"/>
          </w:tcPr>
          <w:p>
            <w:r>
              <w:t xml:space="preserve">Sokunpanha You | sokunpanha.you@un.org</w:t>
            </w:r>
          </w:p>
        </w:tc>
        <w:tc>
          <w:tcPr>
            <w:tcW w:w="2400" w:type="dxa"/>
          </w:tcPr>
          <w:p>
            <w:r>
              <w:t xml:space="preserve">This request is in response to request from members of the Alliance of Small Island States (AOSIS) for UNSD to organize a series of capacity building workshops to validate the M&amp;E framework for the Antigua and Barbuda Action for Small Island Developing States (AOSIS) with statistical experts of national statistical offices (NSOs) of SIDS and to provide them with crucial technical support for the frameworkâ€™s implementation.   / The workshop will be conducted face-to-face over and will consist of a series of presentations followed by group discussions. The main facilitators will be staff members from UNSD and SIDS Unit.  / International and regional organisations who are custodians of selected SDG indicators will be invited to share lessons from SDG reporting and monitoring that can be adapted for the reporting and monitoring process for the ABAS. They will also be requested to share relevant resources and technical assistance opportunities to improve the production of the adopted ABAS indicators.   / The workshop will benefit from the intergovernmental support work and analytical products by UNSD on areas including SDG reporting and monitoring, the implementation of the SDG global indicator framework, and evidence-based Voluntary National Reviews (VNRs).  It is fully in line with the priorities set out in the approved work programme  of the Inter-agency and Expert Group on SDG Indicators (IAEG-SDGs) to encourage data innovations and national efforts in bridging data gaps for SDG indicators as well as to improve data flows and global data reporting for the SDGs. / This workshop is being jointly planned and organized with the SIDS Unit of DSDG. The final decision on the venue and date will be made in September 2025.</w:t>
            </w:r>
          </w:p>
        </w:tc>
        <w:tc>
          <w:tcPr>
            <w:tcW w:w="2400" w:type="dxa"/>
          </w:tcPr>
          <w:p>
            <w:r>
              <w:t xml:space="preserve">Country standardized: 'Saint Kitts and Nevis' -&gt; 'Federation of Saint Kitts and Nevis'. / Country standardized: 'Timor-Leste' -&gt; 'Democratic Republic of Timor-Leste'.</w:t>
            </w:r>
          </w:p>
        </w:tc>
      </w:tr>
      <w:tr>
        <w:tc>
          <w:tcPr>
            <w:tcW w:w="2400" w:type="dxa"/>
          </w:tcPr>
          <w:p>
            <w:r>
              <w:t xml:space="preserve">5246</w:t>
            </w:r>
          </w:p>
        </w:tc>
        <w:tc>
          <w:tcPr>
            <w:tcW w:w="2400" w:type="dxa"/>
          </w:tcPr>
          <w:p>
            <w:r>
              <w:t xml:space="preserve">Request #5246 ? In accordance with Economic and Social Council resolution E/RES/2018/2 of 10 November 2017 and decision 2023/338 of 25 July 2023, the United Nations Group of Experts on Geographical Names convened its 2025 session from 28 April to the 2 May 2025 at the United Nations Headquarters in New York, in conference room three. There were 9 meetings of the 2025 session and each meeting will be three hours: 10:00 a.m - 1:00 p.m. and 3:00 - 6:00 p.m.. In all, 197 participants representing 56 Member States across UNGEGNâ€™s geographical and linguistic divisions and observers participated. Specifically, decision 2025/8 Geographical names data management (f): Urged Member States to mobilize resources to support the development of capacity across all Member States and welcomed the possibility of convening a workshop on Linking Geographical Names, the Disaggregation and Localization of Sustainable Development Goals, and the Semantic Web from 11 to 15 August 2025 at the headquarters of the Economic Commission for Latin America and the Caribbean in Santiago.</w:t>
            </w:r>
          </w:p>
        </w:tc>
        <w:tc>
          <w:tcPr>
            <w:tcW w:w="2400" w:type="dxa"/>
          </w:tcPr>
          <w:p>
            <w:r>
              <w:t xml:space="preserve">Under consideration</w:t>
            </w:r>
          </w:p>
        </w:tc>
        <w:tc>
          <w:tcPr>
            <w:tcW w:w="2400" w:type="dxa"/>
          </w:tcPr>
          <w:p>
            <w:r>
              <w:t xml:space="preserve">Statistics Division</w:t>
            </w:r>
          </w:p>
        </w:tc>
        <w:tc>
          <w:tcPr>
            <w:tcW w:w="2400" w:type="dxa"/>
          </w:tcPr>
          <w:p>
            <w:r>
              <w:t xml:space="preserve">02 May 2025</w:t>
            </w:r>
          </w:p>
        </w:tc>
        <w:tc>
          <w:tcPr>
            <w:tcW w:w="2400" w:type="dxa"/>
          </w:tcPr>
          <w:p>
            <w:r>
              <w:t xml:space="preserve">11 Aug 2025</w:t>
            </w:r>
          </w:p>
        </w:tc>
        <w:tc>
          <w:tcPr>
            <w:tcW w:w="2400" w:type="dxa"/>
          </w:tcPr>
          <w:p>
            <w:r>
              <w:t xml:space="preserve">14 Aug 2025</w:t>
            </w:r>
          </w:p>
        </w:tc>
        <w:tc>
          <w:tcPr>
            <w:tcW w:w="2400" w:type="dxa"/>
          </w:tcPr>
          <w:p>
            <w:r>
              <w:t xml:space="preserve">Mark Iliffe | mark.iliffe@un.org</w:t>
            </w:r>
          </w:p>
        </w:tc>
        <w:tc>
          <w:tcPr>
            <w:tcW w:w="2400" w:type="dxa"/>
          </w:tcPr>
          <w:p>
            <w:r>
              <w:t xml:space="preserve">In accordance with Economic and Social Council resolution E/RES/2018/2 of 10 November 2017 and decision 2023/338 of 25 July 2023, the United Nations Group of Experts on Geographical Names convened its 2025 session from 28 April to the 2 May 2025 at the United Nations Headquarters in New York, in conference room three. There were 9 meetings of the 2025 session and each meeting will be three hours: 10:00 a.m - 1:00 p.m. and 3:00 - 6:00 p.m.. In all, 197 participants representing 56 Member States across UNGEGNâ€™s geographical and linguistic divisions and observers participated. Specifically, decision 2025/8 Geographical names data management (f): Urged Member States to mobilize resources to support the development of capacity across all Member States and welcomed the possibility of convening a workshop on Linking Geographical Names, the Disaggregation and Localization of Sustainable Development Goals, and the Semantic Web from 11 to 15 August 2025 at the headquarters of the Economic Commission for Latin America and the Caribbean in Santiago.</w:t>
            </w:r>
          </w:p>
        </w:tc>
        <w:tc>
          <w:tcPr>
            <w:tcW w:w="2400" w:type="dxa"/>
          </w:tcPr>
          <w:p>
            <w:r>
              <w:t xml:space="preserve"/>
            </w:r>
          </w:p>
        </w:tc>
      </w:tr>
      <w:tr>
        <w:tc>
          <w:tcPr>
            <w:tcW w:w="2400" w:type="dxa"/>
          </w:tcPr>
          <w:p>
            <w:r>
              <w:t xml:space="preserve">5136</w:t>
            </w:r>
          </w:p>
        </w:tc>
        <w:tc>
          <w:tcPr>
            <w:tcW w:w="2400" w:type="dxa"/>
          </w:tcPr>
          <w:p>
            <w:r>
              <w:t xml:space="preserve">Request #5136 ? The United Nations Statistics Division (DESA/SD) is proposing to provide funding for two resource experts and for two UNSD staff to co-organize and co-lead a Regional Workshop on International Statistical Classifications that will be hosted by ESCAP in Santiago, Chile, on 20-22 May 2025. / This regional course aims to help participants acquire knowledge and skills to deepen their understanding of the principles and methodology of international statistical classifications. The course will review recent developments in classifications and provide guidance on the development and implementation of classifications.  / The proposal concerns a total budget of US$41,903 covering the participation of two resource experts from Eurostat and the United States. This proposal also covers the travel of two DESA/UNSD staff members for co-organizing and co-leading the workshop.</w:t>
            </w:r>
          </w:p>
        </w:tc>
        <w:tc>
          <w:tcPr>
            <w:tcW w:w="2400" w:type="dxa"/>
          </w:tcPr>
          <w:p>
            <w:r>
              <w:t xml:space="preserve">Under consideration</w:t>
            </w:r>
          </w:p>
        </w:tc>
        <w:tc>
          <w:tcPr>
            <w:tcW w:w="2400" w:type="dxa"/>
          </w:tcPr>
          <w:p>
            <w:r>
              <w:t xml:space="preserve">Statistics Division</w:t>
            </w:r>
          </w:p>
        </w:tc>
        <w:tc>
          <w:tcPr>
            <w:tcW w:w="2400" w:type="dxa"/>
          </w:tcPr>
          <w:p>
            <w:r>
              <w:t xml:space="preserve">03 Mar 2025</w:t>
            </w:r>
          </w:p>
        </w:tc>
        <w:tc>
          <w:tcPr>
            <w:tcW w:w="2400" w:type="dxa"/>
          </w:tcPr>
          <w:p>
            <w:r>
              <w:t xml:space="preserve">17 Mar 2025</w:t>
            </w:r>
          </w:p>
        </w:tc>
        <w:tc>
          <w:tcPr>
            <w:tcW w:w="2400" w:type="dxa"/>
          </w:tcPr>
          <w:p>
            <w:r>
              <w:t xml:space="preserve">27 May 2025</w:t>
            </w:r>
          </w:p>
        </w:tc>
        <w:tc>
          <w:tcPr>
            <w:tcW w:w="2400" w:type="dxa"/>
          </w:tcPr>
          <w:p>
            <w:r>
              <w:t xml:space="preserve">Pedro Farinas | farinas@un.org</w:t>
            </w:r>
          </w:p>
        </w:tc>
        <w:tc>
          <w:tcPr>
            <w:tcW w:w="2400" w:type="dxa"/>
          </w:tcPr>
          <w:p>
            <w:r>
              <w:t xml:space="preserve">The United Nations Statistics Division (DESA/SD) is proposing to provide funding for two resource experts and for two UNSD staff to co-organize and co-lead a Regional Workshop on International Statistical Classifications that will be hosted by ESCAP in Santiago, Chile, on 20-22 May 2025. / This regional course aims to help participants acquire knowledge and skills to deepen their understanding of the principles and methodology of international statistical classifications. The course will review recent developments in classifications and provide guidance on the development and implementation of classifications.  / The proposal concerns a total budget of US$41,903 covering the participation of two resource experts from Eurostat and the United States. This proposal also covers the travel of two DESA/UNSD staff members for co-organizing and co-leading the workshop.</w:t>
            </w:r>
          </w:p>
        </w:tc>
        <w:tc>
          <w:tcPr>
            <w:tcW w:w="2400" w:type="dxa"/>
          </w:tcPr>
          <w:p>
            <w:r>
              <w:t xml:space="preserve"/>
            </w:r>
          </w:p>
        </w:tc>
      </w:tr>
      <w:tr>
        <w:tc>
          <w:tcPr>
            <w:tcW w:w="2400" w:type="dxa"/>
          </w:tcPr>
          <w:p>
            <w:r>
              <w:t xml:space="preserve">5067</w:t>
            </w:r>
          </w:p>
        </w:tc>
        <w:tc>
          <w:tcPr>
            <w:tcW w:w="2400" w:type="dxa"/>
          </w:tcPr>
          <w:p>
            <w:r>
              <w:t xml:space="preserve">Request #5067 ? Organize and facilitate a Capacity Development Workshop on Building Resilient and Agile Statistical Systems in the Caribbean SIDS: Data Ethics, Governance, and Quality in a Changing Data Ecosystem</w:t>
            </w:r>
          </w:p>
        </w:tc>
        <w:tc>
          <w:tcPr>
            <w:tcW w:w="2400" w:type="dxa"/>
          </w:tcPr>
          <w:p>
            <w:r>
              <w:t xml:space="preserve">Under consideration</w:t>
            </w:r>
          </w:p>
        </w:tc>
        <w:tc>
          <w:tcPr>
            <w:tcW w:w="2400" w:type="dxa"/>
          </w:tcPr>
          <w:p>
            <w:r>
              <w:t xml:space="preserve">Statistics Division</w:t>
            </w:r>
          </w:p>
        </w:tc>
        <w:tc>
          <w:tcPr>
            <w:tcW w:w="2400" w:type="dxa"/>
          </w:tcPr>
          <w:p>
            <w:r>
              <w:t xml:space="preserve">17 Sept 2024</w:t>
            </w:r>
          </w:p>
        </w:tc>
        <w:tc>
          <w:tcPr>
            <w:tcW w:w="2400" w:type="dxa"/>
          </w:tcPr>
          <w:p>
            <w:r>
              <w:t xml:space="preserve">02 Dec 2024</w:t>
            </w:r>
          </w:p>
        </w:tc>
        <w:tc>
          <w:tcPr>
            <w:tcW w:w="2400" w:type="dxa"/>
          </w:tcPr>
          <w:p>
            <w:r>
              <w:t xml:space="preserve">06 Dec 2024</w:t>
            </w:r>
          </w:p>
        </w:tc>
        <w:tc>
          <w:tcPr>
            <w:tcW w:w="2400" w:type="dxa"/>
          </w:tcPr>
          <w:p>
            <w:r>
              <w:t xml:space="preserve">Matthias Reister | reister@un.org</w:t>
            </w:r>
          </w:p>
        </w:tc>
        <w:tc>
          <w:tcPr>
            <w:tcW w:w="2400" w:type="dxa"/>
          </w:tcPr>
          <w:p>
            <w:r>
              <w:t xml:space="preserve">Organize and facilitate a Capacity Development Workshop on Building Resilient and Agile Statistical Systems in the Caribbean SIDS: Data Ethics, Governance, and Quality in a Changing Data Ecosystem</w:t>
            </w:r>
          </w:p>
        </w:tc>
        <w:tc>
          <w:tcPr>
            <w:tcW w:w="2400" w:type="dxa"/>
          </w:tcPr>
          <w:p>
            <w:r>
              <w:t xml:space="preserve">Country standardized: 'Saint Kitts and Nevis' -&gt; 'Federation of Saint Kitts and Nevis'.</w:t>
            </w:r>
          </w:p>
        </w:tc>
      </w:tr>
      <w:tr>
        <w:tc>
          <w:tcPr>
            <w:tcW w:w="2400" w:type="dxa"/>
          </w:tcPr>
          <w:p>
            <w:r>
              <w:t xml:space="preserve">4781</w:t>
            </w:r>
          </w:p>
        </w:tc>
        <w:tc>
          <w:tcPr>
            <w:tcW w:w="2400" w:type="dxa"/>
          </w:tcPr>
          <w:p>
            <w:r>
              <w:t xml:space="preserve">Request #4781 ? UNSD is responding to the request put forward on the Compilation of main messages for the 2023 Voluntary National Reviews</w:t>
            </w:r>
          </w:p>
        </w:tc>
        <w:tc>
          <w:tcPr>
            <w:tcW w:w="2400" w:type="dxa"/>
          </w:tcPr>
          <w:p>
            <w:r>
              <w:t xml:space="preserve">Completed</w:t>
            </w:r>
          </w:p>
        </w:tc>
        <w:tc>
          <w:tcPr>
            <w:tcW w:w="2400" w:type="dxa"/>
          </w:tcPr>
          <w:p>
            <w:r>
              <w:t xml:space="preserve">Statistics Division</w:t>
            </w:r>
          </w:p>
        </w:tc>
        <w:tc>
          <w:tcPr>
            <w:tcW w:w="2400" w:type="dxa"/>
          </w:tcPr>
          <w:p>
            <w:r>
              <w:t xml:space="preserve">10 Jul 2023</w:t>
            </w:r>
          </w:p>
        </w:tc>
        <w:tc>
          <w:tcPr>
            <w:tcW w:w="2400" w:type="dxa"/>
          </w:tcPr>
          <w:p>
            <w:r>
              <w:t xml:space="preserve">10 Jul 2023</w:t>
            </w:r>
          </w:p>
        </w:tc>
        <w:tc>
          <w:tcPr>
            <w:tcW w:w="2400" w:type="dxa"/>
          </w:tcPr>
          <w:p>
            <w:r>
              <w:t xml:space="preserve">09 Jul 2024</w:t>
            </w:r>
          </w:p>
        </w:tc>
        <w:tc>
          <w:tcPr>
            <w:tcW w:w="2400" w:type="dxa"/>
          </w:tcPr>
          <w:p>
            <w:r>
              <w:t xml:space="preserve">Yongyi Min | min3@un.org</w:t>
            </w:r>
          </w:p>
        </w:tc>
        <w:tc>
          <w:tcPr>
            <w:tcW w:w="2400" w:type="dxa"/>
          </w:tcPr>
          <w:p>
            <w:r>
              <w:t xml:space="preserve">UNSD is responding to the request put forward on the Compilation of main messages for the 2023 Voluntary National Reviews</w:t>
            </w:r>
          </w:p>
        </w:tc>
        <w:tc>
          <w:tcPr>
            <w:tcW w:w="2400" w:type="dxa"/>
          </w:tcPr>
          <w:p>
            <w:r>
              <w:t xml:space="preserve"/>
            </w:r>
          </w:p>
        </w:tc>
      </w:tr>
      <w:tr>
        <w:tc>
          <w:tcPr>
            <w:tcW w:w="2400" w:type="dxa"/>
          </w:tcPr>
          <w:p>
            <w:r>
              <w:t xml:space="preserve">4219</w:t>
            </w:r>
          </w:p>
        </w:tc>
        <w:tc>
          <w:tcPr>
            <w:tcW w:w="2400" w:type="dxa"/>
          </w:tcPr>
          <w:p>
            <w:r>
              <w:t xml:space="preserve">Request #4219 ? FSDO has identified an increased demand for training that addresses practical aspects of applying the MAP. The workshop responded to a direct request received from Member States, in this case, expressed through the CARICOM Secretariat.</w:t>
            </w:r>
          </w:p>
        </w:tc>
        <w:tc>
          <w:tcPr>
            <w:tcW w:w="2400" w:type="dxa"/>
          </w:tcPr>
          <w:p>
            <w:r>
              <w:t xml:space="preserve">Completed</w:t>
            </w:r>
          </w:p>
        </w:tc>
        <w:tc>
          <w:tcPr>
            <w:tcW w:w="2400" w:type="dxa"/>
          </w:tcPr>
          <w:p>
            <w:r>
              <w:t xml:space="preserve">Financing for Sustainable Development Office</w:t>
            </w:r>
          </w:p>
        </w:tc>
        <w:tc>
          <w:tcPr>
            <w:tcW w:w="2400" w:type="dxa"/>
          </w:tcPr>
          <w:p>
            <w:r>
              <w:t xml:space="preserve">02 Jun 2022</w:t>
            </w:r>
          </w:p>
        </w:tc>
        <w:tc>
          <w:tcPr>
            <w:tcW w:w="2400" w:type="dxa"/>
          </w:tcPr>
          <w:p>
            <w:r>
              <w:t xml:space="preserve">05 Dec 2022</w:t>
            </w:r>
          </w:p>
        </w:tc>
        <w:tc>
          <w:tcPr>
            <w:tcW w:w="2400" w:type="dxa"/>
          </w:tcPr>
          <w:p>
            <w:r>
              <w:t xml:space="preserve">09 Dec 2022</w:t>
            </w:r>
          </w:p>
        </w:tc>
        <w:tc>
          <w:tcPr>
            <w:tcW w:w="2400" w:type="dxa"/>
          </w:tcPr>
          <w:p>
            <w:r>
              <w:t xml:space="preserve">Ms. Evelyn Wayne | Evelyn.Wayne@Caricom.org</w:t>
            </w:r>
          </w:p>
        </w:tc>
        <w:tc>
          <w:tcPr>
            <w:tcW w:w="2400" w:type="dxa"/>
          </w:tcPr>
          <w:p>
            <w:r>
              <w:t xml:space="preserve">FSDO has identified an increased demand for training that addresses practical aspects of applying the MAP. The workshop responded to a direct request received from Member States, in this case, expressed through the CARICOM Secretariat.</w:t>
            </w:r>
          </w:p>
        </w:tc>
        <w:tc>
          <w:tcPr>
            <w:tcW w:w="2400" w:type="dxa"/>
          </w:tcPr>
          <w:p>
            <w:r>
              <w:t xml:space="preserve">Country standardized: 'Saint Kitts and Nevis' -&gt; 'Federation of Saint Kitts and Nevis'.</w:t>
            </w:r>
          </w:p>
        </w:tc>
      </w:tr>
      <w:tr>
        <w:tc>
          <w:tcPr>
            <w:tcW w:w="2400" w:type="dxa"/>
          </w:tcPr>
          <w:p>
            <w:r>
              <w:t xml:space="preserve">4135</w:t>
            </w:r>
          </w:p>
        </w:tc>
        <w:tc>
          <w:tcPr>
            <w:tcW w:w="2400" w:type="dxa"/>
          </w:tcPr>
          <w:p>
            <w:r>
              <w:t xml:space="preserve">Request #4135 ? 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Under consideration</w:t>
            </w:r>
          </w:p>
        </w:tc>
        <w:tc>
          <w:tcPr>
            <w:tcW w:w="2400" w:type="dxa"/>
          </w:tcPr>
          <w:p>
            <w:r>
              <w:t xml:space="preserve">Financing for Sustainable Development Office</w:t>
            </w:r>
          </w:p>
        </w:tc>
        <w:tc>
          <w:tcPr>
            <w:tcW w:w="2400" w:type="dxa"/>
          </w:tcPr>
          <w:p>
            <w:r>
              <w:t xml:space="preserve">03 Jan 2022</w:t>
            </w:r>
          </w:p>
        </w:tc>
        <w:tc>
          <w:tcPr>
            <w:tcW w:w="2400" w:type="dxa"/>
          </w:tcPr>
          <w:p>
            <w:r>
              <w:t xml:space="preserve">03 Jan 2022</w:t>
            </w:r>
          </w:p>
        </w:tc>
        <w:tc>
          <w:tcPr>
            <w:tcW w:w="2400" w:type="dxa"/>
          </w:tcPr>
          <w:p>
            <w:r>
              <w:t xml:space="preserve"/>
            </w:r>
          </w:p>
        </w:tc>
        <w:tc>
          <w:tcPr>
            <w:tcW w:w="2400" w:type="dxa"/>
          </w:tcPr>
          <w:p>
            <w:r>
              <w:t xml:space="preserve">Natalia Aristizabal Mora | natalia.aristizabalmora@un.org</w:t>
            </w:r>
          </w:p>
        </w:tc>
        <w:tc>
          <w:tcPr>
            <w:tcW w:w="2400" w:type="dxa"/>
          </w:tcPr>
          <w:p>
            <w:r>
              <w:t xml:space="preserve">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Country standardized: 'Cote d'Ivoire' -&gt; 'Côte d’Ivoire'. / Country standardized: 'Timor-Leste' -&gt; 'Democratic Republic of Timor-Leste'.</w:t>
            </w:r>
          </w:p>
        </w:tc>
      </w:tr>
      <w:tr>
        <w:tc>
          <w:tcPr>
            <w:tcW w:w="2400" w:type="dxa"/>
          </w:tcPr>
          <w:p>
            <w:r>
              <w:t xml:space="preserve">3860</w:t>
            </w:r>
          </w:p>
        </w:tc>
        <w:tc>
          <w:tcPr>
            <w:tcW w:w="2400" w:type="dxa"/>
          </w:tcPr>
          <w:p>
            <w:r>
              <w:t xml:space="preserve">Request #3860 ? This initiative aims to strengthen UNRC/UNCT capacities for / the analyses of transboundary economic risks, economic / transformation, debt management and fiscal issues reflected / in CCAs in selected countries. It will leverage DESAâ€™s / analytical tools and products - including economic forecasting / and policy messages of the World Economic Situation / Prospects (WESP) and the World Social Report (WSR) - and / the regional outlooks and analyses produced by the UN / Regional Commissions (RECs) to strengthen macroeconomic / analyses relevant for CCAs. The analyses of the socioeconomic / impact of COVID-19 conducted by both DESA and / RECs will also be a major input to this effort. / The overall goal is to support the UNRC/UNCT to effectively / use and translate global and regional economic outlooks and / risks to develop country specific policy guidance. DESA will / work in partnership with interested RECs to deploy respective / knowledge, expertise and analytical capacities first to support / the RC/UNCT in the selected countries and then to scale up / support to other countries across regions.</w:t>
            </w:r>
          </w:p>
        </w:tc>
        <w:tc>
          <w:tcPr>
            <w:tcW w:w="2400" w:type="dxa"/>
          </w:tcPr>
          <w:p>
            <w:r>
              <w:t xml:space="preserve">Completed</w:t>
            </w:r>
          </w:p>
        </w:tc>
        <w:tc>
          <w:tcPr>
            <w:tcW w:w="2400" w:type="dxa"/>
          </w:tcPr>
          <w:p>
            <w:r>
              <w:t xml:space="preserve">Economic Analysis and Policy Division</w:t>
            </w:r>
          </w:p>
        </w:tc>
        <w:tc>
          <w:tcPr>
            <w:tcW w:w="2400" w:type="dxa"/>
          </w:tcPr>
          <w:p>
            <w:r>
              <w:t xml:space="preserve">07 May 2020</w:t>
            </w:r>
          </w:p>
        </w:tc>
        <w:tc>
          <w:tcPr>
            <w:tcW w:w="2400" w:type="dxa"/>
          </w:tcPr>
          <w:p>
            <w:r>
              <w:t xml:space="preserve"/>
            </w:r>
          </w:p>
        </w:tc>
        <w:tc>
          <w:tcPr>
            <w:tcW w:w="2400" w:type="dxa"/>
          </w:tcPr>
          <w:p>
            <w:r>
              <w:t xml:space="preserve"/>
            </w:r>
          </w:p>
        </w:tc>
        <w:tc>
          <w:tcPr>
            <w:tcW w:w="2400" w:type="dxa"/>
          </w:tcPr>
          <w:p>
            <w:r>
              <w:t xml:space="preserve">Monica Noagara | noagara@un.org</w:t>
            </w:r>
          </w:p>
        </w:tc>
        <w:tc>
          <w:tcPr>
            <w:tcW w:w="2400" w:type="dxa"/>
          </w:tcPr>
          <w:p>
            <w:r>
              <w:t xml:space="preserve">This initiative aims to strengthen UNRC/UNCT capacities for / the analyses of transboundary economic risks, economic / transformation, debt management and fiscal issues reflected / in CCAs in selected countries. It will leverage DESAâ€™s / analytical tools and products - including economic forecasting / and policy messages of the World Economic Situation / Prospects (WESP) and the World Social Report (WSR) - and / the regional outlooks and analyses produced by the UN / Regional Commissions (RECs) to strengthen macroeconomic / analyses relevant for CCAs. The analyses of the socioeconomic / impact of COVID-19 conducted by both DESA and / RECs will also be a major input to this effort. / The overall goal is to support the UNRC/UNCT to effectively / use and translate global and regional economic outlooks and / risks to develop country specific policy guidance. DESA will / work in partnership with interested RECs to deploy respective / knowledge, expertise and analytical capacities first to support / the RC/UNCT in the selected countries and then to scale up / support to other countries across regions.</w:t>
            </w:r>
          </w:p>
        </w:tc>
        <w:tc>
          <w:tcPr>
            <w:tcW w:w="2400" w:type="dxa"/>
          </w:tcPr>
          <w:p>
            <w:r>
              <w:t xml:space="preserve"/>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Warnings</w:t>
            </w:r>
          </w:p>
        </w:tc>
      </w:tr>
      <w:tr>
        <w:tc>
          <w:tcPr>
            <w:tcW w:w="2400" w:type="dxa"/>
          </w:tcPr>
          <w:p>
            <w:r>
              <w:t xml:space="preserve">SB-001376.99.99.19</w:t>
            </w:r>
          </w:p>
        </w:tc>
        <w:tc>
          <w:tcPr>
            <w:tcW w:w="2400" w:type="dxa"/>
          </w:tcPr>
          <w:p>
            <w:r>
              <w:t xml:space="preserve">Workshop on the use of interoperability standards for the management of geographical names “Linking Geographical Names, the Disaggregation and Localization of Sustainable Development Goals and the Semantic Web”</w:t>
            </w:r>
          </w:p>
        </w:tc>
        <w:tc>
          <w:tcPr>
            <w:tcW w:w="2400" w:type="dxa"/>
          </w:tcPr>
          <w:p>
            <w:r>
              <w:t xml:space="preserve">SD</w:t>
            </w:r>
          </w:p>
        </w:tc>
        <w:tc>
          <w:tcPr>
            <w:tcW w:w="2400" w:type="dxa"/>
          </w:tcPr>
          <w:p>
            <w:r>
              <w:t xml:space="preserve">30 Jun 2026</w:t>
            </w:r>
          </w:p>
        </w:tc>
        <w:tc>
          <w:tcPr>
            <w:tcW w:w="2400" w:type="dxa"/>
          </w:tcPr>
          <w:p>
            <w:r>
              <w:t xml:space="preserve">30 Jun 2026</w:t>
            </w:r>
          </w:p>
        </w:tc>
        <w:tc>
          <w:tcPr>
            <w:tcW w:w="2400" w:type="dxa"/>
          </w:tcPr>
          <w:p>
            <w:r>
              <w:t xml:space="preserve">$43,886</w:t>
            </w:r>
          </w:p>
        </w:tc>
        <w:tc>
          <w:tcPr>
            <w:tcW w:w="2400" w:type="dxa"/>
          </w:tcPr>
          <w:p>
            <w:r>
              <w:t xml:space="preserve">Argentina, Barbados, Brazil, Colombia, Costa Rica, Dominican Republic, Ecuador, Jamaica, Mexico, Panama, Uruguay</w:t>
            </w:r>
          </w:p>
        </w:tc>
        <w:tc>
          <w:tcPr>
            <w:tcW w:w="2400" w:type="dxa"/>
          </w:tcPr>
          <w:p>
            <w:r>
              <w:t xml:space="preserve">Proposal past due</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SB-001380.88</w:t>
            </w:r>
          </w:p>
        </w:tc>
        <w:tc>
          <w:tcPr>
            <w:tcW w:w="2400" w:type="dxa"/>
          </w:tcPr>
          <w:p>
            <w:r>
              <w:t xml:space="preserve">Strengthening developing countries’ capacity to address transfer-pricing challenges related to centralized procurement activities and to enhance their VAT/GST systems through global virtual workshops.</w:t>
            </w:r>
          </w:p>
        </w:tc>
        <w:tc>
          <w:tcPr>
            <w:tcW w:w="2400" w:type="dxa"/>
          </w:tcPr>
          <w:p>
            <w:r>
              <w:t xml:space="preserve">FSDO</w:t>
            </w:r>
          </w:p>
        </w:tc>
        <w:tc>
          <w:tcPr>
            <w:tcW w:w="2400" w:type="dxa"/>
          </w:tcPr>
          <w:p>
            <w:r>
              <w:t xml:space="preserve">29 Jan 2026</w:t>
            </w:r>
          </w:p>
        </w:tc>
        <w:tc>
          <w:tcPr>
            <w:tcW w:w="2400" w:type="dxa"/>
          </w:tcPr>
          <w:p>
            <w:r>
              <w:t xml:space="preserve">18 Feb 2026</w:t>
            </w:r>
          </w:p>
        </w:tc>
        <w:tc>
          <w:tcPr>
            <w:tcW w:w="2400" w:type="dxa"/>
          </w:tcPr>
          <w:p>
            <w:r>
              <w:t xml:space="preserve">$6,688</w:t>
            </w:r>
          </w:p>
        </w:tc>
        <w:tc>
          <w:tcPr>
            <w:tcW w:w="2400" w:type="dxa"/>
          </w:tcPr>
          <w:p>
            <w:r>
              <w:t xml:space="preserve">1,299</w:t>
            </w:r>
          </w:p>
        </w:tc>
        <w:tc>
          <w:tcPr>
            <w:tcW w:w="2400" w:type="dxa"/>
          </w:tcPr>
          <w:p>
            <w:r>
              <w:t xml:space="preserve">665</w:t>
            </w:r>
          </w:p>
        </w:tc>
        <w:tc>
          <w:tcPr>
            <w:tcW w:w="2400" w:type="dxa"/>
          </w:tcPr>
          <w:p>
            <w:r>
              <w:t xml:space="preserve">Country standardized: 'Sri Lanka' -&gt; 'Democratic Socialist Republic of Sri Lanka'. / Country standardized: 'St. Kitts and Nevis' -&gt; 'Federation of Saint Kitts and Nevis'. / Country standardized: 'Tanzania (United Republic of)' -&gt; 'United Republic of Tanzania'. / Region standardized: 'global' -&gt; 'Global'.</w:t>
            </w:r>
          </w:p>
        </w:tc>
        <w:tc>
          <w:tcPr>
            <w:tcW w:w="2400" w:type="dxa"/>
          </w:tcPr>
          <w:p>
            <w:r>
              <w:t xml:space="preserve">activity.xlsx record 'SB-001380.88|row:6': '#Policies' has non-numeric value 'more effective use of tax policy and administration as a lever for sustainable development and improved domestic resource mobilization'.</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r>
        <w:tc>
          <w:tcPr>
            <w:tcW w:w="2400" w:type="dxa"/>
          </w:tcPr>
          <w:p>
            <w:r>
              <w:t xml:space="preserve">0002069606 - Barbados</w:t>
            </w:r>
          </w:p>
        </w:tc>
        <w:tc>
          <w:tcPr>
            <w:tcW w:w="2400" w:type="dxa"/>
          </w:tcPr>
          <w:p>
            <w:r>
              <w:t xml:space="preserve">0002069606</w:t>
            </w:r>
          </w:p>
        </w:tc>
        <w:tc>
          <w:tcPr>
            <w:tcW w:w="2400" w:type="dxa"/>
          </w:tcPr>
          <w:p>
            <w:r>
              <w:t xml:space="preserve">Past</w:t>
            </w:r>
          </w:p>
        </w:tc>
        <w:tc>
          <w:tcPr>
            <w:tcW w:w="2400" w:type="dxa"/>
          </w:tcPr>
          <w:p>
            <w:r>
              <w:t xml:space="preserve">Barbados</w:t>
            </w:r>
          </w:p>
        </w:tc>
        <w:tc>
          <w:tcPr>
            <w:tcW w:w="2400" w:type="dxa"/>
          </w:tcPr>
          <w:p>
            <w:r>
              <w:t xml:space="preserve"/>
            </w:r>
          </w:p>
        </w:tc>
        <w:tc>
          <w:tcPr>
            <w:tcW w:w="2400" w:type="dxa"/>
          </w:tcPr>
          <w:p>
            <w:r>
              <w:t xml:space="preserve">DIVISION FOR PUBLIC INSTITUTIONS AND DIGITAL GOVERNMENT</w:t>
            </w:r>
          </w:p>
        </w:tc>
        <w:tc>
          <w:tcPr>
            <w:tcW w:w="2400" w:type="dxa"/>
          </w:tcPr>
          <w:p>
            <w:r>
              <w:t xml:space="preserve">TO ORGANIZE, AND PRESENT AT, A CAPACITY DEVELOPMENT SESSION</w:t>
            </w:r>
          </w:p>
        </w:tc>
        <w:tc>
          <w:tcPr>
            <w:tcW w:w="2400" w:type="dxa"/>
          </w:tcPr>
          <w:p>
            <w:r>
              <w:t xml:space="preserve"/>
            </w:r>
          </w:p>
        </w:tc>
        <w:tc>
          <w:tcPr>
            <w:tcW w:w="2400" w:type="dxa"/>
          </w:tcPr>
          <w:p>
            <w:r>
              <w:t xml:space="preserve">24 May 2025</w:t>
            </w:r>
          </w:p>
        </w:tc>
        <w:tc>
          <w:tcPr>
            <w:tcW w:w="2400" w:type="dxa"/>
          </w:tcPr>
          <w:p>
            <w:r>
              <w:t xml:space="preserve">27 May 2025</w:t>
            </w:r>
          </w:p>
        </w:tc>
      </w:tr>
      <w:tr>
        <w:tc>
          <w:tcPr>
            <w:tcW w:w="2400" w:type="dxa"/>
          </w:tcPr>
          <w:p>
            <w:r>
              <w:t xml:space="preserve">0002072860 - Barbados</w:t>
            </w:r>
          </w:p>
        </w:tc>
        <w:tc>
          <w:tcPr>
            <w:tcW w:w="2400" w:type="dxa"/>
          </w:tcPr>
          <w:p>
            <w:r>
              <w:t xml:space="preserve">0002072860</w:t>
            </w:r>
          </w:p>
        </w:tc>
        <w:tc>
          <w:tcPr>
            <w:tcW w:w="2400" w:type="dxa"/>
          </w:tcPr>
          <w:p>
            <w:r>
              <w:t xml:space="preserve">Past</w:t>
            </w:r>
          </w:p>
        </w:tc>
        <w:tc>
          <w:tcPr>
            <w:tcW w:w="2400" w:type="dxa"/>
          </w:tcPr>
          <w:p>
            <w:r>
              <w:t xml:space="preserve">Barbados</w:t>
            </w:r>
          </w:p>
        </w:tc>
        <w:tc>
          <w:tcPr>
            <w:tcW w:w="2400" w:type="dxa"/>
          </w:tcPr>
          <w:p>
            <w:r>
              <w:t xml:space="preserve"/>
            </w:r>
          </w:p>
        </w:tc>
        <w:tc>
          <w:tcPr>
            <w:tcW w:w="2400" w:type="dxa"/>
          </w:tcPr>
          <w:p>
            <w:r>
              <w:t xml:space="preserve">DIVISION FOR PUBLIC INSTITUTIONS AND DIGITAL GOVERNMENT</w:t>
            </w:r>
          </w:p>
        </w:tc>
        <w:tc>
          <w:tcPr>
            <w:tcW w:w="2400" w:type="dxa"/>
          </w:tcPr>
          <w:p>
            <w:r>
              <w:t xml:space="preserve">COORDINATE WORKSHOP ON THE FUTURE OF GOVERNANCE AND MINDSET</w:t>
            </w:r>
          </w:p>
        </w:tc>
        <w:tc>
          <w:tcPr>
            <w:tcW w:w="2400" w:type="dxa"/>
          </w:tcPr>
          <w:p>
            <w:r>
              <w:t xml:space="preserve"/>
            </w:r>
          </w:p>
        </w:tc>
        <w:tc>
          <w:tcPr>
            <w:tcW w:w="2400" w:type="dxa"/>
          </w:tcPr>
          <w:p>
            <w:r>
              <w:t xml:space="preserve">24 May 2025</w:t>
            </w:r>
          </w:p>
        </w:tc>
        <w:tc>
          <w:tcPr>
            <w:tcW w:w="2400" w:type="dxa"/>
          </w:tcPr>
          <w:p>
            <w:r>
              <w:t xml:space="preserve">28 May 2025</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c>
          <w:tcPr>
            <w:tcW w:w="2400" w:type="dxa"/>
          </w:tcPr>
          <w:p>
            <w:r>
              <w:rPr>
                <w:b/>
              </w:rPr>
              <w:t xml:space="preserve">Data info</w:t>
            </w:r>
          </w:p>
        </w:tc>
        <w:tc>
          <w:tcPr>
            <w:tcW w:w="2400" w:type="dxa"/>
          </w:tcPr>
          <w:p>
            <w:r>
              <w:rPr>
                <w:b/>
              </w:rPr>
              <w:t xml:space="preserve">Warnings</w:t>
            </w:r>
          </w:p>
        </w:tc>
      </w:tr>
      <w:tr>
        <w:tc>
          <w:tcPr>
            <w:tcW w:w="2400" w:type="dxa"/>
          </w:tcPr>
          <w:p>
            <w:r>
              <w:t xml:space="preserve">Global Centre for ICT in Parliament End-of-term Project Evaluation</w:t>
            </w:r>
          </w:p>
        </w:tc>
        <w:tc>
          <w:tcPr>
            <w:tcW w:w="2400" w:type="dxa"/>
          </w:tcPr>
          <w:p>
            <w:r>
              <w:t xml:space="preserve">2013</w:t>
            </w:r>
          </w:p>
        </w:tc>
        <w:tc>
          <w:tcPr>
            <w:tcW w:w="2400" w:type="dxa"/>
          </w:tcPr>
          <w:p>
            <w:r>
              <w:t xml:space="preserve">DPIDG</w:t>
            </w:r>
          </w:p>
        </w:tc>
        <w:tc>
          <w:tcPr>
            <w:tcW w:w="2400" w:type="dxa"/>
          </w:tcPr>
          <w:p>
            <w:r>
              <w:t xml:space="preserve">Algeria, Angola, Antigua and Barbuda, Bangladesh, Barbados, Belize, Benin, Botswana, Brazil, Cambodia, Cameroon, Canada, Chile, Colombia, Comoros, Congo, Costa Rica, Democratic Republic of the Congo, Democratic Socialist Republic of Sri Lanka, Dominica, Dominican Republic, Ecuador, Egypt, Eswatini, Federation of Saint Kitts and Nevis, Finland, Gabon, Georgia, Ghana, Grenada, Guyana, Haiti, Honduras, Italy, Jamaica, Kenya, Lesotho, Malawi, Malaysia, Mauritius, Mexico, Montenegro, Morocco, Mozambique, Namibia, Nigeria, Pakistan, Panama, Paraguay, Peru, Philippines, Rwanda, Saint Lucia, Saint Vincent and the Grenadines, Seychelles, Sierra Leone, South Africa, Spain, Suriname, Switzerland, Trinidad and Tobago, Turkmenistan, Uganda, United Kingdom of Great Britain and Northern Ireland, United Republic of Tanzania, United States of America, Uruguay, Viet Nam, Zambia, Zimbabwe</w:t>
            </w:r>
          </w:p>
        </w:tc>
        <w:tc>
          <w:tcPr>
            <w:tcW w:w="2400" w:type="dxa"/>
          </w:tcPr>
          <w:p>
            <w:r>
              <w:t xml:space="preserve">- Focus planning on short to medium term funding and create continuity of funding to enable proper planning and development of work streams. / - Consider increasing staff numbers to meet opportunity and demand, building a sustainable model for long-term support of parliaments. / - Continue collaboration between the United Nations (DESA) and the IPU, and expand where possible. / - Develop relationships with other parts of the UN interested in parliamentary strengthening, such as UNDPA and UNDP. / - Create a Partners Advisory Committee consisting of key funders to provide strategic input and increase funder engagement. / - Narrow policy work to areas directly related to and sustaining practical work in parliaments, such as open data policies, citizens’ participation, and access to information. / - Devote the majority of efforts to practical strategic and tactical areas: benchmarking and surveys, guides and reports, conferences and networks, and support and assistance to parliaments. / - Monitor and support the adoption of emerging digital trends, including open parliaments, social media, and mobile technologies. / - Increase staffing to deliver outputs and meet future stakeholder demand. / - Expand networks and training to cover a wider geographical base, including Asia and the Pacific region. / - Create virtual networks for peer-to-peer exchange, professional development, and support. / - Attract core funding from a wider range of funders and consider philanthropic, corporate, or alternative sponsorship with strong governance procedures. / - Balance project-based funding with core funding to avoid focus loss and ensure strategic vision.</w:t>
            </w:r>
          </w:p>
        </w:tc>
        <w:tc>
          <w:tcPr>
            <w:tcW w:w="2400" w:type="dxa"/>
          </w:tcPr>
          <w:p>
            <w:r>
              <w:t xml:space="preserve">- Practical support and peer-to-peer relationships are critical for building capacity in parliaments, especially in developing countries. / - Regional and topical networks are effective in supporting ICT development and democratic strengthening in parliaments. / - Benchmarking tools and guides are highly valued for supporting planning, business cases, and adoption of good practices. / - Collaboration with partners such as IPU, ASGP, and IFLA enhances the quality and reach of outputs. / - Sustainable funding and adequate staffing are essential to maintain and expand the Centre’s impact. / - Emerging trends in technology require ongoing training, support, and guidance for parliaments. / - The Centre’s unique parliamentary focus and ability to build goodwill among stakeholders are key to its effectiveness.</w:t>
            </w:r>
          </w:p>
        </w:tc>
        <w:tc>
          <w:tcPr>
            <w:tcW w:w="2400" w:type="dxa"/>
          </w:tcPr>
          <w:p>
            <w:r>
              <w:t xml:space="preserve">https://unitednations.sharepoint.com/sites/DESA-CDPMO/Shared Documents/General/3. Finance Management/1 - TC PROJECTS/Closed Projects (sent to archives)/INT05X73 - Global Centre for ICT Parliament/Final Evaluation/Global Centre Evaluation Final.pdf</w:t>
            </w:r>
          </w:p>
        </w:tc>
        <w:tc>
          <w:tcPr>
            <w:tcW w:w="2400" w:type="dxa"/>
          </w:tcPr>
          <w:p>
            <w:r>
              <w:t xml:space="preserve">Country standardized: 'Saint Kitts and Nevis' -&gt; 'Federation of Saint Kitts and Nevis'. / Country standardized: 'Sri Lanka' -&gt; 'Democratic Socialist Republic of Sri Lanka'. / Country standardized: 'Swaziland' -&gt; 'Eswatini'. / Country standardized: 'Tanzania' -&gt; 'United Republic of Tanzania'. / Country standardized: 'United Kingdom' -&gt; 'United Kingdom of Great Britain and Northern Ireland'. / Country standardized: 'Vietnam' -&gt; 'Viet Nam'.</w:t>
            </w:r>
          </w:p>
        </w:tc>
        <w:tc>
          <w:tcPr>
            <w:tcW w:w="2400" w:type="dxa"/>
          </w:tcPr>
          <w:p>
            <w:r>
              <w:t xml:space="preserve"/>
            </w:r>
          </w:p>
        </w:tc>
      </w:tr>
      <w:tr>
        <w:tc>
          <w:tcPr>
            <w:tcW w:w="2400" w:type="dxa"/>
          </w:tcPr>
          <w:p>
            <w:r>
              <w:t xml:space="preserve">Supporting the establishment of a Latin American Parliamentary Knowledge Network</w:t>
            </w:r>
          </w:p>
        </w:tc>
        <w:tc>
          <w:tcPr>
            <w:tcW w:w="2400" w:type="dxa"/>
          </w:tcPr>
          <w:p>
            <w:r>
              <w:t xml:space="preserve">2014</w:t>
            </w:r>
          </w:p>
        </w:tc>
        <w:tc>
          <w:tcPr>
            <w:tcW w:w="2400" w:type="dxa"/>
          </w:tcPr>
          <w:p>
            <w:r>
              <w:t xml:space="preserve">DPIDG</w:t>
            </w:r>
          </w:p>
        </w:tc>
        <w:tc>
          <w:tcPr>
            <w:tcW w:w="2400" w:type="dxa"/>
          </w:tcPr>
          <w:p>
            <w:r>
              <w:t xml:space="preserve">Argentina, Barbados, Bolivia (Plurinational State of), Brazil, Chile, Colombia, Costa Rica, Ecuador, El Salvador, Guatemala, Guyana, Mexico, Nicaragua, Panama, Paraguay, Saint Vincent and the Grenadines, Suriname, Trinidad and Tobago, Uruguay</w:t>
            </w:r>
          </w:p>
        </w:tc>
        <w:tc>
          <w:tcPr>
            <w:tcW w:w="2400" w:type="dxa"/>
          </w:tcPr>
          <w:p>
            <w:r>
              <w:t xml:space="preserve">- Establish regional agreement and resources for hosting of the Secretariat to ensure that it is properly funded and resourced and that the commitment for this is shared amongst those parliaments that can afford it. / - Expand opportunities for take part in network activities and extend these beyond those parliaments who have formally signed up to RIPALC. / - Ensure appropriate ongoing resources are committed to the digital portal as this is a critical component of the network and vital to ensuring the ongoing operation and relevance of it. / - Participants right across the region need to be encouraged to take ownership of the communities of interest and to see RIPALC as a place to learn, share and network. Ensuring the grass-roots value and use of the network will be the single most significant factor in the networks long term sustainability. / - RIPALC needs to be flexible and responsive to the needs of the users and allow them to create new communities of interest and for the model to develop to suit their requirements, it must be driven by demand, not controlled from the top down. / - It is important that RIPALC maintains the ability to run regional workshops and meetings so that parliamentary staff can network and collaborate. Digital networks are important and they help to sustain relationships and act as timely conduits for knowledge exchange, but they do not replace face to face meetings as a way of building social capital. / - Inter-parliamentary collaboration remains a priority and was seen by participants as a key pre-requisite for democratic strengthening in the region and RIPALC is an ideal vehicle to facilitate and support this.</w:t>
            </w:r>
          </w:p>
        </w:tc>
        <w:tc>
          <w:tcPr>
            <w:tcW w:w="2400" w:type="dxa"/>
          </w:tcPr>
          <w:p>
            <w:r>
              <w:t xml:space="preserve">- The RIPALC network was a timely and appropriate development for the region and has been well received by the participants in it. / - The clear weakness in the project was to rigidly implement a governance model based on the long-established ECPRD structure. This has proved restrictive and inflexible in the case of RIPALC and it has inhibited growth. A more organic and less rigid structure would have been more appropriate. / - Projects such as this need some level of formality and process if they are to be seen as reliable and trustworthy by parliaments, but the network must develop in line with the culture and expectations of the region it covers and duplicating a model from elsewhere can limit take-up. / - The network has become a force for active parliamentary development in the region, a timely catalyst to build on a growing desire for strong parliaments and recognition that it is important for parliaments to collaborate and share ideas, knowledge and experience. / - The network has successfully delivered face-to-face meetings and workshops, which are vital for building and sustaining relationships between parliaments, and has acted as a ‘role model’ for inter-parliamentary collaboration in a region where this is a relatively new and unknown concept. / - The web portal provides a fast and easy way for parliamentary staff to stay in touch and to discuss, advise and be advised about good practice and emergent issues in their field, which is particularly important for smaller legislatures. / - Though the uptake has been slower than expected, this is seen as a result of the structural limitations of RIPALC. In the medium to long term, the Secretariat needs to ensure that the portal is able to meet the needs and demands of its stakeholders and that it is promoted to all parliaments in the region, regardless of their formal membership of RIPALC.</w:t>
            </w:r>
          </w:p>
        </w:tc>
        <w:tc>
          <w:tcPr>
            <w:tcW w:w="2400" w:type="dxa"/>
          </w:tcPr>
          <w:p>
            <w:r>
              <w:t xml:space="preserve">https://unitednations.sharepoint.com/sites/DESA-CDPMO/Shared Documents/General/3. Finance Management/5 - DEVELOPMENT ACCOUNT/DA - DESA/Evaluation reports/7th tranche/ROA 163 (DPADM)/RIPALC.Evaluation.FinalReport-1.0.docx</w:t>
            </w:r>
          </w:p>
        </w:tc>
        <w:tc>
          <w:tcPr>
            <w:tcW w:w="2400" w:type="dxa"/>
          </w:tcPr>
          <w:p>
            <w:r>
              <w:t xml:space="preserve">Country standardized: 'Bolivia' -&gt; 'Bolivia (Plurinational State of)'. / Country standardized: 'St Vincent and the Grenadines' -&gt; 'Saint Vincent and the Grenadines'.</w:t>
            </w:r>
          </w:p>
        </w:tc>
        <w:tc>
          <w:tcPr>
            <w:tcW w:w="2400" w:type="dxa"/>
          </w:tcPr>
          <w:p>
            <w:r>
              <w:t xml:space="preserve">evaluations.xlsx rows 288 (archived) and 200 (retained): Review conflicts: Countries differs: archived row has 'Argentina; Barbados; Bolivia; Brazil; Chile; Colombia; Costa Rica; Ecuador; El Salvador; Guatemala; Guyana; Mexico; Nicaragua; Panama; Paraguay; St Vincent and the Grenadines; Suriname; Trinidad and Tobago; Uruguay'; retained row has 'Argentina; Barbados; Bolivia; Brazil; Chile; Colombia; Costa Rica; El Salvador; Ecuador; Guatemala; Guyana; Mexico; Nicaragua; Panama; Paraguay; St Vincent and the Grenadines; Suriname; Trinidad and Tobago; Uruguay'. Country lists were not merged.</w:t>
            </w:r>
          </w:p>
        </w:tc>
      </w:tr>
      <w:tr>
        <w:tc>
          <w:tcPr>
            <w:tcW w:w="2400" w:type="dxa"/>
          </w:tcPr>
          <w:p>
            <w:r>
              <w:t xml:space="preserve">Strengthening the capacity of Small Island Developing States to assess progress in the implementation of the Mauritius Strategy to mitigate risks and reduce vulnerability</w:t>
            </w:r>
          </w:p>
        </w:tc>
        <w:tc>
          <w:tcPr>
            <w:tcW w:w="2400" w:type="dxa"/>
          </w:tcPr>
          <w:p>
            <w:r>
              <w:t xml:space="preserve">2018</w:t>
            </w:r>
          </w:p>
        </w:tc>
        <w:tc>
          <w:tcPr>
            <w:tcW w:w="2400" w:type="dxa"/>
          </w:tcPr>
          <w:p>
            <w:r>
              <w:t xml:space="preserve">DSDG</w:t>
            </w:r>
          </w:p>
        </w:tc>
        <w:tc>
          <w:tcPr>
            <w:tcW w:w="2400" w:type="dxa"/>
          </w:tcPr>
          <w:p>
            <w:r>
              <w:t xml:space="preserve">Barbados, Cabo Verde, Guinea-Bissau, Jamaica, Saint Lucia, Sao Tome and Principe, Seychelles</w:t>
            </w:r>
          </w:p>
        </w:tc>
        <w:tc>
          <w:tcPr>
            <w:tcW w:w="2400" w:type="dxa"/>
          </w:tcPr>
          <w:p>
            <w:r>
              <w:t xml:space="preserve">- Continue to support the 7 countries in a Phase 2 project and invest directly in strengthening national data systems, particularly for social and environmental data. / - Conduct baseline assessments and readiness assessments in new target countries before project roll-out to tailor activities to country needs. / - Modify the VRCP tool to make it less subjective, including changes such as conducting country situational analyses, adjusting ranking scales, and improving the clarity of outputs. / - Create a communication strategy on the use of the VRCP tool to prepare stakeholders and emphasize the objective of the exercise. / - Allocate a larger share of resources to direct country support and less on sub-regional workshops. / - Incorporate initiatives for South-South cooperation. / - Analyze all vulnerability indices and M&amp;E tools operating at the national level to determine areas of synergy and recommend approaches to leverage their advantages. / - Encourage all UN agencies to promote integration of the SAMOA Pathway with SDGs in collaboration with other development partners at the national level.</w:t>
            </w:r>
          </w:p>
        </w:tc>
        <w:tc>
          <w:tcPr>
            <w:tcW w:w="2400" w:type="dxa"/>
          </w:tcPr>
          <w:p>
            <w:r>
              <w:t xml:space="preserve">- Collaboration among national stakeholders reinforced commitments to international agreements. / - Stakeholder engagement is critical for successful project implementation. / - The project highlighted the value of data and the need for robust data systems, revealing previously unrecognized data gaps. / - Environmental statistics are a new and fragmented area, requiring network building among data sources. / - Understanding data sets is essential for proper data interpretation. / - Exchange of experiences with other SIDS provided valuable insights. / - Advocacy on the need to build resilience was strengthened. / - Similarities among the SAMOA Pathway, SDGs, and national development strategies can allow for unified reporting frameworks.</w:t>
            </w:r>
          </w:p>
        </w:tc>
        <w:tc>
          <w:tcPr>
            <w:tcW w:w="2400" w:type="dxa"/>
          </w:tcPr>
          <w:p>
            <w:r>
              <w:t xml:space="preserve">https://unitednations.sharepoint.com/sites/DESA-CDPMO/Shared Documents/General/3. Finance Management/5 - DEVELOPMENT ACCOUNT/DA - DESA/Audits/2018 Audit information/ROA 259 - DSD Final Evaluation Report.PDF</w:t>
            </w:r>
          </w:p>
        </w:tc>
        <w:tc>
          <w:tcPr>
            <w:tcW w:w="2400" w:type="dxa"/>
          </w:tcPr>
          <w:p>
            <w:r>
              <w:t xml:space="preserve">Country standardized: 'Guinea Bissau' -&gt; 'Guinea-Bissau'.</w:t>
            </w:r>
          </w:p>
        </w:tc>
        <w:tc>
          <w:tcPr>
            <w:tcW w:w="2400" w:type="dxa"/>
          </w:tcPr>
          <w:p>
            <w:r>
              <w:t xml:space="preserve"/>
            </w:r>
          </w:p>
        </w:tc>
      </w:tr>
      <w:tr>
        <w:tc>
          <w:tcPr>
            <w:tcW w:w="2400" w:type="dxa"/>
          </w:tcPr>
          <w:p>
            <w:r>
              <w:t xml:space="preserve">Strengthening Capacity of National Tax Administrations in Developing Countries to Effectively Negotiate and Apply Double Tax Treaties for Financing of Sustainable Development</w:t>
            </w:r>
          </w:p>
        </w:tc>
        <w:tc>
          <w:tcPr>
            <w:tcW w:w="2400" w:type="dxa"/>
          </w:tcPr>
          <w:p>
            <w:r>
              <w:t xml:space="preserve">2018</w:t>
            </w:r>
          </w:p>
        </w:tc>
        <w:tc>
          <w:tcPr>
            <w:tcW w:w="2400" w:type="dxa"/>
          </w:tcPr>
          <w:p>
            <w:r>
              <w:t xml:space="preserve">FSDO</w:t>
            </w:r>
          </w:p>
        </w:tc>
        <w:tc>
          <w:tcPr>
            <w:tcW w:w="2400" w:type="dxa"/>
          </w:tcPr>
          <w:p>
            <w:r>
              <w:t xml:space="preserve">Angola, Argentina, Bahamas, Barbados, Benin, Bolivia (Plurinational State of), Botswana, Burundi, Cambodia, Cameroon, Chad, Chile, Comoros, Costa Rica, Democratic Socialist Republic of Sri Lanka, Djibouti, Dominican Republic, Ecuador, El Salvador, Eswatini, Ethiopia,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Suriname, Thailand, Togo, Trinidad and Tobago, Uganda, United Republic of Tanzania, Uruguay, Viet Nam, Zambia, Zimbabwe</w:t>
            </w:r>
          </w:p>
        </w:tc>
        <w:tc>
          <w:tcPr>
            <w:tcW w:w="2400" w:type="dxa"/>
          </w:tcPr>
          <w:p>
            <w:r>
              <w:t xml:space="preserve">- UN-DESA FfDO must continue their capacity building activities on Double Tax Treaties at global, regional and national level. / - It is imperative to launch the online UN course on Double Tax Treaties and online platform allowing wide access to officials from the NTAs and MoFs in developing countries. / - More emphasis should be placed on enhancing networking opportunities at regional and global events, including tools for international tax collaboration and sharing practical lessons. / - FfDO might consider developing a portfolio of short case studies and country examples to deliver training seminars with practical sessions, using the online UN Course on Double Tax Treaties for basic knowledge. / - FfDO might make an extra effort to ensure inclusion of officials whose first language is not English by providing simultaneous interpretation and increasing the pool of facilitators able to deliver presentations in local languages. / - FfDO might consider implementing a more exhaustive screening process for participant selection, including a short CV and a specific trainee profile to guide candidate presentation. / - It is recommended to develop a plan to implement activities in Asia, including establishing partnerships with academic and professional networks to facilitate regional training events. / - Recommendation No.7 might be extended to Latin America and Africa, encouraging cooperation with academic and professional networks to sustain and institutionalize capacity development and knowledge in double tax treaties.</w:t>
            </w:r>
          </w:p>
        </w:tc>
        <w:tc>
          <w:tcPr>
            <w:tcW w:w="2400" w:type="dxa"/>
          </w:tcPr>
          <w:p>
            <w:r>
              <w:t xml:space="preserve">- Demand for training and building capacity in Double Tax Treaties is high and relevant; efficient tools include the UN Course, Manual, and Handbook, but more case studies and practical sessions are needed. / - Effective training on Double Tax Treaties requires participants to prepare in advance, acquiring basic international taxation theory, terminology, and knowledge of their own country's legal background. / - Regional tax organizations are key partners for project success and their stewardship can be expanded to institutionalize cooperation. / - Capacity building activities can have multiplier effects, such as creating regional pools of experts who disseminate knowledge and support peers; these effects should be strategically included in project planning. / - Indicators of achievement should be measurable and reflect quality benefits, including benchmarks and variables for counterfactual analysis, and should account for unintended effects to capture externalities.</w:t>
            </w:r>
          </w:p>
        </w:tc>
        <w:tc>
          <w:tcPr>
            <w:tcW w:w="2400" w:type="dxa"/>
          </w:tcPr>
          <w:p>
            <w:r>
              <w:t xml:space="preserve">https://unitednations.sharepoint.com/sites/DESA-CDPMO/Shared Documents/General/3. Finance Management/5 - DEVELOPMENT ACCOUNT/DA - DESA/Audits/2018 Audit information/ROA 257 - FFDO Final Evaluation Report.pdf</w:t>
            </w:r>
          </w:p>
        </w:tc>
        <w:tc>
          <w:tcPr>
            <w:tcW w:w="2400" w:type="dxa"/>
          </w:tcPr>
          <w:p>
            <w:r>
              <w:t xml:space="preserve">Country standardized: 'Bolivia' -&gt; 'Bolivia (Plurinational State of)'. / Country standardized: 'Sri Lanka' -&gt; 'Democratic Socialist Republic of Sri Lanka'. / Country standardized: 'Swaziland' -&gt; 'Eswatini'. / Country standardized: 'Tanzania' -&gt; 'United Republic of Tanzania'.</w:t>
            </w:r>
          </w:p>
        </w:tc>
        <w:tc>
          <w:tcPr>
            <w:tcW w:w="2400" w:type="dxa"/>
          </w:tcPr>
          <w:p>
            <w:r>
              <w:t xml:space="preserve">evaluations.xlsx record 'row:206': Country text 'French Guiana' could not be matched; no country assignment was inferred. / evaluations.xlsx rows 285 (archived) and 206 (retained): Review conflicts: Countries differs: archived row has 'Angola; Argentina; Bahamas; Bangladesh; Barbados; Benin; Bolivia; Botswana; Burundi; Cambodia; Cameroon; Chad; Comoros; Costa Rica; Djibouti; Dominican Republic;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Thailand; Togo; Trinidad and Tobago; Uganda; United Republic of Tanzania; Uruguay; Viet Nam; Zambia; Zimbabwe'; retained row has 'Angola; Argentina; Bahamas; Barbados; Benin; Bolivia; Botswana; Burundi; Cambodia; Cameroon; Chad; Chile; Comoros; Costa Rica; Dominican Republic; Djibouti;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Tanzania; Thailand; Togo; Trinidad and Tobago; Uganda; United Republic of Tanzania; Uruguay; Viet Nam; Zambia; Zimbabwe'; RecommendationsList differs between document copies; LessonsLearnedList differs between document copies. Country lists were not merged.</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activity.xlsx record 'SB-001380.88|row:6': '#Policies' has non-numeric value 'more effective use of tax policy and administration as a lever for sustainable development and improved domestic resource mobilization'.</w:t>
            </w:r>
          </w:p>
        </w:tc>
      </w:tr>
      <w:tr>
        <w:tc>
          <w:tcPr>
            <w:tcW w:w="2400" w:type="dxa"/>
          </w:tcPr>
          <w:p>
            <w:r>
              <w:t xml:space="preserve">2</w:t>
            </w:r>
          </w:p>
        </w:tc>
        <w:tc>
          <w:tcPr>
            <w:tcW w:w="2400" w:type="dxa"/>
          </w:tcPr>
          <w:p>
            <w:r>
              <w:t xml:space="preserve">evaluations.xlsx record 'row:206': Country text 'French Guiana' could not be matched; no country assignment was inferred.</w:t>
            </w:r>
          </w:p>
        </w:tc>
      </w:tr>
      <w:tr>
        <w:tc>
          <w:tcPr>
            <w:tcW w:w="2400" w:type="dxa"/>
          </w:tcPr>
          <w:p>
            <w:r>
              <w:t xml:space="preserve">3</w:t>
            </w:r>
          </w:p>
        </w:tc>
        <w:tc>
          <w:tcPr>
            <w:tcW w:w="2400" w:type="dxa"/>
          </w:tcPr>
          <w:p>
            <w:r>
              <w:t xml:space="preserve">evaluations.xlsx rows 285 (archived) and 206 (retained): Review conflicts: Countries differs: archived row has 'Angola; Argentina; Bahamas; Bangladesh; Barbados; Benin; Bolivia; Botswana; Burundi; Cambodia; Cameroon; Chad; Comoros; Costa Rica; Djibouti; Dominican Republic;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Thailand; Togo; Trinidad and Tobago; Uganda; United Republic of Tanzania; Uruguay; Viet Nam; Zambia; Zimbabwe'; retained row has 'Angola; Argentina; Bahamas; Barbados; Benin; Bolivia; Botswana; Burundi; Cambodia; Cameroon; Chad; Chile; Comoros; Costa Rica; Dominican Republic; Djibouti;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Tanzania; Thailand; Togo; Trinidad and Tobago; Uganda; United Republic of Tanzania; Uruguay; Viet Nam; Zambia; Zimbabwe'; RecommendationsList differs between document copies; LessonsLearnedList differs between document copies. Country lists were not merged.</w:t>
            </w:r>
          </w:p>
        </w:tc>
      </w:tr>
      <w:tr>
        <w:tc>
          <w:tcPr>
            <w:tcW w:w="2400" w:type="dxa"/>
          </w:tcPr>
          <w:p>
            <w:r>
              <w:t xml:space="preserve">4</w:t>
            </w:r>
          </w:p>
        </w:tc>
        <w:tc>
          <w:tcPr>
            <w:tcW w:w="2400" w:type="dxa"/>
          </w:tcPr>
          <w:p>
            <w:r>
              <w:t xml:space="preserve">evaluations.xlsx rows 288 (archived) and 200 (retained): Review conflicts: Countries differs: archived row has 'Argentina; Barbados; Bolivia; Brazil; Chile; Colombia; Costa Rica; Ecuador; El Salvador; Guatemala; Guyana; Mexico; Nicaragua; Panama; Paraguay; St Vincent and the Grenadines; Suriname; Trinidad and Tobago; Uruguay'; retained row has 'Argentina; Barbados; Bolivia; Brazil; Chile; Colombia; Costa Rica; El Salvador; Ecuador; Guatemala; Guyana; Mexico; Nicaragua; Panama; Paraguay; St Vincent and the Grenadines; Suriname; Trinidad and Tobago; Uruguay'. Country lists were not merged.</w:t>
            </w:r>
          </w:p>
        </w:tc>
      </w:tr>
      <w:tr>
        <w:tc>
          <w:tcPr>
            <w:tcW w:w="2400" w:type="dxa"/>
          </w:tcPr>
          <w:p>
            <w:r>
              <w:t xml:space="preserve">5</w:t>
            </w:r>
          </w:p>
        </w:tc>
        <w:tc>
          <w:tcPr>
            <w:tcW w:w="2400" w:type="dxa"/>
          </w:tcPr>
          <w:p>
            <w:r>
              <w:t xml:space="preserve">GeoData_with_ISO3166_alpha3.xlsx: last modified 2026-05-22, more than 30 days before ingestion (134 days).</w:t>
            </w:r>
          </w:p>
        </w:tc>
      </w:tr>
      <w:tr>
        <w:tc>
          <w:tcPr>
            <w:tcW w:w="2400" w:type="dxa"/>
          </w:tcPr>
          <w:p>
            <w:r>
              <w:t xml:space="preserve">6</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7</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8</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9</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10</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11</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12</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13</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14</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15</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16</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17</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18</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19</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20</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21</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22</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23</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24</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25</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26</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27</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28</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29</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30</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31</w:t>
            </w:r>
          </w:p>
        </w:tc>
        <w:tc>
          <w:tcPr>
            <w:tcW w:w="2400" w:type="dxa"/>
          </w:tcPr>
          <w:p>
            <w:r>
              <w:t xml:space="preserve">Resolved - Action: duplicate evaluation at evaluations.xlsx row 306 removed; retained row 297 ().</w:t>
            </w:r>
          </w:p>
        </w:tc>
      </w:tr>
      <w:tr>
        <w:tc>
          <w:tcPr>
            <w:tcW w:w="2400" w:type="dxa"/>
          </w:tcPr>
          <w:p>
            <w:r>
              <w:t xml:space="preserve">32</w:t>
            </w:r>
          </w:p>
        </w:tc>
        <w:tc>
          <w:tcPr>
            <w:tcW w:w="2400" w:type="dxa"/>
          </w:tcPr>
          <w:p>
            <w:r>
              <w:t xml:space="preserve">Resolved - Action: duplicate evaluation at evaluations.xlsx row 332 removed; retained row 302 ().</w:t>
            </w:r>
          </w:p>
        </w:tc>
      </w:tr>
      <w:tr>
        <w:tc>
          <w:tcPr>
            <w:tcW w:w="2400" w:type="dxa"/>
          </w:tcPr>
          <w:p>
            <w:r>
              <w:t xml:space="preserve">33</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34</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35</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36</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37</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38</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39</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40</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41</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42</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43</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44</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45</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46</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47</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48</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49</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50</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51</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52</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