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Bhutan</w:t>
      </w:r>
    </w:p>
    <w:p>
      <w:r>
        <w:rPr>
          <w:sz w:val="20"/>
          <w:color w:val="4B5563"/>
        </w:rPr>
        <w:t xml:space="preserve">Asia | LDC | LLDC</w:t>
      </w:r>
    </w:p>
    <w:p>
      <w:r>
        <w:rPr>
          <w:sz w:val="20"/>
          <w:color w:val="4B5563"/>
        </w:rPr>
        <w:t xml:space="preserve">Exported 05 Oct 2026, 14:20 | Snapshot 03 Oct 2026, 21:47 GMT-4</w:t>
      </w:r>
    </w:p>
    <w:p>
      <w:r>
        <w:rPr>
          <w:b/>
          <w:sz w:val="28"/>
          <w:color w:val="174A7C"/>
        </w:rPr>
        <w:t xml:space="preserve">Summary</w:t>
      </w:r>
    </w:p>
    <w:p>
      <w:r>
        <w:t xml:space="preserve">Bhutan is presented in this country card as part of Asia, with Bhutan also associated with an unspecified subregion and the LDC, LLDC grouping. The filtered data for Bhutan highlights 8 projects for Bhutan, including 1 active or planned projects for Bhutan and 7 completed or closed projects for Bhutan.</w:t>
      </w:r>
    </w:p>
    <w:p>
      <w:r>
        <w:t xml:space="preserve">For Bhutan, the report includes 21 requests for Bhutan, 1 RPTC proposals for Bhutan, 1 RPTC activities for Bhutan, and 0 travel records for Bhutan. Financially, Bhutan shows USD 7,800,849 in project budget, $47,924 in proposal planned budget, and $6,688 in consumed RPTC activity budget for Bhutan.</w:t>
      </w:r>
    </w:p>
    <w:p>
      <w:r>
        <w:t xml:space="preserve">The main organizational coverage for Bhutan points to Division for Public Institutions and Digital Government, Economic Analysis and Policy Division, FSDO, SD. Activity records for Bhutan list 1,299 participants, including 665 women participants, the current quality review for Bhutan includes 53 data quality notes. Current highlights for Bhutan include a request focus for Bhutan: Request #5561 ? The Third International Workshop on Statistical Data and Metadata Exchange is the next in a series of workshops aimed to enhance Member Statesâ€™ capacity in using the Statistical Data and Metadata eXchange (SDMX) standard and tools in support of statistical data and metadata management, reporting, and dissemination.</w:t>
      </w:r>
      <w:r>
        <w:br/>
        <w:t xml:space="preserve"/>
      </w:r>
      <w:r>
        <w:br/>
        <w:t xml:space="preserve"/>
      </w:r>
      <w:r>
        <w:br/>
        <w:t xml:space="preserve"/>
      </w:r>
      <w:r>
        <w:br/>
        <w:t xml:space="preserve">The first workshop in the series took place in Jakarta, Indonesia, in September 2024 and covered the fundamental concepts of SDMX as well as basic skills working with common tools. The second event took place in Sungkai, Malaysia, in July 2025 and introduced the participants to advanced tools for data modelling, mapping, conversion, and validation. The presently proposed activity will focus on training in establishing Application Programming Interfaces (APIs) over data stored in relational databases, using visualization tools linked to the APIs, and other advanced topics with a view to improving data reporting, management and dissemination.</w:t>
      </w:r>
      <w:r>
        <w:br/>
        <w:t xml:space="preserve"/>
      </w:r>
      <w:r>
        <w:br/>
        <w:t xml:space="preserve"/>
      </w:r>
      <w:r>
        <w:br/>
        <w:t xml:space="preserve"/>
      </w:r>
      <w:r>
        <w:br/>
        <w:t xml:space="preserve">The target countries of the series of training events are Bhutan, Brunei Darussalam, India, Indonesia, and Malaysia. As in the case of previous events, it will be co-organized with the Asian Development Bank and OECD. 4 participants will be invited from each country. A total of about 25 participants are expected, including those funded by partners, as well as the host country.; an RPTC proposal focus for Bhutan: Regional Training Workshop on the Implementation of the International Recommendations for the 2030 Round of Population and Housing Censuses in Asia; an activity focus for Bhutan: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8</w:t>
            </w:r>
          </w:p>
        </w:tc>
      </w:tr>
      <w:tr>
        <w:tc>
          <w:tcPr>
            <w:tcW w:w="2400" w:type="dxa"/>
          </w:tcPr>
          <w:p>
            <w:r>
              <w:t xml:space="preserve">Project budget</w:t>
            </w:r>
          </w:p>
        </w:tc>
        <w:tc>
          <w:tcPr>
            <w:tcW w:w="2400" w:type="dxa"/>
          </w:tcPr>
          <w:p>
            <w:r>
              <w:t xml:space="preserve">USD 7,800,849</w:t>
            </w:r>
          </w:p>
        </w:tc>
      </w:tr>
      <w:tr>
        <w:tc>
          <w:tcPr>
            <w:tcW w:w="2400" w:type="dxa"/>
          </w:tcPr>
          <w:p>
            <w:r>
              <w:t xml:space="preserve">Requests</w:t>
            </w:r>
          </w:p>
        </w:tc>
        <w:tc>
          <w:tcPr>
            <w:tcW w:w="2400" w:type="dxa"/>
          </w:tcPr>
          <w:p>
            <w:r>
              <w:t xml:space="preserve">21</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$47,924</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9</w:t>
            </w:r>
          </w:p>
        </w:tc>
      </w:tr>
      <w:tr>
        <w:tc>
          <w:tcPr>
            <w:tcW w:w="2400" w:type="dxa"/>
          </w:tcPr>
          <w:p>
            <w:r>
              <w:t xml:space="preserve">Data quality notes</w:t>
            </w:r>
          </w:p>
        </w:tc>
        <w:tc>
          <w:tcPr>
            <w:tcW w:w="2400" w:type="dxa"/>
          </w:tcPr>
          <w:p>
            <w:r>
              <w:t xml:space="preserve">53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2124C</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28 Jun 2024</w:t>
            </w:r>
          </w:p>
        </w:tc>
        <w:tc>
          <w:tcPr>
            <w:tcW w:w="2400" w:type="dxa"/>
          </w:tcPr>
          <w:p>
            <w:r>
              <w:t xml:space="preserve">USD 624,000</w:t>
            </w:r>
          </w:p>
        </w:tc>
        <w:tc>
          <w:tcPr>
            <w:tcW w:w="2400" w:type="dxa"/>
          </w:tcPr>
          <w:p>
            <w:r>
              <w:t xml:space="preserve">Bhutan, Cameroon, Chile, Democratic Socialist Republic of Sri Lanka, Dominican Republic, Ecuador, Namibia, United Republic of Tanzania</w:t>
            </w:r>
          </w:p>
        </w:tc>
        <w:tc>
          <w:tcPr>
            <w:tcW w:w="2400" w:type="dxa"/>
          </w:tcPr>
          <w:p>
            <w:r>
              <w:t xml:space="preserve">Country standardized: 'Sri Lanka' -&gt; 'Democratic Socialist Republic of Sri Lanka'. / Country standardized: 'Tanzania' -&gt; 'United Republic of Tanzania'.</w:t>
            </w:r>
          </w:p>
        </w:tc>
      </w:tr>
      <w:tr>
        <w:tc>
          <w:tcPr>
            <w:tcW w:w="2400" w:type="dxa"/>
          </w:tcPr>
          <w:p>
            <w:r>
              <w:t xml:space="preserve">Building capacities for promoting the presence and leadership of women within public institutions at national and local levels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May 2022</w:t>
            </w:r>
          </w:p>
        </w:tc>
        <w:tc>
          <w:tcPr>
            <w:tcW w:w="2400" w:type="dxa"/>
          </w:tcPr>
          <w:p>
            <w:r>
              <w:t xml:space="preserve">30 Jun 2024</w:t>
            </w:r>
          </w:p>
        </w:tc>
        <w:tc>
          <w:tcPr>
            <w:tcW w:w="2400" w:type="dxa"/>
          </w:tcPr>
          <w:p>
            <w:r>
              <w:t xml:space="preserve">USD 750,000</w:t>
            </w:r>
          </w:p>
        </w:tc>
        <w:tc>
          <w:tcPr>
            <w:tcW w:w="2400" w:type="dxa"/>
          </w:tcPr>
          <w:p>
            <w:r>
              <w:t xml:space="preserve">Bhutan, Lao People's Democratic Republic, Mauritius, Senegal</w:t>
            </w:r>
          </w:p>
        </w:tc>
        <w:tc>
          <w:tcPr>
            <w:tcW w:w="2400" w:type="dxa"/>
          </w:tcPr>
          <w:p>
            <w:r>
              <w:t xml:space="preserve">Country standardized: 'Lao PDR' -&gt; 'Lao People's Democratic Republic'.</w:t>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r>
      <w:tr>
        <w:tc>
          <w:tcPr>
            <w:tcW w:w="2400" w:type="dxa"/>
          </w:tcPr>
          <w:p>
            <w:r>
              <w:t xml:space="preserve">Enhanced Statistical Capacity for Data Governance and Innovation Across National Data Ecosystems</w:t>
            </w:r>
          </w:p>
        </w:tc>
        <w:tc>
          <w:tcPr>
            <w:tcW w:w="2400" w:type="dxa"/>
          </w:tcPr>
          <w:p>
            <w:r>
              <w:t xml:space="preserve">2629A</w:t>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01 May 2026</w:t>
            </w:r>
          </w:p>
        </w:tc>
        <w:tc>
          <w:tcPr>
            <w:tcW w:w="2400" w:type="dxa"/>
          </w:tcPr>
          <w:p>
            <w:r>
              <w:t xml:space="preserve">31 Dec 2029</w:t>
            </w:r>
          </w:p>
        </w:tc>
        <w:tc>
          <w:tcPr>
            <w:tcW w:w="2400" w:type="dxa"/>
          </w:tcPr>
          <w:p>
            <w:r>
              <w:t xml:space="preserve">USD 642,200</w:t>
            </w:r>
          </w:p>
        </w:tc>
        <w:tc>
          <w:tcPr>
            <w:tcW w:w="2400" w:type="dxa"/>
          </w:tcPr>
          <w:p>
            <w:r>
              <w:t xml:space="preserve">Bhutan, Democratic Socialist Republic of Sri Lanka, Indonesia, Lao People's Democratic Republic, Maldives</w:t>
            </w:r>
          </w:p>
        </w:tc>
        <w:tc>
          <w:tcPr>
            <w:tcW w:w="2400" w:type="dxa"/>
          </w:tcPr>
          <w:p>
            <w:r>
              <w:t xml:space="preserve">Country standardized: 'Lao PDR' -&gt; 'Lao People's Democratic Republic'. / Country standardized: 'Sri Lanka' -&gt; 'Democratic Socialist Republic of Sri Lanka'.</w:t>
            </w:r>
          </w:p>
        </w:tc>
      </w:tr>
      <w:tr>
        <w:tc>
          <w:tcPr>
            <w:tcW w:w="2400" w:type="dxa"/>
          </w:tcPr>
          <w:p>
            <w:r>
              <w:t xml:space="preserve">Helping Least Developed Countries achieve structural economic progress toward graduation</w:t>
            </w:r>
          </w:p>
        </w:tc>
        <w:tc>
          <w:tcPr>
            <w:tcW w:w="2400" w:type="dxa"/>
          </w:tcPr>
          <w:p>
            <w:r>
              <w:t xml:space="preserve">1819F</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18 May 2020</w:t>
            </w:r>
          </w:p>
        </w:tc>
        <w:tc>
          <w:tcPr>
            <w:tcW w:w="2400" w:type="dxa"/>
          </w:tcPr>
          <w:p>
            <w:r>
              <w:t xml:space="preserve">30 Jun 2022</w:t>
            </w:r>
          </w:p>
        </w:tc>
        <w:tc>
          <w:tcPr>
            <w:tcW w:w="2400" w:type="dxa"/>
          </w:tcPr>
          <w:p>
            <w:r>
              <w:t xml:space="preserve">USD 800,000</w:t>
            </w:r>
          </w:p>
        </w:tc>
        <w:tc>
          <w:tcPr>
            <w:tcW w:w="2400" w:type="dxa"/>
          </w:tcPr>
          <w:p>
            <w:r>
              <w:t xml:space="preserve">Bangladesh, Bhutan, Lao People's Democratic Republic, Myanmar</w:t>
            </w:r>
          </w:p>
        </w:tc>
        <w:tc>
          <w:tcPr>
            <w:tcW w:w="2400" w:type="dxa"/>
          </w:tcPr>
          <w:p>
            <w:r>
              <w:t xml:space="preserve">Country standardized: 'Lao PDR' -&gt; 'Lao People's Democratic Republic'.</w:t>
            </w:r>
          </w:p>
        </w:tc>
      </w:tr>
      <w:tr>
        <w:tc>
          <w:tcPr>
            <w:tcW w:w="2400" w:type="dxa"/>
          </w:tcPr>
          <w:p>
            <w:r>
              <w:t xml:space="preserve">Institutional arrangements for policy integration, coordination and stakeholder engagement in SDG implementation and reviews in Asia, and Asia and the Pacific</w:t>
            </w:r>
          </w:p>
        </w:tc>
        <w:tc>
          <w:tcPr>
            <w:tcW w:w="2400" w:type="dxa"/>
          </w:tcPr>
          <w:p>
            <w:r>
              <w:t xml:space="preserve">1819G</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Apr 2018</w:t>
            </w:r>
          </w:p>
        </w:tc>
        <w:tc>
          <w:tcPr>
            <w:tcW w:w="2400" w:type="dxa"/>
          </w:tcPr>
          <w:p>
            <w:r>
              <w:t xml:space="preserve">31 Dec 2021</w:t>
            </w:r>
          </w:p>
        </w:tc>
        <w:tc>
          <w:tcPr>
            <w:tcW w:w="2400" w:type="dxa"/>
          </w:tcPr>
          <w:p>
            <w:r>
              <w:t xml:space="preserve">USD 600,000</w:t>
            </w:r>
          </w:p>
        </w:tc>
        <w:tc>
          <w:tcPr>
            <w:tcW w:w="2400" w:type="dxa"/>
          </w:tcPr>
          <w:p>
            <w:r>
              <w:t xml:space="preserve">Bhutan, Fiji, Lao People's Democratic Republic, Vanuatu</w:t>
            </w:r>
          </w:p>
        </w:tc>
        <w:tc>
          <w:tcPr>
            <w:tcW w:w="2400" w:type="dxa"/>
          </w:tcPr>
          <w:p>
            <w:r>
              <w:t xml:space="preserve">Country standardized: 'Lao PDR' -&gt; 'Lao People's Democratic Republic'.</w:t>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c>
          <w:tcPr>
            <w:tcW w:w="2400" w:type="dxa"/>
          </w:tcPr>
          <w:p>
            <w:r>
              <w:t xml:space="preserve"/>
            </w:r>
          </w:p>
        </w:tc>
      </w:tr>
      <w:tr>
        <w:tc>
          <w:tcPr>
            <w:tcW w:w="2400" w:type="dxa"/>
          </w:tcPr>
          <w:p>
            <w:r>
              <w:t xml:space="preserve">Strategies for mitigating the impact of graduation from the least developed countries category</w:t>
            </w:r>
          </w:p>
        </w:tc>
        <w:tc>
          <w:tcPr>
            <w:tcW w:w="2400" w:type="dxa"/>
          </w:tcPr>
          <w:p>
            <w:r>
              <w:t xml:space="preserve">1617C</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16 Apr 2020</w:t>
            </w:r>
          </w:p>
        </w:tc>
        <w:tc>
          <w:tcPr>
            <w:tcW w:w="2400" w:type="dxa"/>
          </w:tcPr>
          <w:p>
            <w:r>
              <w:t xml:space="preserve">19 Dec 2020</w:t>
            </w:r>
          </w:p>
        </w:tc>
        <w:tc>
          <w:tcPr>
            <w:tcW w:w="2400" w:type="dxa"/>
          </w:tcPr>
          <w:p>
            <w:r>
              <w:t xml:space="preserve">USD 560,000</w:t>
            </w:r>
          </w:p>
        </w:tc>
        <w:tc>
          <w:tcPr>
            <w:tcW w:w="2400" w:type="dxa"/>
          </w:tcPr>
          <w:p>
            <w:r>
              <w:t xml:space="preserve">Bhutan, Nepal, Uganda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5561</w:t>
            </w:r>
          </w:p>
        </w:tc>
        <w:tc>
          <w:tcPr>
            <w:tcW w:w="2400" w:type="dxa"/>
          </w:tcPr>
          <w:p>
            <w:r>
              <w:t xml:space="preserve">Request #5561 ? The Third International Workshop on Statistical Data and Metadata Exchange is the next in a series of workshops aimed to enhance Member Statesâ€™ capacity in using the Statistical Data and Metadata eXchange (SDMX) standard and tools in support of statistical data and metadata management, reporting, and dissemination. / The first workshop in the series took place in Jakarta, Indonesia, in September 2024 and covered the fundamental concepts of SDMX as well as basic skills working with common tools. The second event took place in Sungkai, Malaysia, in July 2025 and introduced the participants to advanced tools for data modelling, mapping, conversion, and validation. The presently proposed activity will focus on training in establishing Application Programming Interfaces (APIs) over data stored in relational databases, using visualization tools linked to the APIs, and other advanced topics with a view to improving data reporting, management and dissemination. / The target countries of the series of training events are Bhutan, Brunei Darussalam, India, Indonesia, and Malaysia. As in the case of previous events, it will be co-organized with the Asian Development Bank and OECD. 4 participants will be invited from each country. A total of about 25 participants are expected, including those funded by partners, as well as the host country.</w:t>
            </w:r>
          </w:p>
        </w:tc>
        <w:tc>
          <w:tcPr>
            <w:tcW w:w="2400" w:type="dxa"/>
          </w:tcPr>
          <w:p>
            <w:r>
              <w:t xml:space="preserve">Under consideration</w:t>
            </w:r>
          </w:p>
        </w:tc>
        <w:tc>
          <w:tcPr>
            <w:tcW w:w="2400" w:type="dxa"/>
          </w:tcPr>
          <w:p>
            <w:r>
              <w:t xml:space="preserve">Statistics Division</w:t>
            </w:r>
          </w:p>
        </w:tc>
        <w:tc>
          <w:tcPr>
            <w:tcW w:w="2400" w:type="dxa"/>
          </w:tcPr>
          <w:p>
            <w:r>
              <w:t xml:space="preserve">02 Jul 2026</w:t>
            </w:r>
          </w:p>
        </w:tc>
        <w:tc>
          <w:tcPr>
            <w:tcW w:w="2400" w:type="dxa"/>
          </w:tcPr>
          <w:p>
            <w:r>
              <w:t xml:space="preserve">01 Oct 2026</w:t>
            </w:r>
          </w:p>
        </w:tc>
        <w:tc>
          <w:tcPr>
            <w:tcW w:w="2400" w:type="dxa"/>
          </w:tcPr>
          <w:p>
            <w:r>
              <w:t xml:space="preserve">31 Oct 2026</w:t>
            </w:r>
          </w:p>
        </w:tc>
        <w:tc>
          <w:tcPr>
            <w:tcW w:w="2400" w:type="dxa"/>
          </w:tcPr>
          <w:p>
            <w:r>
              <w:t xml:space="preserve">Abdulla Gozalov | gozalov@un.org</w:t>
            </w:r>
          </w:p>
        </w:tc>
        <w:tc>
          <w:tcPr>
            <w:tcW w:w="2400" w:type="dxa"/>
          </w:tcPr>
          <w:p>
            <w:r>
              <w:t xml:space="preserve">The Third International Workshop on Statistical Data and Metadata Exchange is the next in a series of workshops aimed to enhance Member Statesâ€™ capacity in using the Statistical Data and Metadata eXchange (SDMX) standard and tools in support of statistical data and metadata management, reporting, and dissemination. / The first workshop in the series took place in Jakarta, Indonesia, in September 2024 and covered the fundamental concepts of SDMX as well as basic skills working with common tools. The second event took place in Sungkai, Malaysia, in July 2025 and introduced the participants to advanced tools for data modelling, mapping, conversion, and validation. The presently proposed activity will focus on training in establishing Application Programming Interfaces (APIs) over data stored in relational databases, using visualization tools linked to the APIs, and other advanced topics with a view to improving data reporting, management and dissemination. / The target countries of the series of training events are Bhutan, Brunei Darussalam, India, Indonesia, and Malaysia. As in the case of previous events, it will be co-organized with the Asian Development Bank and OECD. 4 participants will be invited from each country. A total of about 25 participants are expected, including those funded by partners, as well as the host country.</w:t>
            </w:r>
          </w:p>
        </w:tc>
        <w:tc>
          <w:tcPr>
            <w:tcW w:w="2400" w:type="dxa"/>
          </w:tcPr>
          <w:p>
            <w:r>
              <w:t xml:space="preserve"/>
            </w:r>
          </w:p>
        </w:tc>
        <w:tc>
          <w:tcPr>
            <w:tcW w:w="2400" w:type="dxa"/>
          </w:tcPr>
          <w:p>
            <w:r>
              <w:t xml:space="preserve"/>
            </w:r>
          </w:p>
        </w:tc>
      </w:tr>
      <w:tr>
        <w:tc>
          <w:tcPr>
            <w:tcW w:w="2400" w:type="dxa"/>
          </w:tcPr>
          <w:p>
            <w:r>
              <w:t xml:space="preserve">5439</w:t>
            </w:r>
          </w:p>
        </w:tc>
        <w:tc>
          <w:tcPr>
            <w:tcW w:w="2400" w:type="dxa"/>
          </w:tcPr>
          <w:p>
            <w:r>
              <w:t xml:space="preserve">Request #5439 ? During the CDP Annual Consultation with Bhutan, the Government highlighted the strong implementation of its Smooth Transition Strategy, integrated into the 13th Five Year Plan (2024â€“2029), and its long-term 21st Century Economic Roadmap. While noting robust economic growth and progress in diversification, the Government requested continued international support to address post-graduation challenges. / Priority areas of requested support include: (i) trade facilitation and export promotion beyond the LDC transition period to mitigate the loss of trade preferences and support export diversification; (iii) investment promotion and FDI facilitation, including platforms to match national investment opportunities with potential investors; (iv) climate resilience and adaptation support, given Bhutanâ€™s high vulnerability to climate shocks despite its carbon-negative status; and (v) human capital development through capacity building and knowledge sharing in critical and emerging sectors to address skills gaps and out-migration. The Government also emphasized the importance of effective implementation of the Doha Programme of Action for LLDCs and continued strengthening of relevant UN entities, including OHRLLS.</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15 Dec 2025</w:t>
            </w:r>
          </w:p>
        </w:tc>
        <w:tc>
          <w:tcPr>
            <w:tcW w:w="2400" w:type="dxa"/>
          </w:tcPr>
          <w:p>
            <w:r>
              <w:t xml:space="preserve">15 Jan 2026</w:t>
            </w:r>
          </w:p>
        </w:tc>
        <w:tc>
          <w:tcPr>
            <w:tcW w:w="2400" w:type="dxa"/>
          </w:tcPr>
          <w:p>
            <w:r>
              <w:t xml:space="preserve">31 Dec 2026</w:t>
            </w:r>
          </w:p>
        </w:tc>
        <w:tc>
          <w:tcPr>
            <w:tcW w:w="2400" w:type="dxa"/>
          </w:tcPr>
          <w:p>
            <w:r>
              <w:t xml:space="preserve">Dorji Wanchuk | dwangchuk@cabinet.gov.bt</w:t>
            </w:r>
          </w:p>
        </w:tc>
        <w:tc>
          <w:tcPr>
            <w:tcW w:w="2400" w:type="dxa"/>
          </w:tcPr>
          <w:p>
            <w:r>
              <w:t xml:space="preserve">During the CDP Annual Consultation with Bhutan, the Government highlighted the strong implementation of its Smooth Transition Strategy, integrated into the 13th Five Year Plan (2024â€“2029), and its long-term 21st Century Economic Roadmap. While noting robust economic growth and progress in diversification, the Government requested continued international support to address post-graduation challenges. / Priority areas of requested support include: (i) trade facilitation and export promotion beyond the LDC transition period to mitigate the loss of trade preferences and support export diversification; (iii) investment promotion and FDI facilitation, including platforms to match national investment opportunities with potential investors; (iv) climate resilience and adaptation support, given Bhutanâ€™s high vulnerability to climate shocks despite its carbon-negative status; and (v) human capital development through capacity building and knowledge sharing in critical and emerging sectors to address skills gaps and out-migration. The Government also emphasized the importance of effective implementation of the Doha Programme of Action for LLDCs and continued strengthening of relevant UN entities, including OHRLLS.</w:t>
            </w:r>
          </w:p>
        </w:tc>
        <w:tc>
          <w:tcPr>
            <w:tcW w:w="2400" w:type="dxa"/>
          </w:tcPr>
          <w:p>
            <w:r>
              <w:t xml:space="preserve"/>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c>
          <w:tcPr>
            <w:tcW w:w="2400" w:type="dxa"/>
          </w:tcPr>
          <w:p>
            <w:r>
              <w:t xml:space="preserve"/>
            </w:r>
          </w:p>
        </w:tc>
      </w:tr>
      <w:tr>
        <w:tc>
          <w:tcPr>
            <w:tcW w:w="2400" w:type="dxa"/>
          </w:tcPr>
          <w:p>
            <w:r>
              <w:t xml:space="preserve">5358</w:t>
            </w:r>
          </w:p>
        </w:tc>
        <w:tc>
          <w:tcPr>
            <w:tcW w:w="2400" w:type="dxa"/>
          </w:tcPr>
          <w:p>
            <w:r>
              <w:t xml:space="preserve">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Completed</w:t>
            </w:r>
          </w:p>
        </w:tc>
        <w:tc>
          <w:tcPr>
            <w:tcW w:w="2400" w:type="dxa"/>
          </w:tcPr>
          <w:p>
            <w:r>
              <w:t xml:space="preserve">United Nations Forum on Forest</w:t>
            </w:r>
          </w:p>
        </w:tc>
        <w:tc>
          <w:tcPr>
            <w:tcW w:w="2400" w:type="dxa"/>
          </w:tcPr>
          <w:p>
            <w:r>
              <w:t xml:space="preserve">14 Feb 2025</w:t>
            </w:r>
          </w:p>
        </w:tc>
        <w:tc>
          <w:tcPr>
            <w:tcW w:w="2400" w:type="dxa"/>
          </w:tcPr>
          <w:p>
            <w:r>
              <w:t xml:space="preserve">01 Nov 2025</w:t>
            </w:r>
          </w:p>
        </w:tc>
        <w:tc>
          <w:tcPr>
            <w:tcW w:w="2400" w:type="dxa"/>
          </w:tcPr>
          <w:p>
            <w:r>
              <w:t xml:space="preserve">31 Jan 2026</w:t>
            </w:r>
          </w:p>
        </w:tc>
        <w:tc>
          <w:tcPr>
            <w:tcW w:w="2400" w:type="dxa"/>
          </w:tcPr>
          <w:p>
            <w:r>
              <w:t xml:space="preserve">Mr. Chongho Park | jhp61@afocosec.org</w:t>
            </w:r>
          </w:p>
        </w:tc>
        <w:tc>
          <w:tcPr>
            <w:tcW w:w="2400" w:type="dxa"/>
          </w:tcPr>
          <w:p>
            <w:r>
              <w:t xml:space="preserve">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5241</w:t>
            </w:r>
          </w:p>
        </w:tc>
        <w:tc>
          <w:tcPr>
            <w:tcW w:w="2400" w:type="dxa"/>
          </w:tcPr>
          <w:p>
            <w:r>
              <w:t xml:space="preserve">Request #5241 ? 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Under consideration</w:t>
            </w:r>
          </w:p>
        </w:tc>
        <w:tc>
          <w:tcPr>
            <w:tcW w:w="2400" w:type="dxa"/>
          </w:tcPr>
          <w:p>
            <w:r>
              <w:t xml:space="preserve">Statistics Division</w:t>
            </w:r>
          </w:p>
        </w:tc>
        <w:tc>
          <w:tcPr>
            <w:tcW w:w="2400" w:type="dxa"/>
          </w:tcPr>
          <w:p>
            <w:r>
              <w:t xml:space="preserve">16 Jun 2025</w:t>
            </w:r>
          </w:p>
        </w:tc>
        <w:tc>
          <w:tcPr>
            <w:tcW w:w="2400" w:type="dxa"/>
          </w:tcPr>
          <w:p>
            <w:r>
              <w:t xml:space="preserve">20 Oct 2025</w:t>
            </w:r>
          </w:p>
        </w:tc>
        <w:tc>
          <w:tcPr>
            <w:tcW w:w="2400" w:type="dxa"/>
          </w:tcPr>
          <w:p>
            <w:r>
              <w:t xml:space="preserve">24 Oct 2025</w:t>
            </w:r>
          </w:p>
        </w:tc>
        <w:tc>
          <w:tcPr>
            <w:tcW w:w="2400" w:type="dxa"/>
          </w:tcPr>
          <w:p>
            <w:r>
              <w:t xml:space="preserve">Seiffe Tadesse | tadesse5@un.org</w:t>
            </w:r>
          </w:p>
        </w:tc>
        <w:tc>
          <w:tcPr>
            <w:tcW w:w="2400" w:type="dxa"/>
          </w:tcPr>
          <w:p>
            <w:r>
              <w:t xml:space="preserve">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4815</w:t>
            </w:r>
          </w:p>
        </w:tc>
        <w:tc>
          <w:tcPr>
            <w:tcW w:w="2400" w:type="dxa"/>
          </w:tcPr>
          <w:p>
            <w:r>
              <w:t xml:space="preserve">Request #4815 ? To support research on trade and trade-related issues in preparation for the LLDC3.</w:t>
            </w:r>
          </w:p>
        </w:tc>
        <w:tc>
          <w:tcPr>
            <w:tcW w:w="2400" w:type="dxa"/>
          </w:tcPr>
          <w:p>
            <w:r>
              <w:t xml:space="preserve">Completed</w:t>
            </w:r>
          </w:p>
        </w:tc>
        <w:tc>
          <w:tcPr>
            <w:tcW w:w="2400" w:type="dxa"/>
          </w:tcPr>
          <w:p>
            <w:r>
              <w:t xml:space="preserve">Economic Analysis and Policy Division</w:t>
            </w:r>
          </w:p>
        </w:tc>
        <w:tc>
          <w:tcPr>
            <w:tcW w:w="2400" w:type="dxa"/>
          </w:tcPr>
          <w:p>
            <w:r>
              <w:t xml:space="preserve">01 Dec 2023</w:t>
            </w:r>
          </w:p>
        </w:tc>
        <w:tc>
          <w:tcPr>
            <w:tcW w:w="2400" w:type="dxa"/>
          </w:tcPr>
          <w:p>
            <w:r>
              <w:t xml:space="preserve">01 Dec 2025</w:t>
            </w:r>
          </w:p>
        </w:tc>
        <w:tc>
          <w:tcPr>
            <w:tcW w:w="2400" w:type="dxa"/>
          </w:tcPr>
          <w:p>
            <w:r>
              <w:t xml:space="preserve">31 Dec 2025</w:t>
            </w:r>
          </w:p>
        </w:tc>
        <w:tc>
          <w:tcPr>
            <w:tcW w:w="2400" w:type="dxa"/>
          </w:tcPr>
          <w:p>
            <w:r>
              <w:t xml:space="preserve">Dorji Wanchuk | dwangchuk@cabinet.gov.bt</w:t>
            </w:r>
          </w:p>
        </w:tc>
        <w:tc>
          <w:tcPr>
            <w:tcW w:w="2400" w:type="dxa"/>
          </w:tcPr>
          <w:p>
            <w:r>
              <w:t xml:space="preserve">To support research on trade and trade-related issues in preparation for the LLDC3.</w:t>
            </w:r>
          </w:p>
        </w:tc>
        <w:tc>
          <w:tcPr>
            <w:tcW w:w="2400" w:type="dxa"/>
          </w:tcPr>
          <w:p>
            <w:r>
              <w:t xml:space="preserve"/>
            </w:r>
          </w:p>
        </w:tc>
        <w:tc>
          <w:tcPr>
            <w:tcW w:w="2400" w:type="dxa"/>
          </w:tcPr>
          <w:p>
            <w:r>
              <w:t xml:space="preserve"/>
            </w:r>
          </w:p>
        </w:tc>
      </w:tr>
      <w:tr>
        <w:tc>
          <w:tcPr>
            <w:tcW w:w="2400" w:type="dxa"/>
          </w:tcPr>
          <w:p>
            <w:r>
              <w:t xml:space="preserve">4687</w:t>
            </w:r>
          </w:p>
        </w:tc>
        <w:tc>
          <w:tcPr>
            <w:tcW w:w="2400" w:type="dxa"/>
          </w:tcPr>
          <w:p>
            <w:r>
              <w:t xml:space="preserve">Request #4687 ? DPIDG has been requested by the Government Technology (GovTech) Agency, Royal Government of Bhutan for Capacity Development support on Effective Governance and Digital Transformation.</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11 May 2023</w:t>
            </w:r>
          </w:p>
        </w:tc>
        <w:tc>
          <w:tcPr>
            <w:tcW w:w="2400" w:type="dxa"/>
          </w:tcPr>
          <w:p>
            <w:r>
              <w:t xml:space="preserve">22 Nov 2023</w:t>
            </w:r>
          </w:p>
        </w:tc>
        <w:tc>
          <w:tcPr>
            <w:tcW w:w="2400" w:type="dxa"/>
          </w:tcPr>
          <w:p>
            <w:r>
              <w:t xml:space="preserve">24 Nov 2024</w:t>
            </w:r>
          </w:p>
        </w:tc>
        <w:tc>
          <w:tcPr>
            <w:tcW w:w="2400" w:type="dxa"/>
          </w:tcPr>
          <w:p>
            <w:r>
              <w:t xml:space="preserve">Mr. Lobzang Jamtsho | prabin.maharjan@un.org</w:t>
            </w:r>
          </w:p>
        </w:tc>
        <w:tc>
          <w:tcPr>
            <w:tcW w:w="2400" w:type="dxa"/>
          </w:tcPr>
          <w:p>
            <w:r>
              <w:t xml:space="preserve">DPIDG has been requested by the Government Technology (GovTech) Agency, Royal Government of Bhutan for Capacity Development support on Effective Governance and Digital Transformation.</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4020</w:t>
            </w:r>
          </w:p>
        </w:tc>
        <w:tc>
          <w:tcPr>
            <w:tcW w:w="2400" w:type="dxa"/>
          </w:tcPr>
          <w:p>
            <w:r>
              <w:t xml:space="preserve">Request #4020 ? 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Completed</w:t>
            </w:r>
          </w:p>
        </w:tc>
        <w:tc>
          <w:tcPr>
            <w:tcW w:w="2400" w:type="dxa"/>
          </w:tcPr>
          <w:p>
            <w:r>
              <w:t xml:space="preserve">Economic Analysis and Policy Division</w:t>
            </w:r>
          </w:p>
        </w:tc>
        <w:tc>
          <w:tcPr>
            <w:tcW w:w="2400" w:type="dxa"/>
          </w:tcPr>
          <w:p>
            <w:r>
              <w:t xml:space="preserve">18 Nov 2021</w:t>
            </w:r>
          </w:p>
        </w:tc>
        <w:tc>
          <w:tcPr>
            <w:tcW w:w="2400" w:type="dxa"/>
          </w:tcPr>
          <w:p>
            <w:r>
              <w:t xml:space="preserve">01 Jan 2022</w:t>
            </w:r>
          </w:p>
        </w:tc>
        <w:tc>
          <w:tcPr>
            <w:tcW w:w="2400" w:type="dxa"/>
          </w:tcPr>
          <w:p>
            <w:r>
              <w:t xml:space="preserve">31 Jan 2022</w:t>
            </w:r>
          </w:p>
        </w:tc>
        <w:tc>
          <w:tcPr>
            <w:tcW w:w="2400" w:type="dxa"/>
          </w:tcPr>
          <w:p>
            <w:r>
              <w:t xml:space="preserve">Namsuk Kim | kimnamsuk@un.org</w:t>
            </w:r>
          </w:p>
        </w:tc>
        <w:tc>
          <w:tcPr>
            <w:tcW w:w="2400" w:type="dxa"/>
          </w:tcPr>
          <w:p>
            <w:r>
              <w:t xml:space="preserve">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
            </w:r>
          </w:p>
        </w:tc>
        <w:tc>
          <w:tcPr>
            <w:tcW w:w="2400" w:type="dxa"/>
          </w:tcPr>
          <w:p>
            <w:r>
              <w:t xml:space="preserve"/>
            </w:r>
          </w:p>
        </w:tc>
      </w:tr>
      <w:tr>
        <w:tc>
          <w:tcPr>
            <w:tcW w:w="2400" w:type="dxa"/>
          </w:tcPr>
          <w:p>
            <w:r>
              <w:t xml:space="preserve">4019</w:t>
            </w:r>
          </w:p>
        </w:tc>
        <w:tc>
          <w:tcPr>
            <w:tcW w:w="2400" w:type="dxa"/>
          </w:tcPr>
          <w:p>
            <w:r>
              <w:t xml:space="preserve">Request #4019 ? DPIDG was requested by the Government of Bhutan to provide support in strengthening capacities for public service training assessment through the organization of  a â€œPeer-to-Peer Learning Session on Public Service Training Assessmentâ€.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18 Oct 2021</w:t>
            </w:r>
          </w:p>
        </w:tc>
        <w:tc>
          <w:tcPr>
            <w:tcW w:w="2400" w:type="dxa"/>
          </w:tcPr>
          <w:p>
            <w:r>
              <w:t xml:space="preserve">20 Dec 2021</w:t>
            </w:r>
          </w:p>
        </w:tc>
        <w:tc>
          <w:tcPr>
            <w:tcW w:w="2400" w:type="dxa"/>
          </w:tcPr>
          <w:p>
            <w:r>
              <w:t xml:space="preserve">27 Dec 2021</w:t>
            </w:r>
          </w:p>
        </w:tc>
        <w:tc>
          <w:tcPr>
            <w:tcW w:w="2400" w:type="dxa"/>
          </w:tcPr>
          <w:p>
            <w:r>
              <w:t xml:space="preserve">Ms. Tashi Pem | tpem@rcsc.gov.bt</w:t>
            </w:r>
          </w:p>
        </w:tc>
        <w:tc>
          <w:tcPr>
            <w:tcW w:w="2400" w:type="dxa"/>
          </w:tcPr>
          <w:p>
            <w:r>
              <w:t xml:space="preserve">DPIDG was requested by the Government of Bhutan to provide support in strengthening capacities for public service training assessment through the organization of  a â€œPeer-to-Peer Learning Session on Public Service Training Assessmentâ€.</w:t>
            </w:r>
          </w:p>
        </w:tc>
        <w:tc>
          <w:tcPr>
            <w:tcW w:w="2400" w:type="dxa"/>
          </w:tcPr>
          <w:p>
            <w:r>
              <w:t xml:space="preserve"/>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c>
          <w:tcPr>
            <w:tcW w:w="2400" w:type="dxa"/>
          </w:tcPr>
          <w:p>
            <w:r>
              <w:t xml:space="preserve"/>
            </w:r>
          </w:p>
        </w:tc>
      </w:tr>
      <w:tr>
        <w:tc>
          <w:tcPr>
            <w:tcW w:w="2400" w:type="dxa"/>
          </w:tcPr>
          <w:p>
            <w:r>
              <w:t xml:space="preserve">3915</w:t>
            </w:r>
          </w:p>
        </w:tc>
        <w:tc>
          <w:tcPr>
            <w:tcW w:w="2400" w:type="dxa"/>
          </w:tcPr>
          <w:p>
            <w:r>
              <w:t xml:space="preserve">Request #3915 ? 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Completed</w:t>
            </w:r>
          </w:p>
        </w:tc>
        <w:tc>
          <w:tcPr>
            <w:tcW w:w="2400" w:type="dxa"/>
          </w:tcPr>
          <w:p>
            <w:r>
              <w:t xml:space="preserve">Economic Analysis and Policy Division</w:t>
            </w:r>
          </w:p>
        </w:tc>
        <w:tc>
          <w:tcPr>
            <w:tcW w:w="2400" w:type="dxa"/>
          </w:tcPr>
          <w:p>
            <w:r>
              <w:t xml:space="preserve">10 May 2021</w:t>
            </w:r>
          </w:p>
        </w:tc>
        <w:tc>
          <w:tcPr>
            <w:tcW w:w="2400" w:type="dxa"/>
          </w:tcPr>
          <w:p>
            <w:r>
              <w:t xml:space="preserve">26 Jun 2021</w:t>
            </w:r>
          </w:p>
        </w:tc>
        <w:tc>
          <w:tcPr>
            <w:tcW w:w="2400" w:type="dxa"/>
          </w:tcPr>
          <w:p>
            <w:r>
              <w:t xml:space="preserve">15 Dec 2021</w:t>
            </w:r>
          </w:p>
        </w:tc>
        <w:tc>
          <w:tcPr>
            <w:tcW w:w="2400" w:type="dxa"/>
          </w:tcPr>
          <w:p>
            <w:r>
              <w:t xml:space="preserve">Namsuk Kim | kimnamsuk@un.org</w:t>
            </w:r>
          </w:p>
        </w:tc>
        <w:tc>
          <w:tcPr>
            <w:tcW w:w="2400" w:type="dxa"/>
          </w:tcPr>
          <w:p>
            <w:r>
              <w:t xml:space="preserve">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
            </w:r>
          </w:p>
        </w:tc>
        <w:tc>
          <w:tcPr>
            <w:tcW w:w="2400" w:type="dxa"/>
          </w:tcPr>
          <w:p>
            <w:r>
              <w:t xml:space="preserve"/>
            </w:r>
          </w:p>
        </w:tc>
      </w:tr>
      <w:tr>
        <w:tc>
          <w:tcPr>
            <w:tcW w:w="2400" w:type="dxa"/>
          </w:tcPr>
          <w:p>
            <w:r>
              <w:t xml:space="preserve">3617</w:t>
            </w:r>
          </w:p>
        </w:tc>
        <w:tc>
          <w:tcPr>
            <w:tcW w:w="2400" w:type="dxa"/>
          </w:tcPr>
          <w:p>
            <w:r>
              <w:t xml:space="preserve">Request #3617 ? Support the implementation of the National Statistical Development Strategy (2019-2023)</w:t>
            </w:r>
          </w:p>
        </w:tc>
        <w:tc>
          <w:tcPr>
            <w:tcW w:w="2400" w:type="dxa"/>
          </w:tcPr>
          <w:p>
            <w:r>
              <w:t xml:space="preserve">Ongoing</w:t>
            </w:r>
          </w:p>
        </w:tc>
        <w:tc>
          <w:tcPr>
            <w:tcW w:w="2400" w:type="dxa"/>
          </w:tcPr>
          <w:p>
            <w:r>
              <w:t xml:space="preserve">Statistics Division</w:t>
            </w:r>
          </w:p>
        </w:tc>
        <w:tc>
          <w:tcPr>
            <w:tcW w:w="2400" w:type="dxa"/>
          </w:tcPr>
          <w:p>
            <w:r>
              <w:t xml:space="preserve">01 Aug 2019</w:t>
            </w:r>
          </w:p>
        </w:tc>
        <w:tc>
          <w:tcPr>
            <w:tcW w:w="2400" w:type="dxa"/>
          </w:tcPr>
          <w:p>
            <w:r>
              <w:t xml:space="preserve">31 Aug 2019</w:t>
            </w:r>
          </w:p>
        </w:tc>
        <w:tc>
          <w:tcPr>
            <w:tcW w:w="2400" w:type="dxa"/>
          </w:tcPr>
          <w:p>
            <w:r>
              <w:t xml:space="preserve">31 Aug 2023</w:t>
            </w:r>
          </w:p>
        </w:tc>
        <w:tc>
          <w:tcPr>
            <w:tcW w:w="2400" w:type="dxa"/>
          </w:tcPr>
          <w:p>
            <w:r>
              <w:t xml:space="preserve">Gerald Daly | gerald.daly@un.org</w:t>
            </w:r>
          </w:p>
        </w:tc>
        <w:tc>
          <w:tcPr>
            <w:tcW w:w="2400" w:type="dxa"/>
          </w:tcPr>
          <w:p>
            <w:r>
              <w:t xml:space="preserve">Support the implementation of the National Statistical Development Strategy (2019-2023)</w:t>
            </w:r>
          </w:p>
        </w:tc>
        <w:tc>
          <w:tcPr>
            <w:tcW w:w="2400" w:type="dxa"/>
          </w:tcPr>
          <w:p>
            <w:r>
              <w:t xml:space="preserve"/>
            </w:r>
          </w:p>
        </w:tc>
        <w:tc>
          <w:tcPr>
            <w:tcW w:w="2400" w:type="dxa"/>
          </w:tcPr>
          <w:p>
            <w:r>
              <w:t xml:space="preserve"/>
            </w:r>
          </w:p>
        </w:tc>
      </w:tr>
      <w:tr>
        <w:tc>
          <w:tcPr>
            <w:tcW w:w="2400" w:type="dxa"/>
          </w:tcPr>
          <w:p>
            <w:r>
              <w:t xml:space="preserve">3462</w:t>
            </w:r>
          </w:p>
        </w:tc>
        <w:tc>
          <w:tcPr>
            <w:tcW w:w="2400" w:type="dxa"/>
          </w:tcPr>
          <w:p>
            <w:r>
              <w:t xml:space="preserve">Request #3462 ? 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Completed</w:t>
            </w:r>
          </w:p>
        </w:tc>
        <w:tc>
          <w:tcPr>
            <w:tcW w:w="2400" w:type="dxa"/>
          </w:tcPr>
          <w:p>
            <w:r>
              <w:t xml:space="preserve">Economic Analysis and Policy Division</w:t>
            </w:r>
          </w:p>
        </w:tc>
        <w:tc>
          <w:tcPr>
            <w:tcW w:w="2400" w:type="dxa"/>
          </w:tcPr>
          <w:p>
            <w:r>
              <w:t xml:space="preserve">12 Feb 2021</w:t>
            </w:r>
          </w:p>
        </w:tc>
        <w:tc>
          <w:tcPr>
            <w:tcW w:w="2400" w:type="dxa"/>
          </w:tcPr>
          <w:p>
            <w:r>
              <w:t xml:space="preserve"/>
            </w:r>
          </w:p>
        </w:tc>
        <w:tc>
          <w:tcPr>
            <w:tcW w:w="2400" w:type="dxa"/>
          </w:tcPr>
          <w:p>
            <w:r>
              <w:t xml:space="preserve">31 Dec 2021</w:t>
            </w:r>
          </w:p>
        </w:tc>
        <w:tc>
          <w:tcPr>
            <w:tcW w:w="2400" w:type="dxa"/>
          </w:tcPr>
          <w:p>
            <w:r>
              <w:t xml:space="preserve">Thomas Alfstad | thomas.alfstad@un.org</w:t>
            </w:r>
          </w:p>
        </w:tc>
        <w:tc>
          <w:tcPr>
            <w:tcW w:w="2400" w:type="dxa"/>
          </w:tcPr>
          <w:p>
            <w:r>
              <w:t xml:space="preserve">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
            </w:r>
          </w:p>
        </w:tc>
        <w:tc>
          <w:tcPr>
            <w:tcW w:w="2400" w:type="dxa"/>
          </w:tcPr>
          <w:p>
            <w:r>
              <w:t xml:space="preserve"/>
            </w:r>
          </w:p>
        </w:tc>
      </w:tr>
      <w:tr>
        <w:tc>
          <w:tcPr>
            <w:tcW w:w="2400" w:type="dxa"/>
          </w:tcPr>
          <w:p>
            <w:r>
              <w:t xml:space="preserve">2616</w:t>
            </w:r>
          </w:p>
        </w:tc>
        <w:tc>
          <w:tcPr>
            <w:tcW w:w="2400" w:type="dxa"/>
          </w:tcPr>
          <w:p>
            <w:r>
              <w:t xml:space="preserve">Request #2616 ? DPIDG was requested to provide technical support &amp; expertise in designing the SDG portal or dashboard tagged with national Government Performance Management System (GPMS).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Apr 2019</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to provide technical support &amp; expertise in designing the SDG portal or dashboard tagged with national Government Performance Management System (GPMS).</w:t>
            </w:r>
          </w:p>
        </w:tc>
        <w:tc>
          <w:tcPr>
            <w:tcW w:w="2400" w:type="dxa"/>
          </w:tcPr>
          <w:p>
            <w:r>
              <w:t xml:space="preserve"/>
            </w:r>
          </w:p>
        </w:tc>
        <w:tc>
          <w:tcPr>
            <w:tcW w:w="2400" w:type="dxa"/>
          </w:tcPr>
          <w:p>
            <w:r>
              <w:t xml:space="preserve"/>
            </w:r>
          </w:p>
        </w:tc>
      </w:tr>
      <w:tr>
        <w:tc>
          <w:tcPr>
            <w:tcW w:w="2400" w:type="dxa"/>
          </w:tcPr>
          <w:p>
            <w:r>
              <w:t xml:space="preserve">2615</w:t>
            </w:r>
          </w:p>
        </w:tc>
        <w:tc>
          <w:tcPr>
            <w:tcW w:w="2400" w:type="dxa"/>
          </w:tcPr>
          <w:p>
            <w:r>
              <w:t xml:space="preserve">Request #2615 ? Capacity building on Sustainable Consumption and Production (SDG 12)</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12 Aug 2017</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Capacity building on Sustainable Consumption and Production (SDG 12)</w:t>
            </w:r>
          </w:p>
        </w:tc>
        <w:tc>
          <w:tcPr>
            <w:tcW w:w="2400" w:type="dxa"/>
          </w:tcPr>
          <w:p>
            <w:r>
              <w:t xml:space="preserve"/>
            </w:r>
          </w:p>
        </w:tc>
        <w:tc>
          <w:tcPr>
            <w:tcW w:w="2400" w:type="dxa"/>
          </w:tcPr>
          <w:p>
            <w:r>
              <w:t xml:space="preserve"/>
            </w:r>
          </w:p>
        </w:tc>
      </w:tr>
      <w:tr>
        <w:tc>
          <w:tcPr>
            <w:tcW w:w="2400" w:type="dxa"/>
          </w:tcPr>
          <w:p>
            <w:r>
              <w:t xml:space="preserve">2614</w:t>
            </w:r>
          </w:p>
        </w:tc>
        <w:tc>
          <w:tcPr>
            <w:tcW w:w="2400" w:type="dxa"/>
          </w:tcPr>
          <w:p>
            <w:r>
              <w:t xml:space="preserve">Request #2614 ? DPIDG was requested by the Perspective Planning Division, Gross National Happiness Commission (GNHC) Secretariat / of the Government of Bhutan to undertake a scoping mission within the framework of the Development Account Project 1819G on â€œInstitutional arrangements for policy integration, coordination, and stakeholder engagement in SDG implementation and reviews in Africa and Asiaâ€.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28 Feb 2018</w:t>
            </w:r>
          </w:p>
        </w:tc>
        <w:tc>
          <w:tcPr>
            <w:tcW w:w="2400" w:type="dxa"/>
          </w:tcPr>
          <w:p>
            <w:r>
              <w:t xml:space="preserve">28 May 2018</w:t>
            </w:r>
          </w:p>
        </w:tc>
        <w:tc>
          <w:tcPr>
            <w:tcW w:w="2400" w:type="dxa"/>
          </w:tcPr>
          <w:p>
            <w:r>
              <w:t xml:space="preserve">01 Jun 2018</w:t>
            </w:r>
          </w:p>
        </w:tc>
        <w:tc>
          <w:tcPr>
            <w:tcW w:w="2400" w:type="dxa"/>
          </w:tcPr>
          <w:p>
            <w:r>
              <w:t xml:space="preserve">na | na@gmail.com</w:t>
            </w:r>
          </w:p>
        </w:tc>
        <w:tc>
          <w:tcPr>
            <w:tcW w:w="2400" w:type="dxa"/>
          </w:tcPr>
          <w:p>
            <w:r>
              <w:t xml:space="preserve">DPIDG was requested by the Perspective Planning Division, Gross National Happiness Commission (GNHC) Secretariat / of the Government of Bhutan to undertake a scoping mission within the framework of the Development Account Project 1819G on â€œInstitutional arrangements for policy integration, coordination, and stakeholder engagement in SDG implementation and reviews in Africa and Asiaâ€.</w:t>
            </w:r>
          </w:p>
        </w:tc>
        <w:tc>
          <w:tcPr>
            <w:tcW w:w="2400" w:type="dxa"/>
          </w:tcPr>
          <w:p>
            <w:r>
              <w:t xml:space="preserve"/>
            </w:r>
          </w:p>
        </w:tc>
        <w:tc>
          <w:tcPr>
            <w:tcW w:w="2400" w:type="dxa"/>
          </w:tcPr>
          <w:p>
            <w:r>
              <w:t xml:space="preserve"/>
            </w:r>
          </w:p>
        </w:tc>
      </w:tr>
      <w:tr>
        <w:tc>
          <w:tcPr>
            <w:tcW w:w="2400" w:type="dxa"/>
          </w:tcPr>
          <w:p>
            <w:r>
              <w:t xml:space="preserve">2578</w:t>
            </w:r>
          </w:p>
        </w:tc>
        <w:tc>
          <w:tcPr>
            <w:tcW w:w="2400" w:type="dxa"/>
          </w:tcPr>
          <w:p>
            <w:r>
              <w:t xml:space="preserve">Request #2578 ? Description not provided</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2024</w:t>
            </w:r>
          </w:p>
        </w:tc>
        <w:tc>
          <w:tcPr>
            <w:tcW w:w="2400" w:type="dxa"/>
          </w:tcPr>
          <w:p>
            <w:r>
              <w:t xml:space="preserve">UNSD</w:t>
            </w:r>
          </w:p>
        </w:tc>
        <w:tc>
          <w:tcPr>
            <w:tcW w:w="2400" w:type="dxa"/>
          </w:tcPr>
          <w:p>
            <w:r>
              <w:t xml:space="preserve">Bhutan, Cameroon, Chile, Democratic Socialist Republic of Sri Lanka, Dominican Republic, Maldives, Namibia, United Republic of Tanzania</w:t>
            </w:r>
          </w:p>
        </w:tc>
        <w:tc>
          <w:tcPr>
            <w:tcW w:w="2400" w:type="dxa"/>
          </w:tcPr>
          <w:p>
            <w:r>
              <w:t xml:space="preserve">- Clarify project overall goal and better match resources to the strategic vision. / - Tighten the geographic scope to focus on fewer countries for more effective resource allocation. / - Use the project to kick start or accelerate other initiatives by strategically identifying synergies with partners. / - Adopt a time-bound, agile approach with more in-country resources and sprints for closer monitoring and engagement. / - Design robust results and learning frameworks that feed into strategic decision-making, including country-level output and outcome indicators. / - Rely on the e-learning course for capacity building and consider making its completion a prerequisite for country activities. / - Allow the purchase of equipment to support IT upgrades and incentivize country commitment. / - Introduce country call for proposal to select the most motivated countries for participation. / - Introduce peer reviews to expose countries to best practices and provide recommendations for statistical framework upgrades. / - Provide technical assistance from the onset to help countries identify priorities aligned with technical requirements for using administrative data.</w:t>
            </w:r>
          </w:p>
        </w:tc>
        <w:tc>
          <w:tcPr>
            <w:tcW w:w="2400" w:type="dxa"/>
          </w:tcPr>
          <w:p>
            <w:r>
              <w:t xml:space="preserve">- A demand-driven, country-owned approach fosters sustainability but requires countries to have sufficient capacity to identify and act on priorities. / - A wide geographic scope can dilute resources and limit the depth of support; focusing on fewer countries allows for more effective interventions. / - Strong political support and awareness-raising are critical for successful data sharing and integration of administrative data into official statistics. / - Open-source IT solutions and capacity building enhance sustainability and reduce dependency on external vendors. / - Robust knowledge management and learning frameworks are essential for capturing lessons and supporting replication and scale-up. / - Improvements in data accessibility and quality are achievable, but translating these into improved SDG reporting takes time and further effort. / - Sustainability of project impacts depends on continued country commitment and the ability to scale up beyond pilot areas. / - Synergies with other initiatives and partners can amplify project impact and should be systematically pursued. / - Challenges such as limited IT infrastructure, legal frameworks, and financial resources remain significant barriers to sustainability. / - Gender and human rights considerations, while not a core focus, can be advanced through improved data disaggregation and awareness.</w:t>
            </w:r>
          </w:p>
        </w:tc>
        <w:tc>
          <w:tcPr>
            <w:tcW w:w="2400" w:type="dxa"/>
          </w:tcPr>
          <w:p>
            <w:r>
              <w:t xml:space="preserve">https://unitednations.sharepoint.com/sites/DESA-CDPMO/Shared Documents/General/3. Finance Management/5 - DEVELOPMENT ACCOUNT/DA - DESA/03 PROJECTS - CLOSED/SD/2124C SB-017382 Admin Data/Evaluation/DESA_2124C_DA13 - Final evaluation report.docx</w:t>
            </w:r>
          </w:p>
        </w:tc>
        <w:tc>
          <w:tcPr>
            <w:tcW w:w="2400" w:type="dxa"/>
          </w:tcPr>
          <w:p>
            <w:r>
              <w:t xml:space="preserve">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Strategies for mitigating the impact of graduation from the LDC category</w:t>
            </w:r>
          </w:p>
        </w:tc>
        <w:tc>
          <w:tcPr>
            <w:tcW w:w="2400" w:type="dxa"/>
          </w:tcPr>
          <w:p>
            <w:r>
              <w:t xml:space="preserve">2020</w:t>
            </w:r>
          </w:p>
        </w:tc>
        <w:tc>
          <w:tcPr>
            <w:tcW w:w="2400" w:type="dxa"/>
          </w:tcPr>
          <w:p>
            <w:r>
              <w:t xml:space="preserve">EAPD</w:t>
            </w:r>
          </w:p>
        </w:tc>
        <w:tc>
          <w:tcPr>
            <w:tcW w:w="2400" w:type="dxa"/>
          </w:tcPr>
          <w:p>
            <w:r>
              <w:t xml:space="preserve">Bhutan, Gambia, Nepal</w:t>
            </w:r>
          </w:p>
        </w:tc>
        <w:tc>
          <w:tcPr>
            <w:tcW w:w="2400" w:type="dxa"/>
          </w:tcPr>
          <w:p>
            <w:r>
              <w:t xml:space="preserve">- Make the Gradjet platform available in other languages, starting with French and Portuguese, to increase its impact in non-English-speaking countries. / - Future activities should include the creation of a participant file and follow up on participants to assess short- and long-term benefits and knowledge transfer. / - Subsequent project stages should take into account French-speaking countries. / - Ensure the sustainability of knowledge acquired by participants in seminars and training courses organized within the project. / - Replicate the project in countries that have not yet benefited, and systematize this type of project for countries entering a graduation process. / - Follow up the project to ensure that smooth transition strategies are defined.</w:t>
            </w:r>
          </w:p>
        </w:tc>
        <w:tc>
          <w:tcPr>
            <w:tcW w:w="2400" w:type="dxa"/>
          </w:tcPr>
          <w:p>
            <w:r>
              <w:t xml:space="preserve">- Listening to participants and adapting project activities to their needs, such as prioritizing the development of the Gradjet platform, increases project ownership and relevance. / - Administrative and political changes in beneficiary countries can affect project ownership and institutional memory, requiring flexible and adaptive project management. / - Ambitious targets, such as developing formal smooth transition strategies, may need to be adjusted based on external factors and the readiness of pilot countries. / - Workshops and interregional exchanges facilitate the sharing of experiences and lessons learned among LDCs, enhancing the value and scalability of project outcomes. / - Collaboration with multiple UN entities and international organizations leverages comparative advantages and improves the quality and recognition of project outputs.</w:t>
            </w:r>
          </w:p>
        </w:tc>
        <w:tc>
          <w:tcPr>
            <w:tcW w:w="2400" w:type="dxa"/>
          </w:tcPr>
          <w:p>
            <w:r>
              <w:t xml:space="preserve">https://unitednations.sharepoint.com/sites/DESA-CDPMO/Shared Documents/General/3. Finance Management/5 - DEVELOPMENT ACCOUNT/DA - DESA/Evaluation reports/10th tranche/DPIDG/Evaluation Report ROA 1617C_Final.pdf</w:t>
            </w:r>
          </w:p>
        </w:tc>
        <w:tc>
          <w:tcPr>
            <w:tcW w:w="2400" w:type="dxa"/>
          </w:tcPr>
          <w:p>
            <w:r>
              <w:t xml:space="preserve"/>
            </w:r>
          </w:p>
        </w:tc>
        <w:tc>
          <w:tcPr>
            <w:tcW w:w="2400" w:type="dxa"/>
          </w:tcPr>
          <w:p>
            <w:r>
              <w:t xml:space="preserve"/>
            </w:r>
          </w:p>
        </w:tc>
      </w:tr>
      <w:tr>
        <w:tc>
          <w:tcPr>
            <w:tcW w:w="2400" w:type="dxa"/>
          </w:tcPr>
          <w:p>
            <w:r>
              <w:t xml:space="preserve">Building Capacities for Promoting Women’s Presence and Leadership within Public Institutions at National Local Levels</w:t>
            </w:r>
          </w:p>
        </w:tc>
        <w:tc>
          <w:tcPr>
            <w:tcW w:w="2400" w:type="dxa"/>
          </w:tcPr>
          <w:p>
            <w:r>
              <w:t xml:space="preserve">2024</w:t>
            </w:r>
          </w:p>
        </w:tc>
        <w:tc>
          <w:tcPr>
            <w:tcW w:w="2400" w:type="dxa"/>
          </w:tcPr>
          <w:p>
            <w:r>
              <w:t xml:space="preserve">DPIDG</w:t>
            </w:r>
          </w:p>
        </w:tc>
        <w:tc>
          <w:tcPr>
            <w:tcW w:w="2400" w:type="dxa"/>
          </w:tcPr>
          <w:p>
            <w:r>
              <w:t xml:space="preserve">Bhutan, Cambodia, Lao People's Democratic Republic, Mauritius, Senegal, Sierra Leone, Solomon Islands, Vanuatu, Zambia</w:t>
            </w:r>
          </w:p>
        </w:tc>
        <w:tc>
          <w:tcPr>
            <w:tcW w:w="2400" w:type="dxa"/>
          </w:tcPr>
          <w:p>
            <w:r>
              <w:t xml:space="preserve">- Engage the target beneficiaries of the intervention in consultations during a project planning activity, to further inform and finalise the contextual project design. / - Conduct a risk assessment and identify viable mitigation measures for incorporation into the project document to stem the effects of possible risks to project implementation and results achievement. / - Explore a greater use of virtual interface options, to further support the contribution of the project towards value for money. / - Collaborate closely with a monitoring and evaluation specialist during project design, to inform the development of the project theory of change/ logical framework to guide effective results monitoring and reporting. / - Incorporate an element of follow-up into the project design and facilitate its implementation, to support the use of project learnings by participants for enhanced public administration practice. / - Ensure that the project results framework includes indicators for monitoring and reporting on the integration of the UNDESA cross-cutting themes into project implementation.</w:t>
            </w:r>
          </w:p>
        </w:tc>
        <w:tc>
          <w:tcPr>
            <w:tcW w:w="2400" w:type="dxa"/>
          </w:tcPr>
          <w:p>
            <w:r>
              <w:t xml:space="preserve">- Consultations with target project beneficiaries during the planning stages of the project are important for contextualising project implementation and mitigating risks to implementation and results achievement. / - A risk assessment is needed to support increased project efficiency and effectiveness by mitigating possible risks to project implementation and results achievement. / - Specialist guidance for the development of the project logical framework/theory of change increases the potential for the project to document rich evidence of its importance.</w:t>
            </w:r>
          </w:p>
        </w:tc>
        <w:tc>
          <w:tcPr>
            <w:tcW w:w="2400" w:type="dxa"/>
          </w:tcPr>
          <w:p>
            <w:r>
              <w:t xml:space="preserve">https://unitednations.sharepoint.com/sites/DESA-CDPMO/Shared Documents/General/3. Finance Management/1 - TC PROJECTS/Closed Projects in Umoja/S1-179 Italy leadership of women in public institutions/Evaluation/Output-6-Final Evaluation Report_UNDESA_10DEC2024.pdf</w:t>
            </w:r>
          </w:p>
        </w:tc>
        <w:tc>
          <w:tcPr>
            <w:tcW w:w="2400" w:type="dxa"/>
          </w:tcPr>
          <w:p>
            <w:r>
              <w:t xml:space="preserve"/>
            </w:r>
          </w:p>
        </w:tc>
        <w:tc>
          <w:tcPr>
            <w:tcW w:w="2400" w:type="dxa"/>
          </w:tcPr>
          <w:p>
            <w:r>
              <w:t xml:space="preserve"/>
            </w:r>
          </w:p>
        </w:tc>
      </w:tr>
      <w:tr>
        <w:tc>
          <w:tcPr>
            <w:tcW w:w="2400" w:type="dxa"/>
          </w:tcPr>
          <w:p>
            <w:r>
              <w:t xml:space="preserve">Final Evaluation: United Nations Project Office on Governance (UNPOG)</w:t>
            </w:r>
          </w:p>
        </w:tc>
        <w:tc>
          <w:tcPr>
            <w:tcW w:w="2400" w:type="dxa"/>
          </w:tcPr>
          <w:p>
            <w:r>
              <w:t xml:space="preserve">2015</w:t>
            </w:r>
          </w:p>
        </w:tc>
        <w:tc>
          <w:tcPr>
            <w:tcW w:w="2400" w:type="dxa"/>
          </w:tcPr>
          <w:p>
            <w:r>
              <w:t xml:space="preserve">DPADM</w:t>
            </w:r>
          </w:p>
        </w:tc>
        <w:tc>
          <w:tcPr>
            <w:tcW w:w="2400" w:type="dxa"/>
          </w:tcPr>
          <w:p>
            <w:r>
              <w:t xml:space="preserve">Bhutan, China, Democratic Socialist Republic of Sri Lanka, Kazakhstan, Korea, Malaysia, Oman, Philippines, Seychelles</w:t>
            </w:r>
          </w:p>
        </w:tc>
        <w:tc>
          <w:tcPr>
            <w:tcW w:w="2400" w:type="dxa"/>
          </w:tcPr>
          <w:p>
            <w:r>
              <w:t xml:space="preserve">- Conduct better, comprehensive needs assessments in e-governance and ICT for target groups of countries and ensure greater transparency on how these assessments inform the joint DPADM/UNPOG work planning process. / - Design a process to assist countries most in need of e-government development, including comprehensive needs assessment, implementation strategy through training, preparation of technical assistance applications, referral to development banks or relevant agencies, and monitoring and evaluation of outcomes. / - Broaden UNPOG's internal expertise to align with interests of regional development banks and other UN organizations, formalize partnerships with clear agreements specifying scope, duration, and responsibilities. / - Continue efforts to institutionalize networks, beginning by identifying network affiliation in the main database. / - Review the design and publicizing of study tours to set realistic objectives, ensure they meet participant needs, and emphasize the need for sustained follow-up. / - Document and make more transparent the joint DPADM/UNPOG work planning process, applying project management techniques internally for stronger management reporting. / - Continue effective guidance and substantive advice from DPADM, coupled with UNPOG staff's collaborative spirit and synergy.</w:t>
            </w:r>
          </w:p>
        </w:tc>
        <w:tc>
          <w:tcPr>
            <w:tcW w:w="2400" w:type="dxa"/>
          </w:tcPr>
          <w:p>
            <w:r>
              <w:t xml:space="preserve">- Early diversification of funding sources would have provided greater resources for activities and more options in case of non-renewal by the key donor. / - Maintaining high effectiveness in conferences requires focusing on well-defined topics, selecting diverse and effective speakers, keeping panels small, presenting both successes and failures, and allowing sufficient time for interactive discussion. / - Collaborative leadership is essential in projects with diverse staff categories; timely intervention by senior management to address problems and take corrective action is effective. / - Regular convening of Steering Committee Meetings is crucial for forward planning, resolving divergent visions, and addressing structural issues that could disrupt project functioning.</w:t>
            </w:r>
          </w:p>
        </w:tc>
        <w:tc>
          <w:tcPr>
            <w:tcW w:w="2400" w:type="dxa"/>
          </w:tcPr>
          <w:p>
            <w:r>
              <w:t xml:space="preserve">https://unitednations.sharepoint.com/sites/DESA-CDPMO/Shared Documents/General/3. Finance Management/1 - TC PROJECTS/Active Projects/2 DPIDG (DPADM)/S1-73 - UNPOG Phase II - 2016 to 2030/Evaluation/Evaluation 2015/UNPOG - Final Evaluation - 4 May 2015.docx</w:t>
            </w:r>
          </w:p>
        </w:tc>
        <w:tc>
          <w:tcPr>
            <w:tcW w:w="2400" w:type="dxa"/>
          </w:tcPr>
          <w:p>
            <w:r>
              <w:t xml:space="preserve">Country standardized: 'Republic of Korea' -&gt; 'Korea'. / Country standardized: 'Sri Lanka' -&gt; 'Democratic Socialist Republic of Sri Lanka'.</w:t>
            </w:r>
          </w:p>
        </w:tc>
        <w:tc>
          <w:tcPr>
            <w:tcW w:w="2400" w:type="dxa"/>
          </w:tcPr>
          <w:p>
            <w:r>
              <w:t xml:space="preserve"/>
            </w:r>
          </w:p>
        </w:tc>
      </w:tr>
      <w:tr>
        <w:tc>
          <w:tcPr>
            <w:tcW w:w="2400" w:type="dxa"/>
          </w:tcPr>
          <w:p>
            <w:r>
              <w:t xml:space="preserve">Fostering Private-Public Partnerships to Strengthen National Capacities for Designing, Implementing and Evaluating Development-oriented Macroeconomic Policies to Generate Employment, Growth, and Poverty Reduction</w:t>
            </w:r>
          </w:p>
        </w:tc>
        <w:tc>
          <w:tcPr>
            <w:tcW w:w="2400" w:type="dxa"/>
          </w:tcPr>
          <w:p>
            <w:r>
              <w:t xml:space="preserve">2016</w:t>
            </w:r>
          </w:p>
        </w:tc>
        <w:tc>
          <w:tcPr>
            <w:tcW w:w="2400" w:type="dxa"/>
          </w:tcPr>
          <w:p>
            <w:r>
              <w:t xml:space="preserve">DPAD</w:t>
            </w:r>
          </w:p>
        </w:tc>
        <w:tc>
          <w:tcPr>
            <w:tcW w:w="2400" w:type="dxa"/>
          </w:tcPr>
          <w:p>
            <w:r>
              <w:t xml:space="preserve">Bangladesh, Bhutan, Eswatini, Indonesia, Lao People's Democratic Republic, South Africa</w:t>
            </w:r>
          </w:p>
        </w:tc>
        <w:tc>
          <w:tcPr>
            <w:tcW w:w="2400" w:type="dxa"/>
          </w:tcPr>
          <w:p>
            <w:r>
              <w:t xml:space="preserve">- Continue leveraging inter- and intra- agency partnerships that exploit natural programmatic alignments in order to maximize impact and/or minimize costs / - Continue to build in programmatic flexibility that will allow future projects to respond to changing conditions while maximizing potential efficiencies and impact / - Continue to build relationships with developing countries that have requested capacity development support, which will serve to deepen the understanding of their needs as well as areas for potential collaboration with other countries / - Consider developing some objectives with South-South cooperation that would leverage the capacity of other countries’ resources and relationships, which has the potential to reinforce and sustain the impact of projects, while carefully considering the potential risks of adding too many layers of complexity and rigidity / - Consider emphasizing a more pedagogical approach to encouraging public-private partnerships relative to the practical applications of working with directly private sector actors, such as sharing case studies from other developing country governments or multilateral development actors that illustrate the benefits of public-private partnerships and share lessons learned / - Develop a monitoring and evaluation strategy that utilizes online evaluation tools, evaluates participants before and after interventions, pre-selects a small sample of program participants for virtual follow-up evaluation or interview, and plans for an evaluator to observe some sample of program participants and/or activities real-time to increase the potential to identify areas for improvement</w:t>
            </w:r>
          </w:p>
        </w:tc>
        <w:tc>
          <w:tcPr>
            <w:tcW w:w="2400" w:type="dxa"/>
          </w:tcPr>
          <w:p>
            <w:r>
              <w:t xml:space="preserve">- Programmatic flexibility within the project scope and implementation allowed staff to design and execute trainings that were highly responsive to the needs of beneficiaries / - Building effective intra-agency and inter-agency partnerships, where natural programmatic alignments exist, produces organizational efficiency and enriches project activities</w:t>
            </w:r>
          </w:p>
        </w:tc>
        <w:tc>
          <w:tcPr>
            <w:tcW w:w="2400" w:type="dxa"/>
          </w:tcPr>
          <w:p>
            <w:r>
              <w:t xml:space="preserve">https://unitednations.sharepoint.com/sites/DESA-CDPMO/Shared Documents/General/3. Finance Management/5 - DEVELOPMENT ACCOUNT/DA - DESA/03 PROJECTS - CLOSED/EAPD/ROA 210 - DPAD - MAC II/Evaluation report/Final Evaluation ROA 210_Persaud.pdf</w:t>
            </w:r>
          </w:p>
        </w:tc>
        <w:tc>
          <w:tcPr>
            <w:tcW w:w="2400" w:type="dxa"/>
          </w:tcPr>
          <w:p>
            <w:r>
              <w:t xml:space="preserve">Country standardized: 'Laos' -&gt; 'Lao People's Democratic Republic'. / Country standardized: 'Swaziland' -&gt; 'Eswatini'.</w:t>
            </w:r>
          </w:p>
        </w:tc>
        <w:tc>
          <w:tcPr>
            <w:tcW w:w="2400" w:type="dxa"/>
          </w:tcPr>
          <w:p>
            <w:r>
              <w:t xml:space="preserve"/>
            </w:r>
          </w:p>
        </w:tc>
      </w:tr>
      <w:tr>
        <w:tc>
          <w:tcPr>
            <w:tcW w:w="2400" w:type="dxa"/>
          </w:tcPr>
          <w:p>
            <w:r>
              <w:t xml:space="preserve">Helping least developed countries (LDCs) pursue structural economic progress toward and beyond graduation</w:t>
            </w:r>
          </w:p>
        </w:tc>
        <w:tc>
          <w:tcPr>
            <w:tcW w:w="2400" w:type="dxa"/>
          </w:tcPr>
          <w:p>
            <w:r>
              <w:t xml:space="preserve">2022</w:t>
            </w:r>
          </w:p>
        </w:tc>
        <w:tc>
          <w:tcPr>
            <w:tcW w:w="2400" w:type="dxa"/>
          </w:tcPr>
          <w:p>
            <w:r>
              <w:t xml:space="preserve">EAPD; CDPMO</w:t>
            </w:r>
          </w:p>
        </w:tc>
        <w:tc>
          <w:tcPr>
            <w:tcW w:w="2400" w:type="dxa"/>
          </w:tcPr>
          <w:p>
            <w:r>
              <w:t xml:space="preserve">Bangladesh, Bhutan, Lao People's Democratic Republic, Myanmar, Vanuatu</w:t>
            </w:r>
          </w:p>
        </w:tc>
        <w:tc>
          <w:tcPr>
            <w:tcW w:w="2400" w:type="dxa"/>
          </w:tcPr>
          <w:p>
            <w:r>
              <w:t xml:space="preserve">- Ensure that DA Project guidelines provide greater clarity on how priority cross-cutting issues (such as gender, human rights, and climate change) can be integrated into project outcome and output indicators and applied in implementation plans and subsequent monitoring, evaluation, and reporting. / - Ensure that DA Project guidelines provide greater clarity with regards to coordination and collaboration between different UN agencies to create synergy and ensure effective division of labour from the outset. / - Ensure that all key stakeholders are made fully aware of what UNDESA, UNCTAD, and other UN entities will be doing in the future to build on the success of this project, and how they can access this type of support in the future. Further support is still required in line with the types of support already provided, including: relevant advisory services to policy makers, including responding to the findings of Impact Assessments and Vulnerability Profiles; Graduation support via iGRAD; enacting and monitoring implementation of smooth transition strategies; and staying abreast of changing international trade requirements through ePING.</w:t>
            </w:r>
          </w:p>
        </w:tc>
        <w:tc>
          <w:tcPr>
            <w:tcW w:w="2400" w:type="dxa"/>
          </w:tcPr>
          <w:p>
            <w:r>
              <w:t xml:space="preserve">- A coordinated, integrated approach ensures less burden on beneficiary countries and better leverages additional resources for enhancing the impact of planned actions. / - Preparation of smooth transition strategies (STS) required clear guidelines; developing and updating an STS Guidance Note, translated into multiple languages, was effective. / - Analytical work highlighted long-term structural challenges; embedding these findings into national development plans increased impact. / - The framework for vulnerability profiles needed to be revised and broadened to include issues such as gender and social inequalities. / - Piloting consolidated Graduation Assessments, synthesizing impact assessments and vulnerability profiles, helped policy makers quickly digest key findings and recommendations. / - South-South cooperation and peer-to-peer learning enhanced beneficiary countries' learning and ability to address graduation challenges. / - Remote training was successful, but follow-up is needed to ensure capacity building is effective. / - COVID-19 led to innovation in capacity-building modalities, such as interactive and translated training materials and adjusted delivery pace. / - Establishing a dedicated facility like iGRAD supports graduating and graduated LDCs and improves coordination among UN agencies. / - The digital divide, highlighted by the pandemic, limited engagement with local governments; future projects should address technology access to ensure inclusiveness.</w:t>
            </w:r>
          </w:p>
        </w:tc>
        <w:tc>
          <w:tcPr>
            <w:tcW w:w="2400" w:type="dxa"/>
          </w:tcPr>
          <w:p>
            <w:r>
              <w:t xml:space="preserve">https://unitednations.sharepoint.com/sites/DESA-CDPMO/Shared Documents/General/3. Finance Management/5 - DEVELOPMENT ACCOUNT/DA - DESA/03 PROJECTS - CLOSED/EAPD/1819F SB-009659 Helping LDCs progress towards graduation/Evaluation/DA11-Final Evaluation Report-11-11-2022.pdf</w:t>
            </w:r>
          </w:p>
        </w:tc>
        <w:tc>
          <w:tcPr>
            <w:tcW w:w="2400" w:type="dxa"/>
          </w:tcPr>
          <w:p>
            <w:r>
              <w:t xml:space="preserve"/>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Supporting Developing Countries Measure Progress towards Achieving a Green Economy</w:t>
            </w:r>
          </w:p>
        </w:tc>
        <w:tc>
          <w:tcPr>
            <w:tcW w:w="2400" w:type="dxa"/>
          </w:tcPr>
          <w:p>
            <w:r>
              <w:t xml:space="preserve">2016</w:t>
            </w:r>
          </w:p>
        </w:tc>
        <w:tc>
          <w:tcPr>
            <w:tcW w:w="2400" w:type="dxa"/>
          </w:tcPr>
          <w:p>
            <w:r>
              <w:t xml:space="preserve">UNSD</w:t>
            </w:r>
          </w:p>
        </w:tc>
        <w:tc>
          <w:tcPr>
            <w:tcW w:w="2400" w:type="dxa"/>
          </w:tcPr>
          <w:p>
            <w:r>
              <w:t xml:space="preserve">Bhutan, Chile, Colombia, Ecuador, Malaysia, Mongolia, Peru, Viet Nam</w:t>
            </w:r>
          </w:p>
        </w:tc>
        <w:tc>
          <w:tcPr>
            <w:tcW w:w="2400" w:type="dxa"/>
          </w:tcPr>
          <w:p>
            <w:r>
              <w:t xml:space="preserve">- Replicate the high rate of women's participation in workshops in other DESA projects. / - Avoid reducing project budgets after implementation has started; DESA Development Account Project Management Team in CDO should establish systems to prevent this. / - Highlight project results at the annual meetings of the High-Level Political Forum on Sustainable Development to publicize DESA/SD's work and engage policy makers. / - For future projects, consider engaging more consultants to match the number of project countries, to encourage wider sharing of ideas and innovative thinking. / - Promote stronger links between green economy indicators and indicators useful for follow-up of the SDGs and the 2030 Agenda for Sustainable Development.</w:t>
            </w:r>
          </w:p>
        </w:tc>
        <w:tc>
          <w:tcPr>
            <w:tcW w:w="2400" w:type="dxa"/>
          </w:tcPr>
          <w:p>
            <w:r>
              <w:t xml:space="preserve">- Workshops in all phases of the project were effective for knowledge sharing and experience exchange; future workshops should continue to emphasize this. / - Resource persons from DESA/SD, regional commissions, UN agencies, and other organizations contributed significantly to workshop quality. / - Involvement of regional commissions and other UN agencies contributed to both project success and sustainability of outcomes. / - The project strengthened regional networks of statisticians, increased intra-institutional and intra-regional cooperation, and raised the national profile of statistics. / - Using only one consultant for all technical assistance missions may have limited inter-regional experience sharing; involving more consultants could enrich interventions. / - Pairing resource countries with pilot countries facilitated knowledge sharing and is a best practice to replicate. / - Involving regional specialized agencies added value by providing technical assistance and supporting sustainability. / - Designating focal points in pilot countries to coordinate inputs and participation was productive and should be emulated in similar projects.</w:t>
            </w:r>
          </w:p>
        </w:tc>
        <w:tc>
          <w:tcPr>
            <w:tcW w:w="2400" w:type="dxa"/>
          </w:tcPr>
          <w:p>
            <w:r>
              <w:t xml:space="preserve">https://unitednations.sharepoint.com/sites/DESA-CDPMO/Shared Documents/General/3. Finance Management/5 - DEVELOPMENT ACCOUNT/DA - DESA/03 PROJECTS - CLOSED/SD/ROA 211 - 8th tranche - Green Economy/Evaluation/Evaluation report/DA_GreenEcon_proj_eval_10Oct2016 R1.pdf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3</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requests.xlsx record '4731': Dates End date 2022-01-12 is before start date 2022-06-01.</w:t>
            </w:r>
          </w:p>
        </w:tc>
      </w:tr>
      <w:tr>
        <w:tc>
          <w:tcPr>
            <w:tcW w:w="2400" w:type="dxa"/>
          </w:tcPr>
          <w:p>
            <w:r>
              <w:t xml:space="preserve">6</w:t>
            </w:r>
          </w:p>
        </w:tc>
        <w:tc>
          <w:tcPr>
            <w:tcW w:w="2400" w:type="dxa"/>
          </w:tcPr>
          <w:p>
            <w:r>
              <w:t xml:space="preserve">requests.xlsx record '4731': End date 2022-01-12 is before start date 2022-06-01.</w:t>
            </w:r>
          </w:p>
        </w:tc>
      </w:tr>
      <w:tr>
        <w:tc>
          <w:tcPr>
            <w:tcW w:w="2400" w:type="dxa"/>
          </w:tcPr>
          <w:p>
            <w:r>
              <w:t xml:space="preserve">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32</w:t>
            </w:r>
          </w:p>
        </w:tc>
        <w:tc>
          <w:tcPr>
            <w:tcW w:w="2400" w:type="dxa"/>
          </w:tcPr>
          <w:p>
            <w:r>
              <w:t xml:space="preserve">Resolved - Action: duplicate evaluation at evaluations.xlsx row 306 removed; retained row 297 ().</w:t>
            </w:r>
          </w:p>
        </w:tc>
      </w:tr>
      <w:tr>
        <w:tc>
          <w:tcPr>
            <w:tcW w:w="2400" w:type="dxa"/>
          </w:tcPr>
          <w:p>
            <w:r>
              <w:t xml:space="preserve">33</w:t>
            </w:r>
          </w:p>
        </w:tc>
        <w:tc>
          <w:tcPr>
            <w:tcW w:w="2400" w:type="dxa"/>
          </w:tcPr>
          <w:p>
            <w:r>
              <w:t xml:space="preserve">Resolved - Action: duplicate evaluation at evaluations.xlsx row 332 removed; retained row 302 ().</w:t>
            </w:r>
          </w:p>
        </w:tc>
      </w:tr>
      <w:tr>
        <w:tc>
          <w:tcPr>
            <w:tcW w:w="2400" w:type="dxa"/>
          </w:tcPr>
          <w:p>
            <w:r>
              <w:t xml:space="preserve">34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