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Costa Rica</w:t>
      </w:r>
    </w:p>
    <w:p>
      <w:r>
        <w:rPr>
          <w:sz w:val="20"/>
          <w:color w:val="4B5563"/>
        </w:rPr>
        <w:t xml:space="preserve">Americas</w:t>
      </w:r>
    </w:p>
    <w:p>
      <w:r>
        <w:rPr>
          <w:sz w:val="20"/>
          <w:color w:val="4B5563"/>
        </w:rPr>
        <w:t xml:space="preserve">Exported 05 Oct 2026, 14:20 | Snapshot 03 Oct 2026, 21:47 GMT-4</w:t>
      </w:r>
    </w:p>
    <w:p>
      <w:r>
        <w:rPr>
          <w:b/>
          <w:sz w:val="28"/>
          <w:color w:val="174A7C"/>
        </w:rPr>
        <w:t xml:space="preserve">Summary</w:t>
      </w:r>
    </w:p>
    <w:p>
      <w:r>
        <w:t xml:space="preserve">Costa Rica is presented in this country card as part of Americas, with Costa Rica also associated with an unspecified subregion and the no recorded country group grouping. The filtered data for Costa Rica highlights 7 projects for Costa Rica, including 2 active or planned projects for Costa Rica and 5 completed or closed projects for Costa Rica.</w:t>
      </w:r>
    </w:p>
    <w:p>
      <w:r>
        <w:t xml:space="preserve">For Costa Rica, the report includes 12 requests for Costa Rica, 5 RPTC proposals for Costa Rica, 3 RPTC activities for Costa Rica, and 0 travel records for Costa Rica. Financially, Costa Rica shows USD 7,151,800 in project budget, $191,131 in proposal planned budget, and $236,148 in consumed RPTC activity budget for Costa Rica.</w:t>
      </w:r>
    </w:p>
    <w:p>
      <w:r>
        <w:t xml:space="preserve">The main organizational coverage for Costa Rica points to Division for Sustainable Development Goals, DSDG, Economic Analysis and Policy Division, Financing for Sustainable Development Office. Activity records for Costa Rica list 1,449 participants, including 744 women participants, the current quality review for Costa Rica includes 62 data quality notes. Current highlights for Costa Rica include a request focus for Costa Rica: Request #5451 ? The 2026 Joint UNECE/OECD Expert Meeting (formerly called â€œSeminarâ€) on the Implementation of SEEA will be organised as an in-person meeting at the Palais des Nations in Geneva, Switzerland on 24-26 March 2026. This meeting has been regularly organized by UNECE and OECD since 2015 with the aim to provide a platform for exchange of knowledge and experience on SEEA implementation and to facilitate coordination between all relevant partners in the OECD and UNECE regions. This meeting was known as the â€œECE/OECD Annual Seminar on the implementation of the SEEAâ€ until 2025, and, although renamed as the â€œECE/OECD Expert Meeting on Implementation of the System of Environmental-Economic Accounting (SEEA)â€ this year, its aim and objectives remain the same. </w:t>
      </w:r>
      <w:r>
        <w:br/>
        <w:t xml:space="preserve"/>
      </w:r>
      <w:r>
        <w:br/>
        <w:t xml:space="preserve"/>
      </w:r>
      <w:r>
        <w:br/>
        <w:t xml:space="preserve"/>
      </w:r>
      <w:r>
        <w:br/>
        <w:t xml:space="preserve">This meeting strengthens countriesâ€™ ability to implement the SEEA and to support its effective integration into policy making. The meeting helps develop the skills, knowledge, and technical foundations needed for advance in the implementation of environmentalâ€‘economic accounting in countries. Bringing together SEEA practitioners and compilers from several countries, along with experts from international organizations, the meeting serves as a platform for peer learning and exchange. Participants share best practices, discuss challenges, and learn directly from one anotherâ€™s experiences in compiling and using the SEEA. Through these collaborative learning opportunities, the meeting significantly contributes to building national and regional capacity in environmentalâ€‘economic accounting.</w:t>
      </w:r>
      <w:r>
        <w:br/>
        <w:t xml:space="preserve"/>
      </w:r>
      <w:r>
        <w:br/>
        <w:t xml:space="preserve"/>
      </w:r>
      <w:r>
        <w:br/>
        <w:t xml:space="preserve"/>
      </w:r>
      <w:r>
        <w:br/>
        <w:t xml:space="preserve">The concept note for the 2026 Joint meeting on Implementation of the System of Environmental-Economic Accounting (SEEA) is available here.</w:t>
      </w:r>
      <w:r>
        <w:br/>
        <w:t xml:space="preserve"/>
      </w:r>
      <w:r>
        <w:br/>
        <w:t xml:space="preserve"/>
      </w:r>
      <w:r>
        <w:br/>
        <w:t xml:space="preserve"/>
      </w:r>
      <w:r>
        <w:br/>
        <w:t xml:space="preserve">Back-to-back with the Joint Expert Meeting, UNSD will organize two-day meeting of the SEEA Central Framework Technical Committee on 23 and 27 March 2026, to advance the discussion of the issues for the update of the SEEA Central Framework. </w:t>
      </w:r>
      <w:r>
        <w:br/>
        <w:t xml:space="preserve"/>
      </w:r>
      <w:r>
        <w:br/>
        <w:t xml:space="preserve"/>
      </w:r>
      <w:r>
        <w:br/>
        <w:t xml:space="preserve"/>
      </w:r>
      <w:r>
        <w:br/>
        <w:t xml:space="preserve">The organization of back-to-back meetings of the Technical Committee and the UNECE/OECD Expert Group will achieve significant synergies between the two meetings and allow Technical Committee members already attending the Joint UNECE/OECD Expert Meeting to also attend the Technical Committee meeting without incurring significant additional expenses, and vice versa. </w:t>
      </w:r>
      <w:r>
        <w:br/>
        <w:t xml:space="preserve"/>
      </w:r>
      <w:r>
        <w:br/>
        <w:t xml:space="preserve"/>
      </w:r>
      <w:r>
        <w:br/>
        <w:t xml:space="preserve"/>
      </w:r>
      <w:r>
        <w:br/>
        <w:t xml:space="preserve">This activity will cover the participation of 6 participants from developing countries and 2 UNSD staff members to attend the Joint UNECE/OECD Expert Meeting and the Technical Committee meeting and. Participation of additional members of the Technical Committee, other experts and consultants will be covered by the Eurostat grant for the SEEA Central Framework update.; an RPTC proposal focus for Costa Rica: Joint UNECE/OECD Expert Meeting on Implementation of SEEA (24-26 March 2026) and Meeting of the SEEA Central Framework Technical Committee on the update of the SEEA Central Framework (23 and 27 March 2026)||Joint UNECE/OECD Expert Meeting on Implementation of SEEA (24-26 March 2026) and Meeting of the SEEA Central Framework Technical Committee on the update of the SEEA Central Framework (23 and 27 March 2026); an activity focus for Costa Rica: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7</w:t>
            </w:r>
          </w:p>
        </w:tc>
      </w:tr>
      <w:tr>
        <w:tc>
          <w:tcPr>
            <w:tcW w:w="2400" w:type="dxa"/>
          </w:tcPr>
          <w:p>
            <w:r>
              <w:t xml:space="preserve">Project budget</w:t>
            </w:r>
          </w:p>
        </w:tc>
        <w:tc>
          <w:tcPr>
            <w:tcW w:w="2400" w:type="dxa"/>
          </w:tcPr>
          <w:p>
            <w:r>
              <w:t xml:space="preserve">USD 7,151,800</w:t>
            </w:r>
          </w:p>
        </w:tc>
      </w:tr>
      <w:tr>
        <w:tc>
          <w:tcPr>
            <w:tcW w:w="2400" w:type="dxa"/>
          </w:tcPr>
          <w:p>
            <w:r>
              <w:t xml:space="preserve">Requests</w:t>
            </w:r>
          </w:p>
        </w:tc>
        <w:tc>
          <w:tcPr>
            <w:tcW w:w="2400" w:type="dxa"/>
          </w:tcPr>
          <w:p>
            <w:r>
              <w:t xml:space="preserve">12</w:t>
            </w:r>
          </w:p>
        </w:tc>
      </w:tr>
      <w:tr>
        <w:tc>
          <w:tcPr>
            <w:tcW w:w="2400" w:type="dxa"/>
          </w:tcPr>
          <w:p>
            <w:r>
              <w:t xml:space="preserve">RPTC proposals</w:t>
            </w:r>
          </w:p>
        </w:tc>
        <w:tc>
          <w:tcPr>
            <w:tcW w:w="2400" w:type="dxa"/>
          </w:tcPr>
          <w:p>
            <w:r>
              <w:t xml:space="preserve">5</w:t>
            </w:r>
          </w:p>
        </w:tc>
      </w:tr>
      <w:tr>
        <w:tc>
          <w:tcPr>
            <w:tcW w:w="2400" w:type="dxa"/>
          </w:tcPr>
          <w:p>
            <w:r>
              <w:t xml:space="preserve">Proposal planned budget</w:t>
            </w:r>
          </w:p>
        </w:tc>
        <w:tc>
          <w:tcPr>
            <w:tcW w:w="2400" w:type="dxa"/>
          </w:tcPr>
          <w:p>
            <w:r>
              <w:t xml:space="preserve">$191,131</w:t>
            </w:r>
          </w:p>
        </w:tc>
      </w:tr>
      <w:tr>
        <w:tc>
          <w:tcPr>
            <w:tcW w:w="2400" w:type="dxa"/>
          </w:tcPr>
          <w:p>
            <w:r>
              <w:t xml:space="preserve">RPTC activities</w:t>
            </w:r>
          </w:p>
        </w:tc>
        <w:tc>
          <w:tcPr>
            <w:tcW w:w="2400" w:type="dxa"/>
          </w:tcPr>
          <w:p>
            <w:r>
              <w:t xml:space="preserve">3</w:t>
            </w:r>
          </w:p>
        </w:tc>
      </w:tr>
      <w:tr>
        <w:tc>
          <w:tcPr>
            <w:tcW w:w="2400" w:type="dxa"/>
          </w:tcPr>
          <w:p>
            <w:r>
              <w:t xml:space="preserve">Consumed RPTC budget</w:t>
            </w:r>
          </w:p>
        </w:tc>
        <w:tc>
          <w:tcPr>
            <w:tcW w:w="2400" w:type="dxa"/>
          </w:tcPr>
          <w:p>
            <w:r>
              <w:t xml:space="preserve">$236,148</w:t>
            </w:r>
          </w:p>
        </w:tc>
      </w:tr>
      <w:tr>
        <w:tc>
          <w:tcPr>
            <w:tcW w:w="2400" w:type="dxa"/>
          </w:tcPr>
          <w:p>
            <w:r>
              <w:t xml:space="preserve">Activity participants</w:t>
            </w:r>
          </w:p>
        </w:tc>
        <w:tc>
          <w:tcPr>
            <w:tcW w:w="2400" w:type="dxa"/>
          </w:tcPr>
          <w:p>
            <w:r>
              <w:t xml:space="preserve">1,449</w:t>
            </w:r>
          </w:p>
        </w:tc>
      </w:tr>
      <w:tr>
        <w:tc>
          <w:tcPr>
            <w:tcW w:w="2400" w:type="dxa"/>
          </w:tcPr>
          <w:p>
            <w:r>
              <w:t xml:space="preserve">Women participants</w:t>
            </w:r>
          </w:p>
        </w:tc>
        <w:tc>
          <w:tcPr>
            <w:tcW w:w="2400" w:type="dxa"/>
          </w:tcPr>
          <w:p>
            <w:r>
              <w:t xml:space="preserve">744</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11</w:t>
            </w:r>
          </w:p>
        </w:tc>
      </w:tr>
      <w:tr>
        <w:tc>
          <w:tcPr>
            <w:tcW w:w="2400" w:type="dxa"/>
          </w:tcPr>
          <w:p>
            <w:r>
              <w:t xml:space="preserve">Data quality notes</w:t>
            </w:r>
          </w:p>
        </w:tc>
        <w:tc>
          <w:tcPr>
            <w:tcW w:w="2400" w:type="dxa"/>
          </w:tcPr>
          <w:p>
            <w:r>
              <w:t xml:space="preserve">62</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Beyond GDP: Advancing global and national initiatives to develop, compile and integrate beyond-GDP metrics to foster inclusive, sustainable, and forward-thinking policy making</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Active</w:t>
            </w:r>
          </w:p>
        </w:tc>
        <w:tc>
          <w:tcPr>
            <w:tcW w:w="2400" w:type="dxa"/>
          </w:tcPr>
          <w:p>
            <w:r>
              <w:t xml:space="preserve">01 Jul 2025</w:t>
            </w:r>
          </w:p>
        </w:tc>
        <w:tc>
          <w:tcPr>
            <w:tcW w:w="2400" w:type="dxa"/>
          </w:tcPr>
          <w:p>
            <w:r>
              <w:t xml:space="preserve">30 Jun 2027</w:t>
            </w:r>
          </w:p>
        </w:tc>
        <w:tc>
          <w:tcPr>
            <w:tcW w:w="2400" w:type="dxa"/>
          </w:tcPr>
          <w:p>
            <w:r>
              <w:t xml:space="preserve">USD 2,000,000</w:t>
            </w:r>
          </w:p>
        </w:tc>
        <w:tc>
          <w:tcPr>
            <w:tcW w:w="2400" w:type="dxa"/>
          </w:tcPr>
          <w:p>
            <w:r>
              <w:t xml:space="preserve">Costa Rica, Morocco, Peru, Senegal</w:t>
            </w:r>
          </w:p>
        </w:tc>
        <w:tc>
          <w:tcPr>
            <w:tcW w:w="2400" w:type="dxa"/>
          </w:tcPr>
          <w:p>
            <w:r>
              <w:t xml:space="preserve"/>
            </w:r>
          </w:p>
        </w:tc>
        <w:tc>
          <w:tcPr>
            <w:tcW w:w="2400" w:type="dxa"/>
          </w:tcPr>
          <w:p>
            <w:r>
              <w:t xml:space="preserve"/>
            </w:r>
          </w:p>
        </w:tc>
      </w:tr>
      <w:tr>
        <w:tc>
          <w:tcPr>
            <w:tcW w:w="2400" w:type="dxa"/>
          </w:tcPr>
          <w:p>
            <w:r>
              <w:t xml:space="preserve">Building national capacities to design evidence-based sustainable development policies by the use of environmental, economy-wide, microsimulation, and integrated assessments modelling tools</w:t>
            </w:r>
          </w:p>
        </w:tc>
        <w:tc>
          <w:tcPr>
            <w:tcW w:w="2400" w:type="dxa"/>
          </w:tcPr>
          <w:p>
            <w:r>
              <w:t xml:space="preserve">1617AH</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01 May 2017</w:t>
            </w:r>
          </w:p>
        </w:tc>
        <w:tc>
          <w:tcPr>
            <w:tcW w:w="2400" w:type="dxa"/>
          </w:tcPr>
          <w:p>
            <w:r>
              <w:t xml:space="preserve">31 Dec 2021</w:t>
            </w:r>
          </w:p>
        </w:tc>
        <w:tc>
          <w:tcPr>
            <w:tcW w:w="2400" w:type="dxa"/>
          </w:tcPr>
          <w:p>
            <w:r>
              <w:t xml:space="preserve">USD 722,000</w:t>
            </w:r>
          </w:p>
        </w:tc>
        <w:tc>
          <w:tcPr>
            <w:tcW w:w="2400" w:type="dxa"/>
          </w:tcPr>
          <w:p>
            <w:r>
              <w:t xml:space="preserve">Bolivia (Plurinational State of), Costa Rica, Democratic Socialist Republic of Sri Lanka, Mexico</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Enhancing the resilience, accessibility, and sustainability of infrastructure assets in developing countries along the Belt and Road initiative in support of the 2030 Agenda</w:t>
            </w:r>
          </w:p>
        </w:tc>
        <w:tc>
          <w:tcPr>
            <w:tcW w:w="2400" w:type="dxa"/>
          </w:tcPr>
          <w:p>
            <w:r>
              <w:t xml:space="preserve"/>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Feb 2022</w:t>
            </w:r>
          </w:p>
        </w:tc>
        <w:tc>
          <w:tcPr>
            <w:tcW w:w="2400" w:type="dxa"/>
          </w:tcPr>
          <w:p>
            <w:r>
              <w:t xml:space="preserve">31 Jan 2025</w:t>
            </w:r>
          </w:p>
        </w:tc>
        <w:tc>
          <w:tcPr>
            <w:tcW w:w="2400" w:type="dxa"/>
          </w:tcPr>
          <w:p>
            <w:r>
              <w:t xml:space="preserve">USD 0</w:t>
            </w:r>
          </w:p>
        </w:tc>
        <w:tc>
          <w:tcPr>
            <w:tcW w:w="2400" w:type="dxa"/>
          </w:tcPr>
          <w:p>
            <w:r>
              <w:t xml:space="preserve">Costa Rica, Gambia, Kenya, Lao People's Democratic Republic, Nepal, Peru</w:t>
            </w:r>
          </w:p>
        </w:tc>
        <w:tc>
          <w:tcPr>
            <w:tcW w:w="2400" w:type="dxa"/>
          </w:tcPr>
          <w:p>
            <w:r>
              <w:t xml:space="preserve">Country standardized: 'Lao PDR' -&gt; 'Lao People's Democratic Republic'.</w:t>
            </w:r>
          </w:p>
        </w:tc>
        <w:tc>
          <w:tcPr>
            <w:tcW w:w="2400" w:type="dxa"/>
          </w:tcPr>
          <w:p>
            <w:r>
              <w:t xml:space="preserve">projects.csv record 'Enhancing the resilience, accessibility, and sustainability of infrastructure assets in developing countries along the Belt and Road initiative in support of the 2030 Agenda | 2022-02-01T00:00:00 | [no project code]': Budget Budget is blank.</w:t>
            </w:r>
          </w:p>
        </w:tc>
      </w:tr>
      <w:tr>
        <w:tc>
          <w:tcPr>
            <w:tcW w:w="2400" w:type="dxa"/>
          </w:tcPr>
          <w:p>
            <w:r>
              <w:t xml:space="preserve">Implementation of national sustainable development strategies in selected countries in Africa, Asia and Latin America</w:t>
            </w:r>
          </w:p>
        </w:tc>
        <w:tc>
          <w:tcPr>
            <w:tcW w:w="2400" w:type="dxa"/>
          </w:tcPr>
          <w:p>
            <w:r>
              <w:t xml:space="preserve">1617H</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16 Apr 2020</w:t>
            </w:r>
          </w:p>
        </w:tc>
        <w:tc>
          <w:tcPr>
            <w:tcW w:w="2400" w:type="dxa"/>
          </w:tcPr>
          <w:p>
            <w:r>
              <w:t xml:space="preserve">20 Mar 2020</w:t>
            </w:r>
          </w:p>
        </w:tc>
        <w:tc>
          <w:tcPr>
            <w:tcW w:w="2400" w:type="dxa"/>
          </w:tcPr>
          <w:p>
            <w:r>
              <w:t xml:space="preserve">USD 596,800</w:t>
            </w:r>
          </w:p>
        </w:tc>
        <w:tc>
          <w:tcPr>
            <w:tcW w:w="2400" w:type="dxa"/>
          </w:tcPr>
          <w:p>
            <w:r>
              <w:t xml:space="preserve">Costa Rica, Egypt, Ethiopia</w:t>
            </w:r>
          </w:p>
        </w:tc>
        <w:tc>
          <w:tcPr>
            <w:tcW w:w="2400" w:type="dxa"/>
          </w:tcPr>
          <w:p>
            <w:r>
              <w:t xml:space="preserve"/>
            </w:r>
          </w:p>
        </w:tc>
        <w:tc>
          <w:tcPr>
            <w:tcW w:w="2400" w:type="dxa"/>
          </w:tcPr>
          <w:p>
            <w:r>
              <w:t xml:space="preserve">projects.csv record 'Implementation of national sustainable development strategies in selected countries in Africa, Asia and Latin America | 2020-04-16T00:00:00 | 1617H': Country text 'Eastern Africa' could not be matched; no country assignment was inferred. / projects.csv record 'Implementation of national sustainable development strategies in selected countries in Africa, Asia and Latin America | 2020-04-16T00:00:00 | 1617H': Country text 'Latin America and the Caribbean' could not be matched; no country assignment was inferred. / projects.csv record 'Implementation of national sustainable development strategies in selected countries in Africa, Asia and Latin America | 2020-04-16T00:00:00 | 1617H': Country text 'Northern Africa' could not be matched; no country assignment was inferred. / projects.csv record 'Implementation of national sustainable development strategies in selected countries in Africa, Asia and Latin America | 2020-04-16T00:00:00 | 1617H': Country/Sub region 'Eastern Africa' was not matched to GeoData and was ignored. / projects.csv record 'Implementation of national sustainable development strategies in selected countries in Africa, Asia and Latin America | 2020-04-16T00:00:00 | 1617H': Country/Sub region 'Latin America and the Caribbean' was not matched to GeoData and was ignored. / projects.csv record 'Implementation of national sustainable development strategies in selected countries in Africa, Asia and Latin America | 2020-04-16T00:00:00 | 1617H': Country/Sub region 'Northern Africa' was not matched to GeoData and was ignored. / projects.csv record 'Implementation of national sustainable development strategies in selected countries in Africa, Asia and Latin America | 2020-04-16T00:00:00 | 1617H': End date 2020-03-20 is before start date 2020-04-16.</w:t>
            </w:r>
          </w:p>
        </w:tc>
      </w:tr>
      <w:tr>
        <w:tc>
          <w:tcPr>
            <w:tcW w:w="2400" w:type="dxa"/>
          </w:tcPr>
          <w:p>
            <w:r>
              <w:t xml:space="preserve">Inclusive and sustainable economic growth in a society for all ages in the post-COVID-19 era in Asia and Latin America and the Caribbean.</w:t>
            </w:r>
          </w:p>
        </w:tc>
        <w:tc>
          <w:tcPr>
            <w:tcW w:w="2400" w:type="dxa"/>
          </w:tcPr>
          <w:p>
            <w:r>
              <w:t xml:space="preserve">2326A</w:t>
            </w:r>
          </w:p>
        </w:tc>
        <w:tc>
          <w:tcPr>
            <w:tcW w:w="2400" w:type="dxa"/>
          </w:tcPr>
          <w:p>
            <w:r>
              <w:t xml:space="preserve">country</w:t>
            </w:r>
          </w:p>
        </w:tc>
        <w:tc>
          <w:tcPr>
            <w:tcW w:w="2400" w:type="dxa"/>
          </w:tcPr>
          <w:p>
            <w:r>
              <w:t xml:space="preserve">Population Division</w:t>
            </w:r>
          </w:p>
        </w:tc>
        <w:tc>
          <w:tcPr>
            <w:tcW w:w="2400" w:type="dxa"/>
          </w:tcPr>
          <w:p>
            <w:r>
              <w:t xml:space="preserve">Active</w:t>
            </w:r>
          </w:p>
        </w:tc>
        <w:tc>
          <w:tcPr>
            <w:tcW w:w="2400" w:type="dxa"/>
          </w:tcPr>
          <w:p>
            <w:r>
              <w:t xml:space="preserve"/>
            </w:r>
          </w:p>
        </w:tc>
        <w:tc>
          <w:tcPr>
            <w:tcW w:w="2400" w:type="dxa"/>
          </w:tcPr>
          <w:p>
            <w:r>
              <w:t xml:space="preserve"/>
            </w:r>
          </w:p>
        </w:tc>
        <w:tc>
          <w:tcPr>
            <w:tcW w:w="2400" w:type="dxa"/>
          </w:tcPr>
          <w:p>
            <w:r>
              <w:t xml:space="preserve">USD 880,000</w:t>
            </w:r>
          </w:p>
        </w:tc>
        <w:tc>
          <w:tcPr>
            <w:tcW w:w="2400" w:type="dxa"/>
          </w:tcPr>
          <w:p>
            <w:r>
              <w:t xml:space="preserve">Colombia, Costa Rica, Jamaica, Lao People's Democratic Republic, Malaysia, Maldives, Uruguay, Viet Nam</w:t>
            </w:r>
          </w:p>
        </w:tc>
        <w:tc>
          <w:tcPr>
            <w:tcW w:w="2400" w:type="dxa"/>
          </w:tcPr>
          <w:p>
            <w:r>
              <w:t xml:space="preserve">Country standardized: 'Lao PDR' -&gt; 'Lao People's Democratic Republic'.</w:t>
            </w:r>
          </w:p>
        </w:tc>
        <w:tc>
          <w:tcPr>
            <w:tcW w:w="2400" w:type="dxa"/>
          </w:tcPr>
          <w:p>
            <w:r>
              <w:t xml:space="preserve">projects.csv record 'Inclusive and sustainable economic growth in a society for all ages in the post-COVID-19 era in Asia and Latin America and the Caribbean. |  | 2326A': End Date End Date is blank. / projects.csv record 'Inclusive and sustainable economic growth in a society for all ages in the post-COVID-19 era in Asia and Latin America and the Caribbean. |  | 2326A': Start Date Start Date is blank.</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1415A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15 Jan 2020</w:t>
            </w:r>
          </w:p>
        </w:tc>
        <w:tc>
          <w:tcPr>
            <w:tcW w:w="2400" w:type="dxa"/>
          </w:tcPr>
          <w:p>
            <w:r>
              <w:t xml:space="preserve">18 Sept 2020</w:t>
            </w:r>
          </w:p>
        </w:tc>
        <w:tc>
          <w:tcPr>
            <w:tcW w:w="2400" w:type="dxa"/>
          </w:tcPr>
          <w:p>
            <w:r>
              <w:t xml:space="preserve">USD 632,000</w:t>
            </w:r>
          </w:p>
        </w:tc>
        <w:tc>
          <w:tcPr>
            <w:tcW w:w="2400" w:type="dxa"/>
          </w:tcPr>
          <w:p>
            <w:r>
              <w:t xml:space="preserve">Barbados, Bolivia (Plurinational State of), Brazil, Chile, Colombia, Costa Rica, Cuba, Dominican Republic, Ecuador, El Salvador, Guatemala, Honduras, Jamaica, Mexico, Nicaragua, Panama, Paraguay, Peru, Trinidad and Tobago, Uruguay, Venezuela (Bolivarian Republic of)</w:t>
            </w:r>
          </w:p>
        </w:tc>
        <w:tc>
          <w:tcPr>
            <w:tcW w:w="2400" w:type="dxa"/>
          </w:tcPr>
          <w:p>
            <w:r>
              <w:t xml:space="preserve"/>
            </w:r>
          </w:p>
        </w:tc>
        <w:tc>
          <w:tcPr>
            <w:tcW w:w="2400" w:type="dxa"/>
          </w:tcPr>
          <w:p>
            <w:r>
              <w:t xml:space="preserve"/>
            </w:r>
          </w:p>
        </w:tc>
      </w:tr>
      <w:tr>
        <w:tc>
          <w:tcPr>
            <w:tcW w:w="2400" w:type="dxa"/>
          </w:tcPr>
          <w:p>
            <w:r>
              <w:t xml:space="preserve">Towards integrated national financing framework</w:t>
            </w:r>
          </w:p>
        </w:tc>
        <w:tc>
          <w:tcPr>
            <w:tcW w:w="2400" w:type="dxa"/>
          </w:tcPr>
          <w:p>
            <w:r>
              <w:t xml:space="preserve">2124A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Mar 2021</w:t>
            </w:r>
          </w:p>
        </w:tc>
        <w:tc>
          <w:tcPr>
            <w:tcW w:w="2400" w:type="dxa"/>
          </w:tcPr>
          <w:p>
            <w:r>
              <w:t xml:space="preserve">28 Jun 2024</w:t>
            </w:r>
          </w:p>
        </w:tc>
        <w:tc>
          <w:tcPr>
            <w:tcW w:w="2400" w:type="dxa"/>
          </w:tcPr>
          <w:p>
            <w:r>
              <w:t xml:space="preserve">USD 2,321,000</w:t>
            </w:r>
          </w:p>
        </w:tc>
        <w:tc>
          <w:tcPr>
            <w:tcW w:w="2400" w:type="dxa"/>
          </w:tcPr>
          <w:p>
            <w:r>
              <w:t xml:space="preserve">Belarus, Burkina Faso, Colombia, Costa Rica, Egypt, Indonesia, Jordan, Kyrgyzstan, Pakistan, Zambia</w:t>
            </w:r>
          </w:p>
        </w:tc>
        <w:tc>
          <w:tcPr>
            <w:tcW w:w="2400" w:type="dxa"/>
          </w:tcPr>
          <w:p>
            <w:r>
              <w:t xml:space="preserve"/>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5451</w:t>
            </w:r>
          </w:p>
        </w:tc>
        <w:tc>
          <w:tcPr>
            <w:tcW w:w="2400" w:type="dxa"/>
          </w:tcPr>
          <w:p>
            <w:r>
              <w:t xml:space="preserve">Request #5451 ? The 2026 Joint UNECE/OECD Expert Meeting (formerly called â€œSeminarâ€) on the Implementation of SEEA will be organised as an in-person meeting at the Palais des Nations in Geneva, Switzerland on 24-26 March 2026. This meeting has been regularly organized by UNECE and OECD since 2015 with the aim to provide a platform for exchange of knowledge and experience on SEEA implementation and to facilitate coordination between all relevant partners in the OECD and UNECE regions. This meeting was known as the â€œECE/OECD Annual Seminar on the implementation of the SEEAâ€ until 2025, and, although renamed as the â€œECE/OECD Expert Meeting on Implementation of the System of Environmental-Economic Accounting (SEEA)â€ this year, its aim and objectives remain the same.  / This meeting strengthens countriesâ€™ ability to implement the SEEA and to support its effective integration into policy making. The meeting helps develop the skills, knowledge, and technical foundations needed for advance in the implementation of environmentalâ€‘economic accounting in countries. Bringing together SEEA practitioners and compilers from several countries, along with experts from international organizations, the meeting serves as a platform for peer learning and exchange. Participants share best practices, discuss challenges, and learn directly from one anotherâ€™s experiences in compiling and using the SEEA. Through these collaborative learning opportunities, the meeting significantly contributes to building national and regional capacity in environmentalâ€‘economic accounting. / The concept note for the 2026 Joint meeting on Implementation of the System of Environmental-Economic Accounting (SEEA) is available here. / Back-to-back with the Joint Expert Meeting, UNSD will organize two-day meeting of the SEEA Central Framework Technical Committee on 23 and 27 March 2026, to advance the discussion of the issues for the update of the SEEA Central Framework.  / The organization of back-to-back meetings of the Technical Committee and the UNECE/OECD Expert Group will achieve significant synergies between the two meetings and allow Technical Committee members already attending the Joint UNECE/OECD Expert Meeting to also attend the Technical Committee meeting without incurring significant additional expenses, and vice versa.  / This activity will cover the participation of 6 participants from developing countries and 2 UNSD staff members to attend the Joint UNECE/OECD Expert Meeting and the Technical Committee meeting and. Participation of additional members of the Technical Committee, other experts and consultants will be covered by the Eurostat grant for the SEEA Central Framework update.</w:t>
            </w:r>
          </w:p>
        </w:tc>
        <w:tc>
          <w:tcPr>
            <w:tcW w:w="2400" w:type="dxa"/>
          </w:tcPr>
          <w:p>
            <w:r>
              <w:t xml:space="preserve">Under consideration</w:t>
            </w:r>
          </w:p>
        </w:tc>
        <w:tc>
          <w:tcPr>
            <w:tcW w:w="2400" w:type="dxa"/>
          </w:tcPr>
          <w:p>
            <w:r>
              <w:t xml:space="preserve">Statistics Division</w:t>
            </w:r>
          </w:p>
        </w:tc>
        <w:tc>
          <w:tcPr>
            <w:tcW w:w="2400" w:type="dxa"/>
          </w:tcPr>
          <w:p>
            <w:r>
              <w:t xml:space="preserve">15 Jan 2026</w:t>
            </w:r>
          </w:p>
        </w:tc>
        <w:tc>
          <w:tcPr>
            <w:tcW w:w="2400" w:type="dxa"/>
          </w:tcPr>
          <w:p>
            <w:r>
              <w:t xml:space="preserve">23 Mar 2026</w:t>
            </w:r>
          </w:p>
        </w:tc>
        <w:tc>
          <w:tcPr>
            <w:tcW w:w="2400" w:type="dxa"/>
          </w:tcPr>
          <w:p>
            <w:r>
              <w:t xml:space="preserve">27 Mar 2026</w:t>
            </w:r>
          </w:p>
        </w:tc>
        <w:tc>
          <w:tcPr>
            <w:tcW w:w="2400" w:type="dxa"/>
          </w:tcPr>
          <w:p>
            <w:r>
              <w:t xml:space="preserve">Marko Javorsek | marko.javorsek@un.org</w:t>
            </w:r>
          </w:p>
        </w:tc>
        <w:tc>
          <w:tcPr>
            <w:tcW w:w="2400" w:type="dxa"/>
          </w:tcPr>
          <w:p>
            <w:r>
              <w:t xml:space="preserve">The 2026 Joint UNECE/OECD Expert Meeting (formerly called â€œSeminarâ€) on the Implementation of SEEA will be organised as an in-person meeting at the Palais des Nations in Geneva, Switzerland on 24-26 March 2026. This meeting has been regularly organized by UNECE and OECD since 2015 with the aim to provide a platform for exchange of knowledge and experience on SEEA implementation and to facilitate coordination between all relevant partners in the OECD and UNECE regions. This meeting was known as the â€œECE/OECD Annual Seminar on the implementation of the SEEAâ€ until 2025, and, although renamed as the â€œECE/OECD Expert Meeting on Implementation of the System of Environmental-Economic Accounting (SEEA)â€ this year, its aim and objectives remain the same.  / This meeting strengthens countriesâ€™ ability to implement the SEEA and to support its effective integration into policy making. The meeting helps develop the skills, knowledge, and technical foundations needed for advance in the implementation of environmentalâ€‘economic accounting in countries. Bringing together SEEA practitioners and compilers from several countries, along with experts from international organizations, the meeting serves as a platform for peer learning and exchange. Participants share best practices, discuss challenges, and learn directly from one anotherâ€™s experiences in compiling and using the SEEA. Through these collaborative learning opportunities, the meeting significantly contributes to building national and regional capacity in environmentalâ€‘economic accounting. / The concept note for the 2026 Joint meeting on Implementation of the System of Environmental-Economic Accounting (SEEA) is available here. / Back-to-back with the Joint Expert Meeting, UNSD will organize two-day meeting of the SEEA Central Framework Technical Committee on 23 and 27 March 2026, to advance the discussion of the issues for the update of the SEEA Central Framework.  / The organization of back-to-back meetings of the Technical Committee and the UNECE/OECD Expert Group will achieve significant synergies between the two meetings and allow Technical Committee members already attending the Joint UNECE/OECD Expert Meeting to also attend the Technical Committee meeting without incurring significant additional expenses, and vice versa.  / This activity will cover the participation of 6 participants from developing countries and 2 UNSD staff members to attend the Joint UNECE/OECD Expert Meeting and the Technical Committee meeting and. Participation of additional members of the Technical Committee, other experts and consultants will be covered by the Eurostat grant for the SEEA Central Framework update.</w:t>
            </w:r>
          </w:p>
        </w:tc>
        <w:tc>
          <w:tcPr>
            <w:tcW w:w="2400" w:type="dxa"/>
          </w:tcPr>
          <w:p>
            <w:r>
              <w:t xml:space="preserve"/>
            </w:r>
          </w:p>
        </w:tc>
      </w:tr>
      <w:tr>
        <w:tc>
          <w:tcPr>
            <w:tcW w:w="2400" w:type="dxa"/>
          </w:tcPr>
          <w:p>
            <w:r>
              <w:t xml:space="preserve">5289</w:t>
            </w:r>
          </w:p>
        </w:tc>
        <w:tc>
          <w:tcPr>
            <w:tcW w:w="2400" w:type="dxa"/>
          </w:tcPr>
          <w:p>
            <w:r>
              <w:t xml:space="preserve">Request #5289 ? Support the Government of Costa Rica, through the Ministry of Environment and Energy, in mobilizing private financing for SDG-aligned projects and leveraging participation in the SDG Investment Fair.</w:t>
            </w:r>
          </w:p>
        </w:tc>
        <w:tc>
          <w:tcPr>
            <w:tcW w:w="2400" w:type="dxa"/>
          </w:tcPr>
          <w:p>
            <w:r>
              <w:t xml:space="preserve">Completed</w:t>
            </w:r>
          </w:p>
        </w:tc>
        <w:tc>
          <w:tcPr>
            <w:tcW w:w="2400" w:type="dxa"/>
          </w:tcPr>
          <w:p>
            <w:r>
              <w:t xml:space="preserve">Financing for Sustainable Development Office</w:t>
            </w:r>
          </w:p>
        </w:tc>
        <w:tc>
          <w:tcPr>
            <w:tcW w:w="2400" w:type="dxa"/>
          </w:tcPr>
          <w:p>
            <w:r>
              <w:t xml:space="preserve">29 Apr 2025</w:t>
            </w:r>
          </w:p>
        </w:tc>
        <w:tc>
          <w:tcPr>
            <w:tcW w:w="2400" w:type="dxa"/>
          </w:tcPr>
          <w:p>
            <w:r>
              <w:t xml:space="preserve">29 Apr 2025</w:t>
            </w:r>
          </w:p>
        </w:tc>
        <w:tc>
          <w:tcPr>
            <w:tcW w:w="2400" w:type="dxa"/>
          </w:tcPr>
          <w:p>
            <w:r>
              <w:t xml:space="preserve">04 Jul 2025</w:t>
            </w:r>
          </w:p>
        </w:tc>
        <w:tc>
          <w:tcPr>
            <w:tcW w:w="2400" w:type="dxa"/>
          </w:tcPr>
          <w:p>
            <w:r>
              <w:t xml:space="preserve">Franz Tattenbach | iatan@bncr.fi.cr</w:t>
            </w:r>
          </w:p>
        </w:tc>
        <w:tc>
          <w:tcPr>
            <w:tcW w:w="2400" w:type="dxa"/>
          </w:tcPr>
          <w:p>
            <w:r>
              <w:t xml:space="preserve">Support the Government of Costa Rica, through the Ministry of Environment and Energy, in mobilizing private financing for SDG-aligned projects and leveraging participation in the SDG Investment Fair.</w:t>
            </w:r>
          </w:p>
        </w:tc>
        <w:tc>
          <w:tcPr>
            <w:tcW w:w="2400" w:type="dxa"/>
          </w:tcPr>
          <w:p>
            <w:r>
              <w:t xml:space="preserve"/>
            </w:r>
          </w:p>
        </w:tc>
      </w:tr>
      <w:tr>
        <w:tc>
          <w:tcPr>
            <w:tcW w:w="2400" w:type="dxa"/>
          </w:tcPr>
          <w:p>
            <w:r>
              <w:t xml:space="preserve">5280</w:t>
            </w:r>
          </w:p>
        </w:tc>
        <w:tc>
          <w:tcPr>
            <w:tcW w:w="2400" w:type="dxa"/>
          </w:tcPr>
          <w:p>
            <w:r>
              <w:t xml:space="preserve">Request #5280 ? UNSD conducts an annual Global Assessment of Environmental-Economic Accounting and Supporting Statistics (https://seea.un.org/content/global-assessment-environmental-economic-accounting) to monitor the implementation of the System of Environmental-Economic Accounting (SEEA) in countries. This assessment provides critical insights into global progress and challenges in integrating environmental and economic data and is the basis for the monitoring of SDG indicator 15.9.1(b). While the number of countries implementing the SEEA has steadily increased since 2014, recent assessments indicate that this growth has plateaued, suggesting that many countries may be encountering persistent barriers to further implementation. / This stagnation underscores the urgent need to strengthen national capacities for compiling SEEA accounts. Many countries, particularly those in the early stages of implementation, face challenges related to technical expertise, institutional coordination, data availability, and methodological understanding. Addressing these challenges requires targeted support and knowledge exchange. The proposed activity will facilitate peer learning and collaboration among countries. Through the sharing of practical experiences, lessons learned, and innovative approaches, countries will gain valuable insights into overcoming common obstacles and advancing their SEEA implementation. / Target countries will learn from the sharing of country experiences in the compilation of environmental accounts of other countries and how those countries have addressed challenges both in the implementation of the accounts and in the developments of concepts, methods and tools to address these challenges. / This activity also facilitates South-South cooperation, enabling countries with similar development contexts to support one another. It promotes mutual learning, strengthens regional and global networks, and builds lasting partnerships. The London Group meetings, which attract a wide range of countries at various stages of SEEA implementation as well as key international organizations, provide an ideal platform for such an engagement. These meetings facilitate dialogue, encourage innovation, and help align national efforts with global standards and best practices. By building capacity through collaboration and shared learning, it empowers countries to produce high-quality environmental-economic accounts that inform sustainable development policies and contribute to achieving the SDGs.</w:t>
            </w:r>
          </w:p>
        </w:tc>
        <w:tc>
          <w:tcPr>
            <w:tcW w:w="2400" w:type="dxa"/>
          </w:tcPr>
          <w:p>
            <w:r>
              <w:t xml:space="preserve">Under consideration</w:t>
            </w:r>
          </w:p>
        </w:tc>
        <w:tc>
          <w:tcPr>
            <w:tcW w:w="2400" w:type="dxa"/>
          </w:tcPr>
          <w:p>
            <w:r>
              <w:t xml:space="preserve">Statistics Division</w:t>
            </w:r>
          </w:p>
        </w:tc>
        <w:tc>
          <w:tcPr>
            <w:tcW w:w="2400" w:type="dxa"/>
          </w:tcPr>
          <w:p>
            <w:r>
              <w:t xml:space="preserve">04 Aug 2025</w:t>
            </w:r>
          </w:p>
        </w:tc>
        <w:tc>
          <w:tcPr>
            <w:tcW w:w="2400" w:type="dxa"/>
          </w:tcPr>
          <w:p>
            <w:r>
              <w:t xml:space="preserve">22 Sept 2025</w:t>
            </w:r>
          </w:p>
        </w:tc>
        <w:tc>
          <w:tcPr>
            <w:tcW w:w="2400" w:type="dxa"/>
          </w:tcPr>
          <w:p>
            <w:r>
              <w:t xml:space="preserve">25 Sept 2025</w:t>
            </w:r>
          </w:p>
        </w:tc>
        <w:tc>
          <w:tcPr>
            <w:tcW w:w="2400" w:type="dxa"/>
          </w:tcPr>
          <w:p>
            <w:r>
              <w:t xml:space="preserve">Marko Javorsek | marko.javorsek@un.org</w:t>
            </w:r>
          </w:p>
        </w:tc>
        <w:tc>
          <w:tcPr>
            <w:tcW w:w="2400" w:type="dxa"/>
          </w:tcPr>
          <w:p>
            <w:r>
              <w:t xml:space="preserve">UNSD conducts an annual Global Assessment of Environmental-Economic Accounting and Supporting Statistics (https://seea.un.org/content/global-assessment-environmental-economic-accounting) to monitor the implementation of the System of Environmental-Economic Accounting (SEEA) in countries. This assessment provides critical insights into global progress and challenges in integrating environmental and economic data and is the basis for the monitoring of SDG indicator 15.9.1(b). While the number of countries implementing the SEEA has steadily increased since 2014, recent assessments indicate that this growth has plateaued, suggesting that many countries may be encountering persistent barriers to further implementation. / This stagnation underscores the urgent need to strengthen national capacities for compiling SEEA accounts. Many countries, particularly those in the early stages of implementation, face challenges related to technical expertise, institutional coordination, data availability, and methodological understanding. Addressing these challenges requires targeted support and knowledge exchange. The proposed activity will facilitate peer learning and collaboration among countries. Through the sharing of practical experiences, lessons learned, and innovative approaches, countries will gain valuable insights into overcoming common obstacles and advancing their SEEA implementation. / Target countries will learn from the sharing of country experiences in the compilation of environmental accounts of other countries and how those countries have addressed challenges both in the implementation of the accounts and in the developments of concepts, methods and tools to address these challenges. / This activity also facilitates South-South cooperation, enabling countries with similar development contexts to support one another. It promotes mutual learning, strengthens regional and global networks, and builds lasting partnerships. The London Group meetings, which attract a wide range of countries at various stages of SEEA implementation as well as key international organizations, provide an ideal platform for such an engagement. These meetings facilitate dialogue, encourage innovation, and help align national efforts with global standards and best practices. By building capacity through collaboration and shared learning, it empowers countries to produce high-quality environmental-economic accounts that inform sustainable development policies and contribute to achieving the SDGs.</w:t>
            </w:r>
          </w:p>
        </w:tc>
        <w:tc>
          <w:tcPr>
            <w:tcW w:w="2400" w:type="dxa"/>
          </w:tcPr>
          <w:p>
            <w:r>
              <w:t xml:space="preserve"/>
            </w:r>
          </w:p>
        </w:tc>
      </w:tr>
      <w:tr>
        <w:tc>
          <w:tcPr>
            <w:tcW w:w="2400" w:type="dxa"/>
          </w:tcPr>
          <w:p>
            <w:r>
              <w:t xml:space="preserve">5246</w:t>
            </w:r>
          </w:p>
        </w:tc>
        <w:tc>
          <w:tcPr>
            <w:tcW w:w="2400" w:type="dxa"/>
          </w:tcPr>
          <w:p>
            <w:r>
              <w:t xml:space="preserve">Request #5246 ? In accordance with Economic and Social Council resolution E/RES/2018/2 of 10 November 2017 and decision 2023/338 of 25 July 2023, the United Nations Group of Experts on Geographical Names convened its 2025 session from 28 April to the 2 May 2025 at the United Nations Headquarters in New York, in conference room three. There were 9 meetings of the 2025 session and each meeting will be three hours: 10:00 a.m - 1:00 p.m. and 3:00 - 6:00 p.m.. In all, 197 participants representing 56 Member States across UNGEGNâ€™s geographical and linguistic divisions and observers participated. Specifically, decision 2025/8 Geographical names data management (f): Urged Member States to mobilize resources to support the development of capacity across all Member States and welcomed the possibility of convening a workshop on Linking Geographical Names, the Disaggregation and Localization of Sustainable Development Goals, and the Semantic Web from 11 to 15 August 2025 at the headquarters of the Economic Commission for Latin America and the Caribbean in Santiago.</w:t>
            </w:r>
          </w:p>
        </w:tc>
        <w:tc>
          <w:tcPr>
            <w:tcW w:w="2400" w:type="dxa"/>
          </w:tcPr>
          <w:p>
            <w:r>
              <w:t xml:space="preserve">Under consideration</w:t>
            </w:r>
          </w:p>
        </w:tc>
        <w:tc>
          <w:tcPr>
            <w:tcW w:w="2400" w:type="dxa"/>
          </w:tcPr>
          <w:p>
            <w:r>
              <w:t xml:space="preserve">Statistics Division</w:t>
            </w:r>
          </w:p>
        </w:tc>
        <w:tc>
          <w:tcPr>
            <w:tcW w:w="2400" w:type="dxa"/>
          </w:tcPr>
          <w:p>
            <w:r>
              <w:t xml:space="preserve">02 May 2025</w:t>
            </w:r>
          </w:p>
        </w:tc>
        <w:tc>
          <w:tcPr>
            <w:tcW w:w="2400" w:type="dxa"/>
          </w:tcPr>
          <w:p>
            <w:r>
              <w:t xml:space="preserve">11 Aug 2025</w:t>
            </w:r>
          </w:p>
        </w:tc>
        <w:tc>
          <w:tcPr>
            <w:tcW w:w="2400" w:type="dxa"/>
          </w:tcPr>
          <w:p>
            <w:r>
              <w:t xml:space="preserve">14 Aug 2025</w:t>
            </w:r>
          </w:p>
        </w:tc>
        <w:tc>
          <w:tcPr>
            <w:tcW w:w="2400" w:type="dxa"/>
          </w:tcPr>
          <w:p>
            <w:r>
              <w:t xml:space="preserve">Mark Iliffe | mark.iliffe@un.org</w:t>
            </w:r>
          </w:p>
        </w:tc>
        <w:tc>
          <w:tcPr>
            <w:tcW w:w="2400" w:type="dxa"/>
          </w:tcPr>
          <w:p>
            <w:r>
              <w:t xml:space="preserve">In accordance with Economic and Social Council resolution E/RES/2018/2 of 10 November 2017 and decision 2023/338 of 25 July 2023, the United Nations Group of Experts on Geographical Names convened its 2025 session from 28 April to the 2 May 2025 at the United Nations Headquarters in New York, in conference room three. There were 9 meetings of the 2025 session and each meeting will be three hours: 10:00 a.m - 1:00 p.m. and 3:00 - 6:00 p.m.. In all, 197 participants representing 56 Member States across UNGEGNâ€™s geographical and linguistic divisions and observers participated. Specifically, decision 2025/8 Geographical names data management (f): Urged Member States to mobilize resources to support the development of capacity across all Member States and welcomed the possibility of convening a workshop on Linking Geographical Names, the Disaggregation and Localization of Sustainable Development Goals, and the Semantic Web from 11 to 15 August 2025 at the headquarters of the Economic Commission for Latin America and the Caribbean in Santiago.</w:t>
            </w:r>
          </w:p>
        </w:tc>
        <w:tc>
          <w:tcPr>
            <w:tcW w:w="2400" w:type="dxa"/>
          </w:tcPr>
          <w:p>
            <w:r>
              <w:t xml:space="preserve"/>
            </w:r>
          </w:p>
        </w:tc>
      </w:tr>
      <w:tr>
        <w:tc>
          <w:tcPr>
            <w:tcW w:w="2400" w:type="dxa"/>
          </w:tcPr>
          <w:p>
            <w:r>
              <w:t xml:space="preserve">5136</w:t>
            </w:r>
          </w:p>
        </w:tc>
        <w:tc>
          <w:tcPr>
            <w:tcW w:w="2400" w:type="dxa"/>
          </w:tcPr>
          <w:p>
            <w:r>
              <w:t xml:space="preserve">Request #5136 ? 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Under consideration</w:t>
            </w:r>
          </w:p>
        </w:tc>
        <w:tc>
          <w:tcPr>
            <w:tcW w:w="2400" w:type="dxa"/>
          </w:tcPr>
          <w:p>
            <w:r>
              <w:t xml:space="preserve">Statistics Division</w:t>
            </w:r>
          </w:p>
        </w:tc>
        <w:tc>
          <w:tcPr>
            <w:tcW w:w="2400" w:type="dxa"/>
          </w:tcPr>
          <w:p>
            <w:r>
              <w:t xml:space="preserve">03 Mar 2025</w:t>
            </w:r>
          </w:p>
        </w:tc>
        <w:tc>
          <w:tcPr>
            <w:tcW w:w="2400" w:type="dxa"/>
          </w:tcPr>
          <w:p>
            <w:r>
              <w:t xml:space="preserve">17 Mar 2025</w:t>
            </w:r>
          </w:p>
        </w:tc>
        <w:tc>
          <w:tcPr>
            <w:tcW w:w="2400" w:type="dxa"/>
          </w:tcPr>
          <w:p>
            <w:r>
              <w:t xml:space="preserve">27 May 2025</w:t>
            </w:r>
          </w:p>
        </w:tc>
        <w:tc>
          <w:tcPr>
            <w:tcW w:w="2400" w:type="dxa"/>
          </w:tcPr>
          <w:p>
            <w:r>
              <w:t xml:space="preserve">Pedro Farinas | farinas@un.org</w:t>
            </w:r>
          </w:p>
        </w:tc>
        <w:tc>
          <w:tcPr>
            <w:tcW w:w="2400" w:type="dxa"/>
          </w:tcPr>
          <w:p>
            <w:r>
              <w:t xml:space="preserve">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
            </w:r>
          </w:p>
        </w:tc>
      </w:tr>
      <w:tr>
        <w:tc>
          <w:tcPr>
            <w:tcW w:w="2400" w:type="dxa"/>
          </w:tcPr>
          <w:p>
            <w:r>
              <w:t xml:space="preserve">5043</w:t>
            </w:r>
          </w:p>
        </w:tc>
        <w:tc>
          <w:tcPr>
            <w:tcW w:w="2400" w:type="dxa"/>
          </w:tcPr>
          <w:p>
            <w:r>
              <w:t xml:space="preserve">Request #5043 ? The United Nations Framework Convention on Climate Change (UNFCCC) invited DESA/SD to provide an energy statistics expert to participate in the Workshop 1 - Quality Assurance of the National Energy Information Management System (EIMS) and Energy Statistics of Costa Rica. The workshop will take place in San JosÃ©, Costa Rica, from 5 to 8 November 2024. This activity aims to help the country to improve its EIMS and energy statistics by preparing and delivering three in-depth hands-on training workshops: Workshop 1 - Quality assurance of the EIMS and energy statistics (in person - THIS REQUEST); Workshop 2 (to be conducted online, where DESA/SD will also deliver training on issues identified in Workshop 1) â€“ Targeted training on key thematic areas identified during Workshop 1; and Workshop 3 (to be conducted online) â€“ Stocktake and assessment of the effectiveness of the previous two workshops to facilitate the implementation of the improvement plan.</w:t>
            </w:r>
          </w:p>
        </w:tc>
        <w:tc>
          <w:tcPr>
            <w:tcW w:w="2400" w:type="dxa"/>
          </w:tcPr>
          <w:p>
            <w:r>
              <w:t xml:space="preserve">Under consideration</w:t>
            </w:r>
          </w:p>
        </w:tc>
        <w:tc>
          <w:tcPr>
            <w:tcW w:w="2400" w:type="dxa"/>
          </w:tcPr>
          <w:p>
            <w:r>
              <w:t xml:space="preserve">Statistics Division</w:t>
            </w:r>
          </w:p>
        </w:tc>
        <w:tc>
          <w:tcPr>
            <w:tcW w:w="2400" w:type="dxa"/>
          </w:tcPr>
          <w:p>
            <w:r>
              <w:t xml:space="preserve">07 May 2024</w:t>
            </w:r>
          </w:p>
        </w:tc>
        <w:tc>
          <w:tcPr>
            <w:tcW w:w="2400" w:type="dxa"/>
          </w:tcPr>
          <w:p>
            <w:r>
              <w:t xml:space="preserve">05 Nov 2024</w:t>
            </w:r>
          </w:p>
        </w:tc>
        <w:tc>
          <w:tcPr>
            <w:tcW w:w="2400" w:type="dxa"/>
          </w:tcPr>
          <w:p>
            <w:r>
              <w:t xml:space="preserve">08 Nov 2024</w:t>
            </w:r>
          </w:p>
        </w:tc>
        <w:tc>
          <w:tcPr>
            <w:tcW w:w="2400" w:type="dxa"/>
          </w:tcPr>
          <w:p>
            <w:r>
              <w:t xml:space="preserve">Kendal Blanco | KBlancoSalas@unfccc.int</w:t>
            </w:r>
          </w:p>
        </w:tc>
        <w:tc>
          <w:tcPr>
            <w:tcW w:w="2400" w:type="dxa"/>
          </w:tcPr>
          <w:p>
            <w:r>
              <w:t xml:space="preserve">The United Nations Framework Convention on Climate Change (UNFCCC) invited DESA/SD to provide an energy statistics expert to participate in the Workshop 1 - Quality Assurance of the National Energy Information Management System (EIMS) and Energy Statistics of Costa Rica. The workshop will take place in San JosÃ©, Costa Rica, from 5 to 8 November 2024. This activity aims to help the country to improve its EIMS and energy statistics by preparing and delivering three in-depth hands-on training workshops: Workshop 1 - Quality assurance of the EIMS and energy statistics (in person - THIS REQUEST); Workshop 2 (to be conducted online, where DESA/SD will also deliver training on issues identified in Workshop 1) â€“ Targeted training on key thematic areas identified during Workshop 1; and Workshop 3 (to be conducted online) â€“ Stocktake and assessment of the effectiveness of the previous two workshops to facilitate the implementation of the improvement plan.</w:t>
            </w:r>
          </w:p>
        </w:tc>
        <w:tc>
          <w:tcPr>
            <w:tcW w:w="2400" w:type="dxa"/>
          </w:tcPr>
          <w:p>
            <w:r>
              <w:t xml:space="preserve"/>
            </w:r>
          </w:p>
        </w:tc>
      </w:tr>
      <w:tr>
        <w:tc>
          <w:tcPr>
            <w:tcW w:w="2400" w:type="dxa"/>
          </w:tcPr>
          <w:p>
            <w:r>
              <w:t xml:space="preserve">4676</w:t>
            </w:r>
          </w:p>
        </w:tc>
        <w:tc>
          <w:tcPr>
            <w:tcW w:w="2400" w:type="dxa"/>
          </w:tcPr>
          <w:p>
            <w:r>
              <w:t xml:space="preserve">Request #4676 ? The overall objective is to strengthen the country's efforts to consolidate water security, complements the national processes for updating public policy and contributes to the generation of capacities of national actors at all levels. This will be done through an initial assessment workshop, jointly organized by DESA and UNESCO. Once the assessment is done and accepted by the government, additional advisory missions will be undertaken by the most relevant UN Water member organizations.</w:t>
            </w:r>
          </w:p>
        </w:tc>
        <w:tc>
          <w:tcPr>
            <w:tcW w:w="2400" w:type="dxa"/>
          </w:tcPr>
          <w:p>
            <w:r>
              <w:t xml:space="preserve">Ongoing</w:t>
            </w:r>
          </w:p>
        </w:tc>
        <w:tc>
          <w:tcPr>
            <w:tcW w:w="2400" w:type="dxa"/>
          </w:tcPr>
          <w:p>
            <w:r>
              <w:t xml:space="preserve">Division for Sustainable Development Goals</w:t>
            </w:r>
          </w:p>
        </w:tc>
        <w:tc>
          <w:tcPr>
            <w:tcW w:w="2400" w:type="dxa"/>
          </w:tcPr>
          <w:p>
            <w:r>
              <w:t xml:space="preserve">21 Mar 2023</w:t>
            </w:r>
          </w:p>
        </w:tc>
        <w:tc>
          <w:tcPr>
            <w:tcW w:w="2400" w:type="dxa"/>
          </w:tcPr>
          <w:p>
            <w:r>
              <w:t xml:space="preserve">01 Apr 2023</w:t>
            </w:r>
          </w:p>
        </w:tc>
        <w:tc>
          <w:tcPr>
            <w:tcW w:w="2400" w:type="dxa"/>
          </w:tcPr>
          <w:p>
            <w:r>
              <w:t xml:space="preserve">31 Dec 2027</w:t>
            </w:r>
          </w:p>
        </w:tc>
        <w:tc>
          <w:tcPr>
            <w:tcW w:w="2400" w:type="dxa"/>
          </w:tcPr>
          <w:p>
            <w:r>
              <w:t xml:space="preserve">Jose Miguel Zeledon Calderon | na@na.na.na</w:t>
            </w:r>
          </w:p>
        </w:tc>
        <w:tc>
          <w:tcPr>
            <w:tcW w:w="2400" w:type="dxa"/>
          </w:tcPr>
          <w:p>
            <w:r>
              <w:t xml:space="preserve">The overall objective is to strengthen the country's efforts to consolidate water security, complements the national processes for updating public policy and contributes to the generation of capacities of national actors at all levels. This will be done through an initial assessment workshop, jointly organized by DESA and UNESCO. Once the assessment is done and accepted by the government, additional advisory missions will be undertaken by the most relevant UN Water member organizations.</w:t>
            </w:r>
          </w:p>
        </w:tc>
        <w:tc>
          <w:tcPr>
            <w:tcW w:w="2400" w:type="dxa"/>
          </w:tcPr>
          <w:p>
            <w:r>
              <w:t xml:space="preserve"/>
            </w:r>
          </w:p>
        </w:tc>
      </w:tr>
      <w:tr>
        <w:tc>
          <w:tcPr>
            <w:tcW w:w="2400" w:type="dxa"/>
          </w:tcPr>
          <w:p>
            <w:r>
              <w:t xml:space="preserve">4730</w:t>
            </w:r>
          </w:p>
        </w:tc>
        <w:tc>
          <w:tcPr>
            <w:tcW w:w="2400" w:type="dxa"/>
          </w:tcPr>
          <w:p>
            <w:r>
              <w:t xml:space="preserve">Request #4730 ? This proposal is a response to country requests for training in support of estimation and use of National Transfer Accounts. Eight countries (Colombia, Costa Rica, Jamaica, Lao PDR, Malaysia, Maldives, Uruguay, and Viet Nam) will be participating in the 15th Tranche development account project on â€œInclusive and sustainable economic growth in a society for all ages in the post-COVID-19 era in Asia and Latin America and the Caribbeanâ€ â€“ jointly implemented by DESA, ECLAC, and ESCAP.  A key prerequisite for successful participation in this DA project is the completion of a recent, full set of National Transfer Accounts by the end of 2023.   / To this end and to strengthen the technical capacity in these 8 countries, this proposal will fund 8 participants (one from each of the DA project countries) to participate and receive training at the Fourteenth Global Meeting of the National Transfer Accounts project (NTA14): â€œBuilding Sustainable Generational Economiesâ€ which will take place 14-17 February 2023 at the UniversitÃ© Paris-Dauphine, France.   DESA staff will co-organize and co-teach training workshops offered to participants from all countries (an estimated 60 to 80) participating at the global conference â€“ utilizing the UN manuals on National Transfer Accounts (DESA, 2013) and on National Time Transfer Accounts (DESA, 2023).</w:t>
            </w:r>
          </w:p>
        </w:tc>
        <w:tc>
          <w:tcPr>
            <w:tcW w:w="2400" w:type="dxa"/>
          </w:tcPr>
          <w:p>
            <w:r>
              <w:t xml:space="preserve">Completed</w:t>
            </w:r>
          </w:p>
        </w:tc>
        <w:tc>
          <w:tcPr>
            <w:tcW w:w="2400" w:type="dxa"/>
          </w:tcPr>
          <w:p>
            <w:r>
              <w:t xml:space="preserve">Population Division</w:t>
            </w:r>
          </w:p>
        </w:tc>
        <w:tc>
          <w:tcPr>
            <w:tcW w:w="2400" w:type="dxa"/>
          </w:tcPr>
          <w:p>
            <w:r>
              <w:t xml:space="preserve">06 Jan 2023</w:t>
            </w:r>
          </w:p>
        </w:tc>
        <w:tc>
          <w:tcPr>
            <w:tcW w:w="2400" w:type="dxa"/>
          </w:tcPr>
          <w:p>
            <w:r>
              <w:t xml:space="preserve">14 Feb 2023</w:t>
            </w:r>
          </w:p>
        </w:tc>
        <w:tc>
          <w:tcPr>
            <w:tcW w:w="2400" w:type="dxa"/>
          </w:tcPr>
          <w:p>
            <w:r>
              <w:t xml:space="preserve">17 Feb 2023</w:t>
            </w:r>
          </w:p>
        </w:tc>
        <w:tc>
          <w:tcPr>
            <w:tcW w:w="2400" w:type="dxa"/>
          </w:tcPr>
          <w:p>
            <w:r>
              <w:t xml:space="preserve">Tim Miller | tim.miller@un.org</w:t>
            </w:r>
          </w:p>
        </w:tc>
        <w:tc>
          <w:tcPr>
            <w:tcW w:w="2400" w:type="dxa"/>
          </w:tcPr>
          <w:p>
            <w:r>
              <w:t xml:space="preserve">This proposal is a response to country requests for training in support of estimation and use of National Transfer Accounts. Eight countries (Colombia, Costa Rica, Jamaica, Lao PDR, Malaysia, Maldives, Uruguay, and Viet Nam) will be participating in the 15th Tranche development account project on â€œInclusive and sustainable economic growth in a society for all ages in the post-COVID-19 era in Asia and Latin America and the Caribbeanâ€ â€“ jointly implemented by DESA, ECLAC, and ESCAP.  A key prerequisite for successful participation in this DA project is the completion of a recent, full set of National Transfer Accounts by the end of 2023.   / To this end and to strengthen the technical capacity in these 8 countries, this proposal will fund 8 participants (one from each of the DA project countries) to participate and receive training at the Fourteenth Global Meeting of the National Transfer Accounts project (NTA14): â€œBuilding Sustainable Generational Economiesâ€ which will take place 14-17 February 2023 at the UniversitÃ© Paris-Dauphine, France.   DESA staff will co-organize and co-teach training workshops offered to participants from all countries (an estimated 60 to 80) participating at the global conference â€“ utilizing the UN manuals on National Transfer Accounts (DESA, 2013) and on National Time Transfer Accounts (DESA, 2023).</w:t>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r>
      <w:tr>
        <w:tc>
          <w:tcPr>
            <w:tcW w:w="2400" w:type="dxa"/>
          </w:tcPr>
          <w:p>
            <w:r>
              <w:t xml:space="preserve">3441</w:t>
            </w:r>
          </w:p>
        </w:tc>
        <w:tc>
          <w:tcPr>
            <w:tcW w:w="2400" w:type="dxa"/>
          </w:tcPr>
          <w:p>
            <w:r>
              <w:t xml:space="preserve">Request #3441 ? Joint DESA-ECLAC initiative.   Responding to a request from UN ECLAC on behalf of member states for training in forecasting the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19 Oct 2019</w:t>
            </w:r>
          </w:p>
        </w:tc>
        <w:tc>
          <w:tcPr>
            <w:tcW w:w="2400" w:type="dxa"/>
          </w:tcPr>
          <w:p>
            <w:r>
              <w:t xml:space="preserve">25 Nov 2019</w:t>
            </w:r>
          </w:p>
        </w:tc>
        <w:tc>
          <w:tcPr>
            <w:tcW w:w="2400" w:type="dxa"/>
          </w:tcPr>
          <w:p>
            <w:r>
              <w:t xml:space="preserve">27 Nov 2019</w:t>
            </w:r>
          </w:p>
        </w:tc>
        <w:tc>
          <w:tcPr>
            <w:tcW w:w="2400" w:type="dxa"/>
          </w:tcPr>
          <w:p>
            <w:r>
              <w:t xml:space="preserve">Mr. Paulo Saad | paulo.saad@un.org</w:t>
            </w:r>
          </w:p>
        </w:tc>
        <w:tc>
          <w:tcPr>
            <w:tcW w:w="2400" w:type="dxa"/>
          </w:tcPr>
          <w:p>
            <w:r>
              <w:t xml:space="preserve">Joint DESA-ECLAC initiative.   Responding to a request from UN ECLAC on behalf of member states for training in forecasting the economic and fiscal impacts of population ageing.</w:t>
            </w:r>
          </w:p>
        </w:tc>
        <w:tc>
          <w:tcPr>
            <w:tcW w:w="2400" w:type="dxa"/>
          </w:tcPr>
          <w:p>
            <w:r>
              <w:t xml:space="preserve"/>
            </w:r>
          </w:p>
        </w:tc>
      </w:tr>
      <w:tr>
        <w:tc>
          <w:tcPr>
            <w:tcW w:w="2400" w:type="dxa"/>
          </w:tcPr>
          <w:p>
            <w:r>
              <w:t xml:space="preserve">3435</w:t>
            </w:r>
          </w:p>
        </w:tc>
        <w:tc>
          <w:tcPr>
            <w:tcW w:w="2400" w:type="dxa"/>
          </w:tcPr>
          <w:p>
            <w:r>
              <w:t xml:space="preserve">Request #3435 ? Joint DESA-ECLAC initiative in support of the Madrid International Plan of Action on Ageing (MIPAA). Held training workshop on forecasting the national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23 May 2019</w:t>
            </w:r>
          </w:p>
        </w:tc>
        <w:tc>
          <w:tcPr>
            <w:tcW w:w="2400" w:type="dxa"/>
          </w:tcPr>
          <w:p>
            <w:r>
              <w:t xml:space="preserve">09 Sept 2019</w:t>
            </w:r>
          </w:p>
        </w:tc>
        <w:tc>
          <w:tcPr>
            <w:tcW w:w="2400" w:type="dxa"/>
          </w:tcPr>
          <w:p>
            <w:r>
              <w:t xml:space="preserve">11 Sept 2019</w:t>
            </w:r>
          </w:p>
        </w:tc>
        <w:tc>
          <w:tcPr>
            <w:tcW w:w="2400" w:type="dxa"/>
          </w:tcPr>
          <w:p>
            <w:r>
              <w:t xml:space="preserve">Mr. Paulo Saad | paulo.saad@un.org</w:t>
            </w:r>
          </w:p>
        </w:tc>
        <w:tc>
          <w:tcPr>
            <w:tcW w:w="2400" w:type="dxa"/>
          </w:tcPr>
          <w:p>
            <w:r>
              <w:t xml:space="preserve">Joint DESA-ECLAC initiative in support of the Madrid International Plan of Action on Ageing (MIPAA). Held training workshop on forecasting the national economic and fiscal impacts of population ageing.</w:t>
            </w:r>
          </w:p>
        </w:tc>
        <w:tc>
          <w:tcPr>
            <w:tcW w:w="2400" w:type="dxa"/>
          </w:tcPr>
          <w:p>
            <w:r>
              <w:t xml:space="preserve"/>
            </w:r>
          </w:p>
        </w:tc>
      </w:tr>
      <w:tr>
        <w:tc>
          <w:tcPr>
            <w:tcW w:w="2400" w:type="dxa"/>
          </w:tcPr>
          <w:p>
            <w:r>
              <w:t xml:space="preserve">2621</w:t>
            </w:r>
          </w:p>
        </w:tc>
        <w:tc>
          <w:tcPr>
            <w:tcW w:w="2400" w:type="dxa"/>
          </w:tcPr>
          <w:p>
            <w:r>
              <w:t xml:space="preserve">Request #2621 ? DPIDG was requested to provide virtual advisory services to SAI Costa Rica for the development of principles on SAI engagement with citizens from April to May 2016.</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Jan 2016</w:t>
            </w:r>
          </w:p>
        </w:tc>
        <w:tc>
          <w:tcPr>
            <w:tcW w:w="2400" w:type="dxa"/>
          </w:tcPr>
          <w:p>
            <w:r>
              <w:t xml:space="preserve">01 Apr 2016</w:t>
            </w:r>
          </w:p>
        </w:tc>
        <w:tc>
          <w:tcPr>
            <w:tcW w:w="2400" w:type="dxa"/>
          </w:tcPr>
          <w:p>
            <w:r>
              <w:t xml:space="preserve"/>
            </w:r>
          </w:p>
        </w:tc>
        <w:tc>
          <w:tcPr>
            <w:tcW w:w="2400" w:type="dxa"/>
          </w:tcPr>
          <w:p>
            <w:r>
              <w:t xml:space="preserve">na | na@na</w:t>
            </w:r>
          </w:p>
        </w:tc>
        <w:tc>
          <w:tcPr>
            <w:tcW w:w="2400" w:type="dxa"/>
          </w:tcPr>
          <w:p>
            <w:r>
              <w:t xml:space="preserve">DPIDG was requested to provide virtual advisory services to SAI Costa Rica for the development of principles on SAI engagement with citizens from April to May 2016.</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SB-001376.99.99.13</w:t>
            </w:r>
          </w:p>
        </w:tc>
        <w:tc>
          <w:tcPr>
            <w:tcW w:w="2400" w:type="dxa"/>
          </w:tcPr>
          <w:p>
            <w:r>
              <w:t xml:space="preserve">Joint UNECE/OECD Expert Meeting on Implementation of SEEA (24-26 March 2026) and Meeting of the SEEA Central Framework Technical Committee on the update of the SEEA Central Framework (23 and 27 March 2026)||Joint UNECE/OECD Expert Meeting on Implementation of SEEA (24-26 March 2026) and Meeting of the SEEA Central Framework Technical Committee on the update of the SEEA Central Framework (23 and 27 March 2026)</w:t>
            </w:r>
          </w:p>
        </w:tc>
        <w:tc>
          <w:tcPr>
            <w:tcW w:w="2400" w:type="dxa"/>
          </w:tcPr>
          <w:p>
            <w:r>
              <w:t xml:space="preserve">SD</w:t>
            </w:r>
          </w:p>
        </w:tc>
        <w:tc>
          <w:tcPr>
            <w:tcW w:w="2400" w:type="dxa"/>
          </w:tcPr>
          <w:p>
            <w:r>
              <w:t xml:space="preserve">31 Mar 2026</w:t>
            </w:r>
          </w:p>
        </w:tc>
        <w:tc>
          <w:tcPr>
            <w:tcW w:w="2400" w:type="dxa"/>
          </w:tcPr>
          <w:p>
            <w:r>
              <w:t xml:space="preserve">31 Mar 2026</w:t>
            </w:r>
          </w:p>
        </w:tc>
        <w:tc>
          <w:tcPr>
            <w:tcW w:w="2400" w:type="dxa"/>
          </w:tcPr>
          <w:p>
            <w:r>
              <w:t xml:space="preserve">$34,560</w:t>
            </w:r>
          </w:p>
        </w:tc>
        <w:tc>
          <w:tcPr>
            <w:tcW w:w="2400" w:type="dxa"/>
          </w:tcPr>
          <w:p>
            <w:r>
              <w:t xml:space="preserve">Brazil, Costa Rica, Indonesia, Jamaica, Mexico, South Africa</w:t>
            </w:r>
          </w:p>
        </w:tc>
        <w:tc>
          <w:tcPr>
            <w:tcW w:w="2400" w:type="dxa"/>
          </w:tcPr>
          <w:p>
            <w:r>
              <w:t xml:space="preserve">Region standardized: 'global' -&gt; 'Global'.</w:t>
            </w:r>
          </w:p>
        </w:tc>
        <w:tc>
          <w:tcPr>
            <w:tcW w:w="2400" w:type="dxa"/>
          </w:tcPr>
          <w:p>
            <w:r>
              <w:t xml:space="preserve">Proposal past due</w:t>
            </w:r>
          </w:p>
        </w:tc>
      </w:tr>
      <w:tr>
        <w:tc>
          <w:tcPr>
            <w:tcW w:w="2400" w:type="dxa"/>
          </w:tcPr>
          <w:p>
            <w:r>
              <w:t xml:space="preserve">SB-001376.99.99.19</w:t>
            </w:r>
          </w:p>
        </w:tc>
        <w:tc>
          <w:tcPr>
            <w:tcW w:w="2400" w:type="dxa"/>
          </w:tcPr>
          <w:p>
            <w:r>
              <w:t xml:space="preserve">Workshop on the use of interoperability standards for the management of geographical names “Linking Geographical Names, the Disaggregation and Localization of Sustainable Development Goals and the Semantic Web”</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$43,886</w:t>
            </w:r>
          </w:p>
        </w:tc>
        <w:tc>
          <w:tcPr>
            <w:tcW w:w="2400" w:type="dxa"/>
          </w:tcPr>
          <w:p>
            <w:r>
              <w:t xml:space="preserve">Argentina, Barbados, Brazil, Colombia, Costa Rica, Dominican Republic, Ecuador, Jamaica, Mexico, Panama, Uruguay</w:t>
            </w:r>
          </w:p>
        </w:tc>
        <w:tc>
          <w:tcPr>
            <w:tcW w:w="2400" w:type="dxa"/>
          </w:tcPr>
          <w:p>
            <w:r>
              <w:t xml:space="preserve"/>
            </w:r>
          </w:p>
        </w:tc>
        <w:tc>
          <w:tcPr>
            <w:tcW w:w="2400" w:type="dxa"/>
          </w:tcPr>
          <w:p>
            <w:r>
              <w:t xml:space="preserve">Proposal past due</w:t>
            </w:r>
          </w:p>
        </w:tc>
      </w:tr>
      <w:tr>
        <w:tc>
          <w:tcPr>
            <w:tcW w:w="2400" w:type="dxa"/>
          </w:tcPr>
          <w:p>
            <w:r>
              <w:t xml:space="preserve">SB-001376.99.99.32</w:t>
            </w:r>
          </w:p>
        </w:tc>
        <w:tc>
          <w:tcPr>
            <w:tcW w:w="2400" w:type="dxa"/>
          </w:tcPr>
          <w:p>
            <w:r>
              <w:t xml:space="preserve">Regional Workshop on the Implementation of the Revised MSITS 2026</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$62,098</w:t>
            </w:r>
          </w:p>
        </w:tc>
        <w:tc>
          <w:tcPr>
            <w:tcW w:w="2400" w:type="dxa"/>
          </w:tcPr>
          <w:p>
            <w:r>
              <w:t xml:space="preserve">Argentina, Bolivia (Plurinational State of), Brazil, Chile, Colombia, Costa Rica, Cuba, Dominican Republic, Ecuador, El Salvador, Guatemala, Guyana, Honduras, Mexico, Nicaragua, Panama, Paraguay, Peru, Uruguay, Venezuela (Bolivarian Republic of)</w:t>
            </w:r>
          </w:p>
        </w:tc>
        <w:tc>
          <w:tcPr>
            <w:tcW w:w="2400" w:type="dxa"/>
          </w:tcPr>
          <w:p>
            <w:r>
              <w:t xml:space="preserve">Country standardized: 'Bolivia' -&gt; 'Bolivia (Plurinational State of)'. / Country standardized: 'Venezuela' -&gt; 'Venezuela (Bolivarian Republic of)'.</w:t>
            </w:r>
          </w:p>
        </w:tc>
        <w:tc>
          <w:tcPr>
            <w:tcW w:w="2400" w:type="dxa"/>
          </w:tcPr>
          <w:p>
            <w:r>
              <w:t xml:space="preserve">proposals.xlsx record 'SB-001376.99.99.32|row:49': 'f_cashGov' has non-numeric value 'N/A'. / proposals.xlsx record 'SB-001376.99.99.32|row:49': 'f_cashOther' has non-numeric value 'N/A'.</w:t>
            </w:r>
          </w:p>
        </w:tc>
      </w:tr>
      <w:tr>
        <w:tc>
          <w:tcPr>
            <w:tcW w:w="2400" w:type="dxa"/>
          </w:tcPr>
          <w:p>
            <w:r>
              <w:t xml:space="preserve">SB-001375.99.44</w:t>
            </w:r>
          </w:p>
        </w:tc>
        <w:tc>
          <w:tcPr>
            <w:tcW w:w="2400" w:type="dxa"/>
          </w:tcPr>
          <w:p>
            <w:r>
              <w:t xml:space="preserve">Implementing the Capacity Development Initiative for SDG 6</w:t>
            </w:r>
          </w:p>
        </w:tc>
        <w:tc>
          <w:tcPr>
            <w:tcW w:w="2400" w:type="dxa"/>
          </w:tcPr>
          <w:p>
            <w:r>
              <w:t xml:space="preserve">DSDG</w:t>
            </w:r>
          </w:p>
        </w:tc>
        <w:tc>
          <w:tcPr>
            <w:tcW w:w="2400" w:type="dxa"/>
          </w:tcPr>
          <w:p>
            <w:r>
              <w:t xml:space="preserve">30 Jun 2026</w:t>
            </w:r>
          </w:p>
        </w:tc>
        <w:tc>
          <w:tcPr>
            <w:tcW w:w="2400" w:type="dxa"/>
          </w:tcPr>
          <w:p>
            <w:r>
              <w:t xml:space="preserve">31 Dec 2026</w:t>
            </w:r>
          </w:p>
        </w:tc>
        <w:tc>
          <w:tcPr>
            <w:tcW w:w="2400" w:type="dxa"/>
          </w:tcPr>
          <w:p>
            <w:r>
              <w:t xml:space="preserve">$43,788</w:t>
            </w:r>
          </w:p>
        </w:tc>
        <w:tc>
          <w:tcPr>
            <w:tcW w:w="2400" w:type="dxa"/>
          </w:tcPr>
          <w:p>
            <w:r>
              <w:t xml:space="preserve">Costa Rica, Jordan, Nigeria, Panama, Rwanda</w:t>
            </w:r>
          </w:p>
        </w:tc>
        <w:tc>
          <w:tcPr>
            <w:tcW w:w="2400" w:type="dxa"/>
          </w:tcPr>
          <w:p>
            <w:r>
              <w:t xml:space="preserve">Region standardized: 'global' -&gt; 'Global'.</w:t>
            </w:r>
          </w:p>
        </w:tc>
        <w:tc>
          <w:tcPr>
            <w:tcW w:w="2400" w:type="dxa"/>
          </w:tcPr>
          <w:p>
            <w:r>
              <w:t xml:space="preserve"/>
            </w:r>
          </w:p>
        </w:tc>
      </w:tr>
      <w:tr>
        <w:tc>
          <w:tcPr>
            <w:tcW w:w="2400" w:type="dxa"/>
          </w:tcPr>
          <w:p>
            <w:r>
              <w:t xml:space="preserve">SB-001376.99.99.39</w:t>
            </w:r>
          </w:p>
        </w:tc>
        <w:tc>
          <w:tcPr>
            <w:tcW w:w="2400" w:type="dxa"/>
          </w:tcPr>
          <w:p>
            <w:r>
              <w:t xml:space="preserve">International workshop on the measurement of SDG Indicator 5.4.1 and XXVII International Meeting on Gender Statistics</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$6,799</w:t>
            </w:r>
          </w:p>
        </w:tc>
        <w:tc>
          <w:tcPr>
            <w:tcW w:w="2400" w:type="dxa"/>
          </w:tcPr>
          <w:p>
            <w:r>
              <w:t xml:space="preserve">Brazil, Chile, Colombia, Costa Rica, Democratic Republic of Timor-Leste, Dominican Republic, Ecuador, Grenada, Guatemala, Honduras, Lao People's Democratic Republic, Mexico, Morocco, Paraguay, Peru, Tunisia</w:t>
            </w:r>
          </w:p>
        </w:tc>
        <w:tc>
          <w:tcPr>
            <w:tcW w:w="2400" w:type="dxa"/>
          </w:tcPr>
          <w:p>
            <w:r>
              <w:t xml:space="preserve">Country standardized: 'Timor-Leste' -&gt; 'Democratic Republic of Timor-Leste'. / Region standardized: 'global' -&gt; 'Global'.</w:t>
            </w:r>
          </w:p>
        </w:tc>
        <w:tc>
          <w:tcPr>
            <w:tcW w:w="2400" w:type="dxa"/>
          </w:tcPr>
          <w:p>
            <w:r>
              <w:t xml:space="preserve">proposals.xlsx record 'SB-001376.99.99.39|row:74': 'costConferenceServices' has non-numeric value '0||0||$'. / proposals.xlsx record 'SB-001376.99.99.39|row:74': 'costTravelConsultants' has non-numeric value '4,098||4,098||$'. / proposals.xlsx record 'SB-001376.99.99.39|row:74': 'costTravelParticipants' has non-numeric value '0||0||$'. / proposals.xlsx record 'SB-001376.99.99.39|row:74': 'costTravelStaff' has non-numeric value '2,701||2,701||$'. / proposals.xlsx record 'SB-001376.99.99.39|row:74': 'f_cashDESA' has non-numeric value 'US$ 6,799'.</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SB-001376.99.99.13</w:t>
            </w:r>
          </w:p>
        </w:tc>
        <w:tc>
          <w:tcPr>
            <w:tcW w:w="2400" w:type="dxa"/>
          </w:tcPr>
          <w:p>
            <w:r>
              <w:t xml:space="preserve">Joint UNECE/OECD Expert Meeting on Implementation of SEEA (24-26 March 2026) and Meeting of the SEEA Central Framework Technical Committee on the update of the SEEA Central Framework (23 and 27 March 2026)</w:t>
            </w:r>
          </w:p>
        </w:tc>
        <w:tc>
          <w:tcPr>
            <w:tcW w:w="2400" w:type="dxa"/>
          </w:tcPr>
          <w:p>
            <w:r>
              <w:t xml:space="preserve">SD</w:t>
            </w:r>
          </w:p>
        </w:tc>
        <w:tc>
          <w:tcPr>
            <w:tcW w:w="2400" w:type="dxa"/>
          </w:tcPr>
          <w:p>
            <w:r>
              <w:t xml:space="preserve">23 Mar 2026</w:t>
            </w:r>
          </w:p>
        </w:tc>
        <w:tc>
          <w:tcPr>
            <w:tcW w:w="2400" w:type="dxa"/>
          </w:tcPr>
          <w:p>
            <w:r>
              <w:t xml:space="preserve">27 Mar 2026</w:t>
            </w:r>
          </w:p>
        </w:tc>
        <w:tc>
          <w:tcPr>
            <w:tcW w:w="2400" w:type="dxa"/>
          </w:tcPr>
          <w:p>
            <w:r>
              <w:t xml:space="preserve">$34,560</w:t>
            </w:r>
          </w:p>
        </w:tc>
        <w:tc>
          <w:tcPr>
            <w:tcW w:w="2400" w:type="dxa"/>
          </w:tcPr>
          <w:p>
            <w:r>
              <w:t xml:space="preserve">68</w:t>
            </w:r>
          </w:p>
        </w:tc>
        <w:tc>
          <w:tcPr>
            <w:tcW w:w="2400" w:type="dxa"/>
          </w:tcPr>
          <w:p>
            <w:r>
              <w:t xml:space="preserve">35</w:t>
            </w:r>
          </w:p>
        </w:tc>
        <w:tc>
          <w:tcPr>
            <w:tcW w:w="2400" w:type="dxa"/>
          </w:tcPr>
          <w:p>
            <w:r>
              <w:t xml:space="preserve">Region standardized: 'global' -&gt; 'Global'.</w:t>
            </w:r>
          </w:p>
        </w:tc>
        <w:tc>
          <w:tcPr>
            <w:tcW w:w="2400" w:type="dxa"/>
          </w:tcPr>
          <w:p>
            <w:r>
              <w:t xml:space="preserve"/>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Integrated modelling tools to support evidence-based sustainable development policies</w:t>
            </w:r>
          </w:p>
        </w:tc>
        <w:tc>
          <w:tcPr>
            <w:tcW w:w="2400" w:type="dxa"/>
          </w:tcPr>
          <w:p>
            <w:r>
              <w:t xml:space="preserve">2021</w:t>
            </w:r>
          </w:p>
        </w:tc>
        <w:tc>
          <w:tcPr>
            <w:tcW w:w="2400" w:type="dxa"/>
          </w:tcPr>
          <w:p>
            <w:r>
              <w:t xml:space="preserve">EAPD</w:t>
            </w:r>
          </w:p>
        </w:tc>
        <w:tc>
          <w:tcPr>
            <w:tcW w:w="2400" w:type="dxa"/>
          </w:tcPr>
          <w:p>
            <w:r>
              <w:t xml:space="preserve">Bolivia (Plurinational State of), Costa Rica, Democratic Socialist Republic of Sri Lanka, Mexico</w:t>
            </w:r>
          </w:p>
        </w:tc>
        <w:tc>
          <w:tcPr>
            <w:tcW w:w="2400" w:type="dxa"/>
          </w:tcPr>
          <w:p>
            <w:r>
              <w:t xml:space="preserve">- Extend the project or negotiate a new agreement for at least one additional semester in Sri Lanka, with activities directly focused on promoting policy dialogue with the government. / - In Costa Rica, conduct a second training course for public servants already trained, working directly with the model developed by EPERLab. / - Provide direct support to MIDEPLAN in Costa Rica in the methodological definitions of the PEN, to include the information provided by the developed model. / - Adequately define, prior to the establishment of execution agreements with the country, the institution that will act as the focal point of coordination, ensuring it has strategic capacity, technical knowledge, professional teams with high technical capacity and continuity, and the ability to call other public institutions. / - Identify key personnel in the ministries associated with the project, other than the focal point, ensuring they have prior technical training, time available to get involved, and relevant functions related to the modeling work. / - When working with national universities, ensure that agreements assure permanent collaboration mechanisms with public institutions, such as agreements on data ownership and use or including training activities for students. / - Involve political decision-makers from institutions other than the focal point from the beginning of the project and keep them linked in a process of permanent policy dialogue during execution, avoiding only inviting them at the end.</w:t>
            </w:r>
          </w:p>
        </w:tc>
        <w:tc>
          <w:tcPr>
            <w:tcW w:w="2400" w:type="dxa"/>
          </w:tcPr>
          <w:p>
            <w:r>
              <w:t xml:space="preserve">- There are different strategies with positive results to leave capacities installed in the country receiving the methodological transfer, each with its pros and cons. / - It is important to carry out the modeling and training work in a joint and integrated way to contribute to the objective of methodological transfer. / - To achieve an integrated assessment of different dimensions of development, such as the one proposed by CLEWs, it is essential to address simultaneously the technical, political-strategic, and organizational challenges of such integration.</w:t>
            </w:r>
          </w:p>
        </w:tc>
        <w:tc>
          <w:tcPr>
            <w:tcW w:w="2400" w:type="dxa"/>
          </w:tcPr>
          <w:p>
            <w:r>
              <w:t xml:space="preserve">https://unitednations.sharepoint.com/sites/DESA-CDPMO/Shared Documents/General/3. Finance Management/5 - DEVELOPMENT ACCOUNT/DA - DESA/Evaluation reports/10th tranche/EAPD/1617AH Evaluation Report.pdf</w:t>
            </w:r>
          </w:p>
        </w:tc>
        <w:tc>
          <w:tcPr>
            <w:tcW w:w="2400" w:type="dxa"/>
          </w:tcPr>
          <w:p>
            <w:r>
              <w:t xml:space="preserve">Country standardized: 'Bolivia' -&gt; 'Bolivia (Plurinational State of)'. / Country standardized: 'Sri Lanka' -&gt; 'Democratic Socialist Republic of Sri Lanka'.</w:t>
            </w:r>
          </w:p>
        </w:tc>
        <w:tc>
          <w:tcPr>
            <w:tcW w:w="2400" w:type="dxa"/>
          </w:tcPr>
          <w:p>
            <w:r>
              <w:t xml:space="preserve"/>
            </w:r>
          </w:p>
        </w:tc>
      </w:tr>
      <w:tr>
        <w:tc>
          <w:tcPr>
            <w:tcW w:w="2400" w:type="dxa"/>
          </w:tcPr>
          <w:p>
            <w:r>
              <w:t xml:space="preserve">Terminal Evaluation of Project (Final Report) DA13 INFF Project 2124A ‘Towards Integrated National Financing Framework’</w:t>
            </w:r>
          </w:p>
        </w:tc>
        <w:tc>
          <w:tcPr>
            <w:tcW w:w="2400" w:type="dxa"/>
          </w:tcPr>
          <w:p>
            <w:r>
              <w:t xml:space="preserve">2025</w:t>
            </w:r>
          </w:p>
        </w:tc>
        <w:tc>
          <w:tcPr>
            <w:tcW w:w="2400" w:type="dxa"/>
          </w:tcPr>
          <w:p>
            <w:r>
              <w:t xml:space="preserve">FSDO; EAPD</w:t>
            </w:r>
          </w:p>
        </w:tc>
        <w:tc>
          <w:tcPr>
            <w:tcW w:w="2400" w:type="dxa"/>
          </w:tcPr>
          <w:p>
            <w:r>
              <w:t xml:space="preserve">Belarus, Burkina Faso, Costa Rica, Dominican Republic, Egypt, Jordan, Kyrgyzstan, Pakistan, Samoa, Zambia</w:t>
            </w:r>
          </w:p>
        </w:tc>
        <w:tc>
          <w:tcPr>
            <w:tcW w:w="2400" w:type="dxa"/>
          </w:tcPr>
          <w:p>
            <w:r>
              <w:t xml:space="preserve">- Project conceptualisation should be preceded by a scoping session and/or planning meeting between the executing entities and the cooperating entities, to establish synergies, enhance relevance, and minimise risk, including the possibility for and perception of duplicated efforts. / - Clarified roles and responsibilities at the level of project management and activity coordination should be established to allow for efficient oversight throughout the implementation timeframe. / - Guidance documents on the INFF methodology should provide detailed, step-by-step guidelines that can be easily contextualised by the implementing country. / - The FINS project should be scaled up to provide post-project technical assistance to target and non-target countries in response to their requests for context-specific support for INFF implementation. / - A strengthening of the process for finalising and approving the project results framework should be initiated, to ensure that appropriate results targets and performance measurement indicators are established to increase the usefulness of achieved results.</w:t>
            </w:r>
          </w:p>
        </w:tc>
        <w:tc>
          <w:tcPr>
            <w:tcW w:w="2400" w:type="dxa"/>
          </w:tcPr>
          <w:p>
            <w:r>
              <w:t xml:space="preserve">- The project development phase needs to be reliably informed by a detailed assessment of risk, parallel interventions, and the contextual situation in the countries of intervention focus. / - Efficient project oversight is dependent on a clarified overview of roles and responsibilities at the level of project management. / - The effective application of the INFF methodology at the country-level requires detailed step-by-step guidelines to inform contextualisation. / - The ownership of the INFF methodology by national political leadership contributes towards a demand-driven process that is critical for effective implementation. / - A flexible design combined with strategic partnerships contributes towards stronger impact and the maximisation of efficiency and synergies. / - Digital platforms and data infrastructure support effective implementation and enhance knowledge-exchange and sustainability.</w:t>
            </w:r>
          </w:p>
        </w:tc>
        <w:tc>
          <w:tcPr>
            <w:tcW w:w="2400" w:type="dxa"/>
          </w:tcPr>
          <w:p>
            <w:r>
              <w:t xml:space="preserve">https://unitednations.sharepoint.com/sites/DESA-CDPMO/Shared Documents/General/3. Finance Management/5 - DEVELOPMENT ACCOUNT/DA - DESA/03 PROJECTS - CLOSED/FSDO/2124A SB-016729.01 INFF/Evaluation report/REVISED Final Evaluation Report_INFF Evaluation_7OCT2025.docx</w:t>
            </w:r>
          </w:p>
        </w:tc>
        <w:tc>
          <w:tcPr>
            <w:tcW w:w="2400" w:type="dxa"/>
          </w:tcPr>
          <w:p>
            <w:r>
              <w:t xml:space="preserve"/>
            </w:r>
          </w:p>
        </w:tc>
        <w:tc>
          <w:tcPr>
            <w:tcW w:w="2400" w:type="dxa"/>
          </w:tcPr>
          <w:p>
            <w:r>
              <w:t xml:space="preserve"/>
            </w:r>
          </w:p>
        </w:tc>
      </w:tr>
      <w:tr>
        <w:tc>
          <w:tcPr>
            <w:tcW w:w="2400" w:type="dxa"/>
          </w:tcPr>
          <w:p>
            <w:r>
              <w:t xml:space="preserve">Implementation of national sustainable development strategies in selected countries in Africa and Latin America</w:t>
            </w:r>
          </w:p>
        </w:tc>
        <w:tc>
          <w:tcPr>
            <w:tcW w:w="2400" w:type="dxa"/>
          </w:tcPr>
          <w:p>
            <w:r>
              <w:t xml:space="preserve">2020</w:t>
            </w:r>
          </w:p>
        </w:tc>
        <w:tc>
          <w:tcPr>
            <w:tcW w:w="2400" w:type="dxa"/>
          </w:tcPr>
          <w:p>
            <w:r>
              <w:t xml:space="preserve">DSDG</w:t>
            </w:r>
          </w:p>
        </w:tc>
        <w:tc>
          <w:tcPr>
            <w:tcW w:w="2400" w:type="dxa"/>
          </w:tcPr>
          <w:p>
            <w:r>
              <w:t xml:space="preserve">Costa Rica, Egypt, Ethiopia</w:t>
            </w:r>
          </w:p>
        </w:tc>
        <w:tc>
          <w:tcPr>
            <w:tcW w:w="2400" w:type="dxa"/>
          </w:tcPr>
          <w:p>
            <w:r>
              <w:t xml:space="preserve">- Improve the quality of monitoring, data management and progress reporting so that the project's logical framework is more attune with implemented activities and reflects revisions or adaptations of program strategies. Develop a theory of change and update the project's log-frame with SMART indicators at output, outcome and goal levels for greater monitoring and impact measurement. / - Continue to refine the methodology and analytical tools to enhance their utility and continued use by relevant planning professionals from government and non-government sectors. Develop a clear value proposition, user-friendly toolkit, and online training module, and synthesize feedback and lessons learned from different rounds of methodology implementation. / - Strengthen results-based budgeting and financial metrics to help the project measure both efficiency and value for money. Introduce performance-based budgeting to support monitoring and tracking of expenditures per outcome. / - Enhance the provision, monitoring and reporting of technical assistance activities and advisory missions that complement trainings and consultative workshops. Widen the tools available to national governments beyond training workshops to include technical assistance, advisory missions, diagnostic assessments or policy studies. / - Continue to support member states in the localization of the SDGs by engaging and defining the contribution of subnational government levels in the achievement of the 2030 Agenda. Support national authorities to develop or sustain permanent platforms for sub-national level coordination, engagement, monitoring and reporting on SDS implementation. / - Consider supporting formal and permanent mechanisms for multi-stakeholder collaboration in the context of SDS implementation by supporting and activating existing ones, developing governance frameworks, procedures and rules of engagement, and an enabling environment. / - Enhance the sustainability of future trainings through a comprehensive training strategy including the cascading and roll-out of the training programme. Encourage the use of tools in professional training or degree programs for planning professionals and government executives. / - Continue to engage the private sector while investing more effort in creating a shared understanding around the concept of inclusive business partnerships. Provide stakeholders with knowledge and capacities to effectively engage the private sector through sustainable business practices and inclusive business partnerships.</w:t>
            </w:r>
          </w:p>
        </w:tc>
        <w:tc>
          <w:tcPr>
            <w:tcW w:w="2400" w:type="dxa"/>
          </w:tcPr>
          <w:p>
            <w:r>
              <w:t xml:space="preserve">- Aligning the project interventions and scope of the national workshops with government priorities was conducive to addressing needs and priorities across different national contexts and was well perceived by stakeholders. / - Good coordination with other UN agencies in member states supported the successful execution of activities, providing operational and logistical support as well as continuity with previous efforts in SDGs policy analysis. / - Recruitment of local consultants with subject matter expertise in SDGs proved successful, providing adequate knowledge of local contexts, mobilizing government counterparts’ engagement, and facilitating identification of relevant stakeholders. / - Localization of SDGs through engaging government executives at sub-national levels has proven useful, but further engagement is needed to support governments in prioritizing SDGs in local contexts, target setting, developing sub-national governance and follow-up frameworks, and building capacities for monitoring and reporting progress. / - Knowledge acquisition through national workshops can be optimized by integrating more mentoring processes and post-workshop technical assistance to generate enduring learning curves within national planning institutions. / - Indicators used to measure or demonstrate the effectiveness and impact of capacity building need more consideration and articulation during the design phase.</w:t>
            </w:r>
          </w:p>
        </w:tc>
        <w:tc>
          <w:tcPr>
            <w:tcW w:w="2400" w:type="dxa"/>
          </w:tcPr>
          <w:p>
            <w:r>
              <w:t xml:space="preserve">https://unitednations.sharepoint.com/sites/DESA-CDPMO/Shared Documents/General/3. Finance Management/5 - DEVELOPMENT ACCOUNT/DA - DESA/Evaluation reports/10th tranche/DSDG/Final Report_Evaluation of the 10th Tranche DA Project_1617H.pdf</w:t>
            </w:r>
          </w:p>
        </w:tc>
        <w:tc>
          <w:tcPr>
            <w:tcW w:w="2400" w:type="dxa"/>
          </w:tcPr>
          <w:p>
            <w:r>
              <w:t xml:space="preserve"/>
            </w:r>
          </w:p>
        </w:tc>
        <w:tc>
          <w:tcPr>
            <w:tcW w:w="2400" w:type="dxa"/>
          </w:tcPr>
          <w:p>
            <w:r>
              <w:t xml:space="preserve">evaluations.xlsx rows 106 (archived) and 88 (retained): Review conflicts: RecommendationsList differs between document copies; LessonsLearnedList differs between document copies. Country lists were not merged.</w:t>
            </w:r>
          </w:p>
        </w:tc>
      </w:tr>
      <w:tr>
        <w:tc>
          <w:tcPr>
            <w:tcW w:w="2400" w:type="dxa"/>
          </w:tcPr>
          <w:p>
            <w:r>
              <w:t xml:space="preserve">UN Capacity Development Initiative on Enhancing the Resilience, Accessibility, and Sustainability of Infrastructure Assets in Developing Countries in Support of the 2030 Agenda</w:t>
            </w:r>
          </w:p>
        </w:tc>
        <w:tc>
          <w:tcPr>
            <w:tcW w:w="2400" w:type="dxa"/>
          </w:tcPr>
          <w:p>
            <w:r>
              <w:t xml:space="preserve">2025</w:t>
            </w:r>
          </w:p>
        </w:tc>
        <w:tc>
          <w:tcPr>
            <w:tcW w:w="2400" w:type="dxa"/>
          </w:tcPr>
          <w:p>
            <w:r>
              <w:t xml:space="preserve">FSDO; CDPMO</w:t>
            </w:r>
          </w:p>
        </w:tc>
        <w:tc>
          <w:tcPr>
            <w:tcW w:w="2400" w:type="dxa"/>
          </w:tcPr>
          <w:p>
            <w:r>
              <w:t xml:space="preserve">Costa Rica, Gambia, Kenya, Lao People's Democratic Republic, Nepal, United Republic of Tanzania</w:t>
            </w:r>
          </w:p>
        </w:tc>
        <w:tc>
          <w:tcPr>
            <w:tcW w:w="2400" w:type="dxa"/>
          </w:tcPr>
          <w:p>
            <w:r>
              <w:t xml:space="preserve">- Engage major project stakeholders, including International Experts, to reflect on what avenues would be best to dive deeper into Data for IAM, Climate-Resilience, and IAM finance. / - Continue to engage females in selecting workshop participants in the future, especially if they are in senior management positions within the central government. Advocacy for female workshop participants and female focal points could be used. / - Strengthen the Training of Trainers (ToT) component and have a specific budget allocation for it. / - Consider other recruitment processes to address delays due to a large number of qualified applicants. / - When engaging central government officials, increase the amount of time allotted to the process. / - If continuing to use the UNOPS CAT-I Tool, reduce the number of questions or increase the amount of time allotted to the exercise, and streamline the tool to be consistent with the Diagnostic Tool.</w:t>
            </w:r>
          </w:p>
        </w:tc>
        <w:tc>
          <w:tcPr>
            <w:tcW w:w="2400" w:type="dxa"/>
          </w:tcPr>
          <w:p>
            <w:r>
              <w:t xml:space="preserve">- Female representation in workshops is enhanced when women are responsible for the selection of participants, especially in senior management positions. / - The process of engaging a broad base of stakeholders for infrastructure asset management is new in many countries and takes more time than anticipated. / - Customized Training of Trainers (ToT) and partnerships with National Training Institutes are critical for sustainability in capacity development projects. / - Switching project countries in response to political or commitment challenges can be managed efficiently without significant delays to project outcomes. / - Lengthy assessment tools (such as the CAT-I) may fatigue stakeholders and should be streamlined for future use. / - Savings from efficient project management can be reinvested to strengthen key project components, such as additional ToT workshops.</w:t>
            </w:r>
          </w:p>
        </w:tc>
        <w:tc>
          <w:tcPr>
            <w:tcW w:w="2400" w:type="dxa"/>
          </w:tcPr>
          <w:p>
            <w:r>
              <w:t xml:space="preserve">https://unitednations.sharepoint.com/sites/DESA-CDPMO/Shared Documents/General/6. Peace and Development TF/8. Funded projects/2021/PDF-2021-03 DESA-FSDO/Reports/Fin Rep_Evaluation/FINAL Evaluation Report 12 May.pdf</w:t>
            </w:r>
          </w:p>
        </w:tc>
        <w:tc>
          <w:tcPr>
            <w:tcW w:w="2400" w:type="dxa"/>
          </w:tcPr>
          <w:p>
            <w:r>
              <w:t xml:space="preserve">Country standardized: 'The Gambia' -&gt; 'Gambia'.</w:t>
            </w:r>
          </w:p>
        </w:tc>
        <w:tc>
          <w:tcPr>
            <w:tcW w:w="2400" w:type="dxa"/>
          </w:tcPr>
          <w:p>
            <w:r>
              <w:t xml:space="preserve"/>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Strengthening capacity of National Tax Administrations of Developing Countries in Latin America to reduce Tax Transaction Costs and thereby maximize tax revenues</w:t>
            </w:r>
          </w:p>
        </w:tc>
        <w:tc>
          <w:tcPr>
            <w:tcW w:w="2400" w:type="dxa"/>
          </w:tcPr>
          <w:p>
            <w:r>
              <w:t xml:space="preserve">2014</w:t>
            </w:r>
          </w:p>
        </w:tc>
        <w:tc>
          <w:tcPr>
            <w:tcW w:w="2400" w:type="dxa"/>
          </w:tcPr>
          <w:p>
            <w:r>
              <w:t xml:space="preserve">FSDO</w:t>
            </w:r>
          </w:p>
        </w:tc>
        <w:tc>
          <w:tcPr>
            <w:tcW w:w="2400" w:type="dxa"/>
          </w:tcPr>
          <w:p>
            <w:r>
              <w:t xml:space="preserve">Bolivia (Plurinational State of), Brazil, Chile, Colombia, Costa Rica, Dominican Republic, Ecuador, El Salvador, Guatemala, Honduras, Mexico, Nicaragua, Panama, Paraguay, Peru, Uruguay</w:t>
            </w:r>
          </w:p>
        </w:tc>
        <w:tc>
          <w:tcPr>
            <w:tcW w:w="2400" w:type="dxa"/>
          </w:tcPr>
          <w:p>
            <w:r>
              <w:t xml:space="preserve">- Ensure pilot countries have all necessary data available, including up-to-date and filtered taxpayer databases and appropriate sample weighting, before selection. / - Select countries that have not recently undergone major tax reforms to avoid distortion of TTCs due to adaptation processes. / - Include qualitative aspects such as psychological costs as part of non-economic costs in future TTCs studies to better understand results. / - Adapt survey implementation methods to the context (e.g., face-to-face vs. online) and include control questions to improve data quality. / - Encourage NTAs to seek synergies with other public institutions for information gathering and fieldwork support.</w:t>
            </w:r>
          </w:p>
        </w:tc>
        <w:tc>
          <w:tcPr>
            <w:tcW w:w="2400" w:type="dxa"/>
          </w:tcPr>
          <w:p>
            <w:r>
              <w:t xml:space="preserve">- Institutional support and commitment from NTAs are decisive factors for successful project implementation and sustainability. / - A thorough methodology that includes both administrative and compliance costs, considers the taxpayer cycle, and covers all relevant taxes is effective for TTC measurement. / - Allowing each country to choose its own survey method, considering size and cultural context, can improve implementation but may affect comparability. / - CIAT's coordination and reputation are critical for engaging countries and ensuring project sustainability. / - The methodology is generally easy to apply in interested countries, but successful implementation depends on institutional support and well-designed databases.</w:t>
            </w:r>
          </w:p>
        </w:tc>
        <w:tc>
          <w:tcPr>
            <w:tcW w:w="2400" w:type="dxa"/>
          </w:tcPr>
          <w:p>
            <w:r>
              <w:t xml:space="preserve">https://unitednations.sharepoint.com/sites/DESA-CDPMO/Shared Documents/General/3. Finance Management/5 - DEVELOPMENT ACCOUNT/DA - DESA/03 PROJECTS - CLOSED/FSDO/ROA181-6B/Evaluation/Evaluation Report- FINAL.pdf</w:t>
            </w:r>
          </w:p>
        </w:tc>
        <w:tc>
          <w:tcPr>
            <w:tcW w:w="2400" w:type="dxa"/>
          </w:tcPr>
          <w:p>
            <w:r>
              <w:t xml:space="preserve">Country standardized: 'Bolivia' -&gt; 'Bolivia (Plurinational State of)'.</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Supporting the establishment of a Latin American Parliamentary Knowledge Network</w:t>
            </w:r>
          </w:p>
        </w:tc>
        <w:tc>
          <w:tcPr>
            <w:tcW w:w="2400" w:type="dxa"/>
          </w:tcPr>
          <w:p>
            <w:r>
              <w:t xml:space="preserve">2014</w:t>
            </w:r>
          </w:p>
        </w:tc>
        <w:tc>
          <w:tcPr>
            <w:tcW w:w="2400" w:type="dxa"/>
          </w:tcPr>
          <w:p>
            <w:r>
              <w:t xml:space="preserve">DPIDG</w:t>
            </w:r>
          </w:p>
        </w:tc>
        <w:tc>
          <w:tcPr>
            <w:tcW w:w="2400" w:type="dxa"/>
          </w:tcPr>
          <w:p>
            <w:r>
              <w:t xml:space="preserve">Argentina, Barbados, Bolivia (Plurinational State of), Brazil, Chile, Colombia, Costa Rica, Ecuador, El Salvador, Guatemala, Guyana, Mexico, Nicaragua, Panama, Paraguay, Saint Vincent and the Grenadines, Suriname, Trinidad and Tobago, Uruguay</w:t>
            </w:r>
          </w:p>
        </w:tc>
        <w:tc>
          <w:tcPr>
            <w:tcW w:w="2400" w:type="dxa"/>
          </w:tcPr>
          <w:p>
            <w:r>
              <w:t xml:space="preserve">- Establish regional agreement and resources for hosting of the Secretariat to ensure that it is properly funded and resourced and that the commitment for this is shared amongst those parliaments that can afford it. / - Expand opportunities for take part in network activities and extend these beyond those parliaments who have formally signed up to RIPALC. / - Ensure appropriate ongoing resources are committed to the digital portal as this is a critical component of the network and vital to ensuring the ongoing operation and relevance of it. / - Participants right across the region need to be encouraged to take ownership of the communities of interest and to see RIPALC as a place to learn, share and network. Ensuring the grass-roots value and use of the network will be the single most significant factor in the networks long term sustainability. / - RIPALC needs to be flexible and responsive to the needs of the users and allow them to create new communities of interest and for the model to develop to suit their requirements, it must be driven by demand, not controlled from the top down. / - It is important that RIPALC maintains the ability to run regional workshops and meetings so that parliamentary staff can network and collaborate. Digital networks are important and they help to sustain relationships and act as timely conduits for knowledge exchange, but they do not replace face to face meetings as a way of building social capital. / - Inter-parliamentary collaboration remains a priority and was seen by participants as a key pre-requisite for democratic strengthening in the region and RIPALC is an ideal vehicle to facilitate and support this.</w:t>
            </w:r>
          </w:p>
        </w:tc>
        <w:tc>
          <w:tcPr>
            <w:tcW w:w="2400" w:type="dxa"/>
          </w:tcPr>
          <w:p>
            <w:r>
              <w:t xml:space="preserve">- The RIPALC network was a timely and appropriate development for the region and has been well received by the participants in it. / - The clear weakness in the project was to rigidly implement a governance model based on the long-established ECPRD structure. This has proved restrictive and inflexible in the case of RIPALC and it has inhibited growth. A more organic and less rigid structure would have been more appropriate. / - Projects such as this need some level of formality and process if they are to be seen as reliable and trustworthy by parliaments, but the network must develop in line with the culture and expectations of the region it covers and duplicating a model from elsewhere can limit take-up. / - The network has become a force for active parliamentary development in the region, a timely catalyst to build on a growing desire for strong parliaments and recognition that it is important for parliaments to collaborate and share ideas, knowledge and experience. / - The network has successfully delivered face-to-face meetings and workshops, which are vital for building and sustaining relationships between parliaments, and has acted as a ‘role model’ for inter-parliamentary collaboration in a region where this is a relatively new and unknown concept. / - The web portal provides a fast and easy way for parliamentary staff to stay in touch and to discuss, advise and be advised about good practice and emergent issues in their field, which is particularly important for smaller legislatures. / - Though the uptake has been slower than expected, this is seen as a result of the structural limitations of RIPALC. In the medium to long term, the Secretariat needs to ensure that the portal is able to meet the needs and demands of its stakeholders and that it is promoted to all parliaments in the region, regardless of their formal membership of RIPALC.</w:t>
            </w:r>
          </w:p>
        </w:tc>
        <w:tc>
          <w:tcPr>
            <w:tcW w:w="2400" w:type="dxa"/>
          </w:tcPr>
          <w:p>
            <w:r>
              <w:t xml:space="preserve">https://unitednations.sharepoint.com/sites/DESA-CDPMO/Shared Documents/General/3. Finance Management/5 - DEVELOPMENT ACCOUNT/DA - DESA/Evaluation reports/7th tranche/ROA 163 (DPADM)/RIPALC.Evaluation.FinalReport-1.0.docx</w:t>
            </w:r>
          </w:p>
        </w:tc>
        <w:tc>
          <w:tcPr>
            <w:tcW w:w="2400" w:type="dxa"/>
          </w:tcPr>
          <w:p>
            <w:r>
              <w:t xml:space="preserve">Country standardized: 'Bolivia' -&gt; 'Bolivia (Plurinational State of)'. / Country standardized: 'St Vincent and the Grenadines' -&gt; 'Saint Vincent and the Grenadines'.</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Development Account Project -8th Tranche “Strengthening the capacity of selected developing countries to mainstream sustainable development into national development strategies”</w:t>
            </w:r>
          </w:p>
        </w:tc>
        <w:tc>
          <w:tcPr>
            <w:tcW w:w="2400" w:type="dxa"/>
          </w:tcPr>
          <w:p>
            <w:r>
              <w:t xml:space="preserve">2016</w:t>
            </w:r>
          </w:p>
        </w:tc>
        <w:tc>
          <w:tcPr>
            <w:tcW w:w="2400" w:type="dxa"/>
          </w:tcPr>
          <w:p>
            <w:r>
              <w:t xml:space="preserve">DSDG</w:t>
            </w:r>
          </w:p>
        </w:tc>
        <w:tc>
          <w:tcPr>
            <w:tcW w:w="2400" w:type="dxa"/>
          </w:tcPr>
          <w:p>
            <w:r>
              <w:t xml:space="preserve">Belize, Costa Rica, Ethiopia, Honduras, Togo, Uganda, Viet Nam</w:t>
            </w:r>
          </w:p>
        </w:tc>
        <w:tc>
          <w:tcPr>
            <w:tcW w:w="2400" w:type="dxa"/>
          </w:tcPr>
          <w:p>
            <w:r>
              <w:t xml:space="preserve">- Continue to focus on the DA-8 project achievements, especially through the appropriate mix of approaches established and fine-tuned during the past two years. Higher Management needs to decide sooner than later the fate of the global learning network as well as critical means for DESA/DSD to maintain its natural niche and preserve its comparative advantage toward the 2030 Agenda on sustainable development. / - Facilitate the conduct of more intra-regional workshops and training among neighboring countries to create greater opportunities for synergy of actions and for sharing best practices from a regional perspective. Such an approach would enhance regional sustainability and allow economy of scale for DESA/DSD. / - Enhance the capacity of civil society organizations and multi-stakeholders (other than Government representatives) to play a more active role in policy dialogue designed to integrate sustainable development into national policies and strategies. Strong participation of multiple stakeholders will ensure greater local ownership and increase the potential viability of these activities after DESA/DSD involvement ends. / - Focus more on results in gender related issues and sustainable development; greater participation of women organizations in policy dialogue on sustainable development will ensure greater attention of ministries involved in this cross-cutting issue. / - Consider developing an exit strategy as part of the approach for supporting selected countries in a time limit and identifying ways of not abandoning those in more urgent needs. The exit strategy should be supported by incentives to encourage recipient countries to explore other sources of funding and other means for resource mobilization. / - Explore effective mechanisms to develop partnerships, coordinate and harmonize more its actions in the field with other like-minded donors and UN Agencies on sustainable development; joint funding should be considered given DESA/DSD limited budget and the accomplishments and relevance of the DA-8 activities. / - Facilitate better internal synergy between Divisions and services (Financial, HR, Technology) at HQ in terms of sequential actions between Tranches: 8, 9 and 10. This will require developing and strengthening monitoring and evaluation mechanisms, making evaluation an integral part of the project design, greater involvement of partners/stakeholders throughout the evaluation process, and sharing evaluation results, progress reports as well as shortfalls. / - Encourage countries to establish, with existing expertise, an administrative structure that would facilitate better synergy and coordination within the government, national ownership and appropriation, involving multiple Ministries and state institutions.</w:t>
            </w:r>
          </w:p>
        </w:tc>
        <w:tc>
          <w:tcPr>
            <w:tcW w:w="2400" w:type="dxa"/>
          </w:tcPr>
          <w:p>
            <w:r>
              <w:t xml:space="preserve">- The DA-8 project evolved in very challenging and complex environments as it was implemented simultaneously in seven different countries, but proved relevant to all selected countries. Project design and implementation processes need to be flexible enough to adapt to each country’s evolving context and environment. / - The establishment of a very inclusive stakeholder platform, complemented by strong political will, high-level commitment, political stability or continuity, and clear definition of roles and responsibilities, creates favorable conditions for successful implementation of sustainable development strategies. / - Developing strategic alliances or partnering with other like-minded institutions is crucial for successful coordination and implementation in the field. Clear terms and roles between partner UN agencies and other donors are important before implementation. / - High-level government officials need to be engaged in every phase of the project, including broad consultation and policy dialogue, to ensure buy-in and ownership. Commitment of resources and time is essential to secure broad societal support. / - Scoping analysis, missions, and annual reports on project implementation are good practices for learning and provide critical information for current and future projects, but need to be transformed into more strategic tools for decision making. / - National and regional workshops and expert group meetings are effective consultation mechanisms, but should be truly representative and inclusive by facilitating participation of a broader spectrum of stakeholders, including civil society organizations, private sector, and women organizations. / - Guidance Notes and Training Manuals produced in partnership with UNITAR are effective tools for raising awareness and sharing lessons learned, but need to be adapted to local and municipal realities.</w:t>
            </w:r>
          </w:p>
        </w:tc>
        <w:tc>
          <w:tcPr>
            <w:tcW w:w="2400" w:type="dxa"/>
          </w:tcPr>
          <w:p>
            <w:r>
              <w:t xml:space="preserve">https://unitednations.sharepoint.com/sites/DESA-CDPMO/Shared Documents/General/3. Finance Management/5 - DEVELOPMENT ACCOUNT/DA - DESA/Audits/2018 Audit information/ROA 208 - DSD Final Evaluation Report.pdf</w:t>
            </w:r>
          </w:p>
        </w:tc>
        <w:tc>
          <w:tcPr>
            <w:tcW w:w="2400" w:type="dxa"/>
          </w:tcPr>
          <w:p>
            <w:r>
              <w:t xml:space="preserve">Country standardized: 'Vietnam' -&gt; 'Viet Nam'.</w:t>
            </w:r>
          </w:p>
        </w:tc>
        <w:tc>
          <w:tcPr>
            <w:tcW w:w="2400" w:type="dxa"/>
          </w:tcPr>
          <w:p>
            <w:r>
              <w:t xml:space="preserve"/>
            </w:r>
          </w:p>
        </w:tc>
      </w:tr>
      <w:tr>
        <w:tc>
          <w:tcPr>
            <w:tcW w:w="2400" w:type="dxa"/>
          </w:tcPr>
          <w:p>
            <w:r>
              <w:t xml:space="preserve">Development Account Project - 8th Tranche: Strengthening the capacity of selected developing countries to mainstream sustainable development into national development strategies</w:t>
            </w:r>
          </w:p>
        </w:tc>
        <w:tc>
          <w:tcPr>
            <w:tcW w:w="2400" w:type="dxa"/>
          </w:tcPr>
          <w:p>
            <w:r>
              <w:t xml:space="preserve">2016</w:t>
            </w:r>
          </w:p>
        </w:tc>
        <w:tc>
          <w:tcPr>
            <w:tcW w:w="2400" w:type="dxa"/>
          </w:tcPr>
          <w:p>
            <w:r>
              <w:t xml:space="preserve">DSDG</w:t>
            </w:r>
          </w:p>
        </w:tc>
        <w:tc>
          <w:tcPr>
            <w:tcW w:w="2400" w:type="dxa"/>
          </w:tcPr>
          <w:p>
            <w:r>
              <w:t xml:space="preserve">Belize, Costa Rica, Ethiopia, Honduras, Togo, Uganda, Viet Nam</w:t>
            </w:r>
          </w:p>
        </w:tc>
        <w:tc>
          <w:tcPr>
            <w:tcW w:w="2400" w:type="dxa"/>
          </w:tcPr>
          <w:p>
            <w:r>
              <w:t xml:space="preserve">- Continue to focus on the DA-8 project achievements, especially through the appropriate mix of approaches established and fine-tuned during the past two years. Higher Management needs to decide sooner than later the fate of the global learning network as well as critical means for DESA/DSD to maintain its natural niche and preserve its comparative advantage toward the 2030 Agenda on sustainable development. / - Facilitate the conduct of more intra-regional workshops and training among neighboring countries to create greater opportunities for synergy of actions and for sharing best practices from a regional perspective. Such an approach would enhance regional sustainability and allow economy of scale for DESA/DSD. / - Enhance the capacity of civil society organizations and multi-stakeholders (other than Government representatives) to play a more active role in policy dialogue designed to integrate sustainable development into national policies and strategies. Strong participation of multiple stakeholders will ensure greater local ownership and increase the potential viability of these activities after DESA/DSD involvement ends. / - Focus more on results in gender related issues and sustainable development; greater participation of women organizations in policy dialogue on sustainable development will ensure greater attention of ministries involved in this cross-cutting issue. / - Consider developing an exit strategy as part of the approach for supporting selected countries in a time limit and identifying ways of not abandoning those in more urgent needs. The exit strategy should be supported by incentives to encourage recipient countries to explore other sources of funding and other means for resource mobilization. / - Explore effective mechanisms to develop partnerships, coordinate and harmonize more actions in the field with other like-minded donors and UN Agencies on sustainable development; joint funding should be considered given DESA/DSD limited budget and the accomplishments and relevance of the DA-8 activities. / - Facilitate better internal synergy between Divisions and services (Financial, HR, Technology) at HQ in terms of sequential actions between Tranches 8, 9 and 10. This will require developing and strengthening monitoring and evaluation mechanisms, making evaluation an integral part of the project design, greater involvement of partners/stakeholders throughout the evaluation process, and sharing evaluation results, progress reports as well as shortfalls. / - Encourage countries to establish, with existing expertise, an administrative structure that would facilitate better synergy and coordination within the government, national ownership and appropriation, involving multiple Ministries and state institutions.</w:t>
            </w:r>
          </w:p>
        </w:tc>
        <w:tc>
          <w:tcPr>
            <w:tcW w:w="2400" w:type="dxa"/>
          </w:tcPr>
          <w:p>
            <w:r>
              <w:t xml:space="preserve">- The DA-8 project evolved in very challenging and complex environments as it was implemented simultaneously in seven different countries, but proved relevant to all selected countries. Project design and implementation need to be flexible enough to adapt to each country’s evolving context and environment. / - The establishment of a very inclusive stakeholder platform, complemented by strong political will, high-level commitment, political stability or continuity, and clear definition of roles and responsibilities, creates favorable conditions for successful implementation of sustainable development strategies. / - Developing strategic alliances or partnering with other like-minded institutions is crucial for successful coordination and implementation in the field. Clear terms and roles between partner UN agencies and other donors are important before implementation. / - High-level government officials need to be engaged in every phase of the project, including broad consultation and policy dialogue, to ensure buy-in and ownership. Commitment of resources and time is essential for securing broad societal support. / - Project management should ensure that government is accountable for engaging broader CSO participation and coordinate with existing national development efforts.</w:t>
            </w:r>
          </w:p>
        </w:tc>
        <w:tc>
          <w:tcPr>
            <w:tcW w:w="2400" w:type="dxa"/>
          </w:tcPr>
          <w:p>
            <w:r>
              <w:t xml:space="preserve">https://unitednations.sharepoint.com/sites/DESA-CDPMO/Shared Documents/General/3. Finance Management/5 - DEVELOPMENT ACCOUNT/DA - DESA/Audits/2018 Audit information/Word docs/ROA 208 - DSD Final Evaluation Report.docx</w:t>
            </w:r>
          </w:p>
        </w:tc>
        <w:tc>
          <w:tcPr>
            <w:tcW w:w="2400" w:type="dxa"/>
          </w:tcPr>
          <w:p>
            <w:r>
              <w:t xml:space="preserve">Country standardized: 'Vietnam' -&gt; 'Viet Nam'.</w:t>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rows 106 (archived) and 88 (retained): Review conflicts: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5</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6</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7</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8</w:t>
            </w:r>
          </w:p>
        </w:tc>
        <w:tc>
          <w:tcPr>
            <w:tcW w:w="2400" w:type="dxa"/>
          </w:tcPr>
          <w:p>
            <w:r>
              <w:t xml:space="preserve">GeoData_with_ISO3166_alpha3.xlsx: last modified 2026-05-22, more than 30 days before ingestion (134 days).</w:t>
            </w:r>
          </w:p>
        </w:tc>
      </w:tr>
      <w:tr>
        <w:tc>
          <w:tcPr>
            <w:tcW w:w="2400" w:type="dxa"/>
          </w:tcPr>
          <w:p>
            <w:r>
              <w:t xml:space="preserve">9</w:t>
            </w:r>
          </w:p>
        </w:tc>
        <w:tc>
          <w:tcPr>
            <w:tcW w:w="2400" w:type="dxa"/>
          </w:tcPr>
          <w:p>
            <w:r>
              <w:t xml:space="preserve">proposals.xlsx record 'SB-001376.99.99.32|row:49': 'f_cashGov' has non-numeric value 'N/A'.</w:t>
            </w:r>
          </w:p>
        </w:tc>
      </w:tr>
      <w:tr>
        <w:tc>
          <w:tcPr>
            <w:tcW w:w="2400" w:type="dxa"/>
          </w:tcPr>
          <w:p>
            <w:r>
              <w:t xml:space="preserve">10</w:t>
            </w:r>
          </w:p>
        </w:tc>
        <w:tc>
          <w:tcPr>
            <w:tcW w:w="2400" w:type="dxa"/>
          </w:tcPr>
          <w:p>
            <w:r>
              <w:t xml:space="preserve">proposals.xlsx record 'SB-001376.99.99.32|row:49': 'f_cashOther' has non-numeric value 'N/A'.</w:t>
            </w:r>
          </w:p>
        </w:tc>
      </w:tr>
      <w:tr>
        <w:tc>
          <w:tcPr>
            <w:tcW w:w="2400" w:type="dxa"/>
          </w:tcPr>
          <w:p>
            <w:r>
              <w:t xml:space="preserve">11</w:t>
            </w:r>
          </w:p>
        </w:tc>
        <w:tc>
          <w:tcPr>
            <w:tcW w:w="2400" w:type="dxa"/>
          </w:tcPr>
          <w:p>
            <w:r>
              <w:t xml:space="preserve">proposals.xlsx record 'SB-001376.99.99.39|row:74': 'costConferenceServices' has non-numeric value '0||0||$'.</w:t>
            </w:r>
          </w:p>
        </w:tc>
      </w:tr>
      <w:tr>
        <w:tc>
          <w:tcPr>
            <w:tcW w:w="2400" w:type="dxa"/>
          </w:tcPr>
          <w:p>
            <w:r>
              <w:t xml:space="preserve">12</w:t>
            </w:r>
          </w:p>
        </w:tc>
        <w:tc>
          <w:tcPr>
            <w:tcW w:w="2400" w:type="dxa"/>
          </w:tcPr>
          <w:p>
            <w:r>
              <w:t xml:space="preserve">proposals.xlsx record 'SB-001376.99.99.39|row:74': 'costTravelConsultants' has non-numeric value '4,098||4,098||$'.</w:t>
            </w:r>
          </w:p>
        </w:tc>
      </w:tr>
      <w:tr>
        <w:tc>
          <w:tcPr>
            <w:tcW w:w="2400" w:type="dxa"/>
          </w:tcPr>
          <w:p>
            <w:r>
              <w:t xml:space="preserve">13</w:t>
            </w:r>
          </w:p>
        </w:tc>
        <w:tc>
          <w:tcPr>
            <w:tcW w:w="2400" w:type="dxa"/>
          </w:tcPr>
          <w:p>
            <w:r>
              <w:t xml:space="preserve">proposals.xlsx record 'SB-001376.99.99.39|row:74': 'costTravelParticipants' has non-numeric value '0||0||$'.</w:t>
            </w:r>
          </w:p>
        </w:tc>
      </w:tr>
      <w:tr>
        <w:tc>
          <w:tcPr>
            <w:tcW w:w="2400" w:type="dxa"/>
          </w:tcPr>
          <w:p>
            <w:r>
              <w:t xml:space="preserve">14</w:t>
            </w:r>
          </w:p>
        </w:tc>
        <w:tc>
          <w:tcPr>
            <w:tcW w:w="2400" w:type="dxa"/>
          </w:tcPr>
          <w:p>
            <w:r>
              <w:t xml:space="preserve">proposals.xlsx record 'SB-001376.99.99.39|row:74': 'costTravelStaff' has non-numeric value '2,701||2,701||$'.</w:t>
            </w:r>
          </w:p>
        </w:tc>
      </w:tr>
      <w:tr>
        <w:tc>
          <w:tcPr>
            <w:tcW w:w="2400" w:type="dxa"/>
          </w:tcPr>
          <w:p>
            <w:r>
              <w:t xml:space="preserve">15</w:t>
            </w:r>
          </w:p>
        </w:tc>
        <w:tc>
          <w:tcPr>
            <w:tcW w:w="2400" w:type="dxa"/>
          </w:tcPr>
          <w:p>
            <w:r>
              <w:t xml:space="preserve">proposals.xlsx record 'SB-001376.99.99.39|row:74': 'f_cashDESA' has non-numeric value 'US$ 6,799'.</w:t>
            </w:r>
          </w:p>
        </w:tc>
      </w:tr>
      <w:tr>
        <w:tc>
          <w:tcPr>
            <w:tcW w:w="2400" w:type="dxa"/>
          </w:tcPr>
          <w:p>
            <w:r>
              <w:t xml:space="preserve">16</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17</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18</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19</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20</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21</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22</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23</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24</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25</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26</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27</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28</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29</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30</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31</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32</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33</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34</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35</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36</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37</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38</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39</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40</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41</w:t>
            </w:r>
          </w:p>
        </w:tc>
        <w:tc>
          <w:tcPr>
            <w:tcW w:w="2400" w:type="dxa"/>
          </w:tcPr>
          <w:p>
            <w:r>
              <w:t xml:space="preserve">Resolved - Action: duplicate evaluation at evaluations.xlsx row 306 removed; retained row 297 ().</w:t>
            </w:r>
          </w:p>
        </w:tc>
      </w:tr>
      <w:tr>
        <w:tc>
          <w:tcPr>
            <w:tcW w:w="2400" w:type="dxa"/>
          </w:tcPr>
          <w:p>
            <w:r>
              <w:t xml:space="preserve">42</w:t>
            </w:r>
          </w:p>
        </w:tc>
        <w:tc>
          <w:tcPr>
            <w:tcW w:w="2400" w:type="dxa"/>
          </w:tcPr>
          <w:p>
            <w:r>
              <w:t xml:space="preserve">Resolved - Action: duplicate evaluation at evaluations.xlsx row 332 removed; retained row 302 ().</w:t>
            </w:r>
          </w:p>
        </w:tc>
      </w:tr>
      <w:tr>
        <w:tc>
          <w:tcPr>
            <w:tcW w:w="2400" w:type="dxa"/>
          </w:tcPr>
          <w:p>
            <w:r>
              <w:t xml:space="preserve">43</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44</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45</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46</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47</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48</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49</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50</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51</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52</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53</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54</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55</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56</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57</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58</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59</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60</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61</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62</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