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Dominican Republic</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Dominican Republic is presented in this country card as part of Americas, with Dominican Republic also associated with an unspecified subregion and the SIDS grouping. The filtered data for Dominican Republic highlights 11 projects for Dominican Republic, including 3 active or planned projects for Dominican Republic and 8 completed or closed projects for Dominican Republic.</w:t>
      </w:r>
    </w:p>
    <w:p>
      <w:r>
        <w:t xml:space="preserve">For Dominican Republic, the report includes 22 requests for Dominican Republic, 5 RPTC proposals for Dominican Republic, 1 RPTC activities for Dominican Republic, and 2 travel records for Dominican Republic. Financially, Dominican Republic shows USD 10,039,288 in project budget, $269,700 in proposal planned budget, and $6,688 in consumed RPTC activity budget for Dominican Republic.</w:t>
      </w:r>
    </w:p>
    <w:p>
      <w:r>
        <w:t xml:space="preserve">The main organizational coverage for Dominican Republic points to Division for Inclusive Social Development, Division for Public Institutions and Digital Government, Financing for Sustainable Development Office, FSDO. Activity records for Dominican Republic list 1,299 participants, including 665 women participants, the current quality review for Dominican Republic includes 64 data quality notes. Current highlights for Dominican Republic include a request focus for Dominican Republic: 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w:t>
      </w:r>
      <w:r>
        <w:br/>
        <w:t xml:space="preserve"/>
      </w:r>
      <w:r>
        <w:br/>
        <w:t xml:space="preserve">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w:t>
      </w:r>
      <w:r>
        <w:br/>
        <w:t xml:space="preserve"/>
      </w:r>
      <w:r>
        <w:br/>
        <w:t xml:space="preserve">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 an RPTC proposal focus for Dominican Republic: Workshop on the use of interoperability standards for the management of geographical names “Linking Geographical Names, the Disaggregation and Localization of Sustainable Development Goals and the Semantic Web”; an activity focus for Dominican Republic: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11</w:t>
            </w:r>
          </w:p>
        </w:tc>
      </w:tr>
      <w:tr>
        <w:tc>
          <w:tcPr>
            <w:tcW w:w="2400" w:type="dxa"/>
          </w:tcPr>
          <w:p>
            <w:r>
              <w:t xml:space="preserve">Project budget</w:t>
            </w:r>
          </w:p>
        </w:tc>
        <w:tc>
          <w:tcPr>
            <w:tcW w:w="2400" w:type="dxa"/>
          </w:tcPr>
          <w:p>
            <w:r>
              <w:t xml:space="preserve">USD 10,039,288</w:t>
            </w:r>
          </w:p>
        </w:tc>
      </w:tr>
      <w:tr>
        <w:tc>
          <w:tcPr>
            <w:tcW w:w="2400" w:type="dxa"/>
          </w:tcPr>
          <w:p>
            <w:r>
              <w:t xml:space="preserve">Requests</w:t>
            </w:r>
          </w:p>
        </w:tc>
        <w:tc>
          <w:tcPr>
            <w:tcW w:w="2400" w:type="dxa"/>
          </w:tcPr>
          <w:p>
            <w:r>
              <w:t xml:space="preserve">22</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$269,700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5</w:t>
            </w:r>
          </w:p>
        </w:tc>
      </w:tr>
      <w:tr>
        <w:tc>
          <w:tcPr>
            <w:tcW w:w="2400" w:type="dxa"/>
          </w:tcPr>
          <w:p>
            <w:r>
              <w:t xml:space="preserve">Data quality notes</w:t>
            </w:r>
          </w:p>
        </w:tc>
        <w:tc>
          <w:tcPr>
            <w:tcW w:w="2400" w:type="dxa"/>
          </w:tcPr>
          <w:p>
            <w:r>
              <w:t xml:space="preserve">64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2124C</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28 Jun 2024</w:t>
            </w:r>
          </w:p>
        </w:tc>
        <w:tc>
          <w:tcPr>
            <w:tcW w:w="2400" w:type="dxa"/>
          </w:tcPr>
          <w:p>
            <w:r>
              <w:t xml:space="preserve">USD 624,000</w:t>
            </w:r>
          </w:p>
        </w:tc>
        <w:tc>
          <w:tcPr>
            <w:tcW w:w="2400" w:type="dxa"/>
          </w:tcPr>
          <w:p>
            <w:r>
              <w:t xml:space="preserve">Bhutan, Cameroon, Chile, Democratic Socialist Republic of Sri Lanka, Dominican Republic, Ecuador, Namibia, United Republic of Tanzania</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Advancing Gender Empowerment and Innovation for Latin America and Caribbean</w:t>
            </w:r>
          </w:p>
        </w:tc>
        <w:tc>
          <w:tcPr>
            <w:tcW w:w="2400" w:type="dxa"/>
          </w:tcPr>
          <w:p>
            <w:r>
              <w:t xml:space="preserve">2629B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938,800</w:t>
            </w:r>
          </w:p>
        </w:tc>
        <w:tc>
          <w:tcPr>
            <w:tcW w:w="2400" w:type="dxa"/>
          </w:tcPr>
          <w:p>
            <w:r>
              <w:t xml:space="preserve">Argentina, Dominican Republic, Federation of Saint Kitts and Nevis, Guatemala, Honduras, Jamaica</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Collection and use of international migration data in the context of the 2030 Agenda</w:t>
            </w:r>
          </w:p>
        </w:tc>
        <w:tc>
          <w:tcPr>
            <w:tcW w:w="2400" w:type="dxa"/>
          </w:tcPr>
          <w:p>
            <w:r>
              <w:t xml:space="preserve">1819E</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800,000</w:t>
            </w:r>
          </w:p>
        </w:tc>
        <w:tc>
          <w:tcPr>
            <w:tcW w:w="2400" w:type="dxa"/>
          </w:tcPr>
          <w:p>
            <w:r>
              <w:t xml:space="preserve">Argentina, Dominican Republic, Georgia, Jordan, Mexico, Thailand</w:t>
            </w:r>
          </w:p>
        </w:tc>
        <w:tc>
          <w:tcPr>
            <w:tcW w:w="2400" w:type="dxa"/>
          </w:tcPr>
          <w:p>
            <w:r>
              <w:t xml:space="preserve"/>
            </w:r>
          </w:p>
        </w:tc>
        <w:tc>
          <w:tcPr>
            <w:tcW w:w="2400" w:type="dxa"/>
          </w:tcPr>
          <w:p>
            <w:r>
              <w:t xml:space="preserve"/>
            </w:r>
          </w:p>
        </w:tc>
      </w:tr>
      <w:tr>
        <w:tc>
          <w:tcPr>
            <w:tcW w:w="2400" w:type="dxa"/>
          </w:tcPr>
          <w:p>
            <w:r>
              <w:t xml:space="preserve">Evidence-based Climate Action through Artificial Intelligence and Data Innovation for Caribbean SIDS</w:t>
            </w:r>
          </w:p>
        </w:tc>
        <w:tc>
          <w:tcPr>
            <w:tcW w:w="2400" w:type="dxa"/>
          </w:tcPr>
          <w:p>
            <w:r>
              <w:t xml:space="preserve">2528A</w:t>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15 Apr 2025</w:t>
            </w:r>
          </w:p>
        </w:tc>
        <w:tc>
          <w:tcPr>
            <w:tcW w:w="2400" w:type="dxa"/>
          </w:tcPr>
          <w:p>
            <w:r>
              <w:t xml:space="preserve">31 Dec 2028</w:t>
            </w:r>
          </w:p>
        </w:tc>
        <w:tc>
          <w:tcPr>
            <w:tcW w:w="2400" w:type="dxa"/>
          </w:tcPr>
          <w:p>
            <w:r>
              <w:t xml:space="preserve">USD 803,520</w:t>
            </w:r>
          </w:p>
        </w:tc>
        <w:tc>
          <w:tcPr>
            <w:tcW w:w="2400" w:type="dxa"/>
          </w:tcPr>
          <w:p>
            <w:r>
              <w:t xml:space="preserve">Barbados, Belize, Dominican Republic, Trinidad and Tobago</w:t>
            </w:r>
          </w:p>
        </w:tc>
        <w:tc>
          <w:tcPr>
            <w:tcW w:w="2400" w:type="dxa"/>
          </w:tcPr>
          <w:p>
            <w:r>
              <w:t xml:space="preserve"/>
            </w:r>
          </w:p>
        </w:tc>
        <w:tc>
          <w:tcPr>
            <w:tcW w:w="2400" w:type="dxa"/>
          </w:tcPr>
          <w:p>
            <w:r>
              <w:t xml:space="preserve"/>
            </w:r>
          </w:p>
        </w:tc>
      </w:tr>
      <w:tr>
        <w:tc>
          <w:tcPr>
            <w:tcW w:w="2400" w:type="dxa"/>
          </w:tcPr>
          <w:p>
            <w:r>
              <w:t xml:space="preserve">Integrated and coherent national recovery strategies promoting social inclusion, macroeconomic stability, effective governance and protection of the environment for selected small island developing states</w:t>
            </w:r>
          </w:p>
        </w:tc>
        <w:tc>
          <w:tcPr>
            <w:tcW w:w="2400" w:type="dxa"/>
          </w:tcPr>
          <w:p>
            <w:r>
              <w:t xml:space="preserve">2326B</w:t>
            </w:r>
          </w:p>
        </w:tc>
        <w:tc>
          <w:tcPr>
            <w:tcW w:w="2400" w:type="dxa"/>
          </w:tcPr>
          <w:p>
            <w:r>
              <w:t xml:space="preserve">country</w:t>
            </w:r>
          </w:p>
        </w:tc>
        <w:tc>
          <w:tcPr>
            <w:tcW w:w="2400" w:type="dxa"/>
          </w:tcPr>
          <w:p>
            <w:r>
              <w:t xml:space="preserve">Economic Analysis and Policy Division</w:t>
            </w:r>
          </w:p>
        </w:tc>
        <w:tc>
          <w:tcPr>
            <w:tcW w:w="2400" w:type="dxa"/>
          </w:tcPr>
          <w:p>
            <w:r>
              <w:t xml:space="preserve">Active</w:t>
            </w:r>
          </w:p>
        </w:tc>
        <w:tc>
          <w:tcPr>
            <w:tcW w:w="2400" w:type="dxa"/>
          </w:tcPr>
          <w:p>
            <w:r>
              <w:t xml:space="preserve">01 Feb 2023</w:t>
            </w:r>
          </w:p>
        </w:tc>
        <w:tc>
          <w:tcPr>
            <w:tcW w:w="2400" w:type="dxa"/>
          </w:tcPr>
          <w:p>
            <w:r>
              <w:t xml:space="preserve">31 Dec 2026</w:t>
            </w:r>
          </w:p>
        </w:tc>
        <w:tc>
          <w:tcPr>
            <w:tcW w:w="2400" w:type="dxa"/>
          </w:tcPr>
          <w:p>
            <w:r>
              <w:t xml:space="preserve">USD 700,000</w:t>
            </w:r>
          </w:p>
        </w:tc>
        <w:tc>
          <w:tcPr>
            <w:tcW w:w="2400" w:type="dxa"/>
          </w:tcPr>
          <w:p>
            <w:r>
              <w:t xml:space="preserve">Dominican Republic, Fiji, Guinea-Bissau, Mauritius, Seychelles</w:t>
            </w:r>
          </w:p>
        </w:tc>
        <w:tc>
          <w:tcPr>
            <w:tcW w:w="2400" w:type="dxa"/>
          </w:tcPr>
          <w:p>
            <w:r>
              <w:t xml:space="preserve"/>
            </w:r>
          </w:p>
        </w:tc>
        <w:tc>
          <w:tcPr>
            <w:tcW w:w="2400" w:type="dxa"/>
          </w:tcPr>
          <w:p>
            <w:r>
              <w:t xml:space="preserve">projects.csv record 'Integrated and coherent national recovery strategies promoting social inclusion, macroeconomic stability, effective governance and protection of the environment for selected small island developing states | 2023-02-01T00:00:00 | 2326B': Possible duplicate project code '2326B'. Both records retained pending review: projects.csv: Integrated and coherent national recovery strategies promoting social inclusion, macroeconomic stability, effective governance and protection of the environment for selected small island developing states; projects - the one.xlsx: Integrated and Coherent National Recovery Strategies Promoting Social Inclusion, Macroeconomic Stability, Effective Governance, and Protection of the Environment for Selected SIDS</w:t>
            </w:r>
          </w:p>
        </w:tc>
      </w:tr>
      <w:tr>
        <w:tc>
          <w:tcPr>
            <w:tcW w:w="2400" w:type="dxa"/>
          </w:tcPr>
          <w:p>
            <w:r>
              <w:t xml:space="preserve">Social inclusion of children and youth with autism through sports</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2020</w:t>
            </w:r>
          </w:p>
        </w:tc>
        <w:tc>
          <w:tcPr>
            <w:tcW w:w="2400" w:type="dxa"/>
          </w:tcPr>
          <w:p>
            <w:r>
              <w:t xml:space="preserve">30 Dec 2024</w:t>
            </w:r>
          </w:p>
        </w:tc>
        <w:tc>
          <w:tcPr>
            <w:tcW w:w="2400" w:type="dxa"/>
          </w:tcPr>
          <w:p>
            <w:r>
              <w:t xml:space="preserve">USD 567,572</w:t>
            </w:r>
          </w:p>
        </w:tc>
        <w:tc>
          <w:tcPr>
            <w:tcW w:w="2400" w:type="dxa"/>
          </w:tcPr>
          <w:p>
            <w:r>
              <w:t xml:space="preserve">Cuba, Dominican Republic, Panama</w:t>
            </w:r>
          </w:p>
        </w:tc>
        <w:tc>
          <w:tcPr>
            <w:tcW w:w="2400" w:type="dxa"/>
          </w:tcPr>
          <w:p>
            <w:r>
              <w:t xml:space="preserve"/>
            </w:r>
          </w:p>
        </w:tc>
        <w:tc>
          <w:tcPr>
            <w:tcW w:w="2400" w:type="dxa"/>
          </w:tcPr>
          <w:p>
            <w:r>
              <w:t xml:space="preserve"/>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And Ministries of Finance in developing countries to protect and broaden their tax base for financing of sustainable development</w:t>
            </w:r>
          </w:p>
        </w:tc>
        <w:tc>
          <w:tcPr>
            <w:tcW w:w="2400" w:type="dxa"/>
          </w:tcPr>
          <w:p>
            <w:r>
              <w:t xml:space="preserve">1415AV</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14 May 2020</w:t>
            </w:r>
          </w:p>
        </w:tc>
        <w:tc>
          <w:tcPr>
            <w:tcW w:w="2400" w:type="dxa"/>
          </w:tcPr>
          <w:p>
            <w:r>
              <w:t xml:space="preserve">17 Dec 2020</w:t>
            </w:r>
          </w:p>
        </w:tc>
        <w:tc>
          <w:tcPr>
            <w:tcW w:w="2400" w:type="dxa"/>
          </w:tcPr>
          <w:p>
            <w:r>
              <w:t xml:space="preserve">USD 360,000</w:t>
            </w:r>
          </w:p>
        </w:tc>
        <w:tc>
          <w:tcPr>
            <w:tcW w:w="2400" w:type="dxa"/>
          </w:tcPr>
          <w:p>
            <w:r>
              <w:t xml:space="preserve">Angola, Dominican Republic, Panama, Paraguay, Trinidad and Tobago, United Republic of Tanzania</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c>
          <w:tcPr>
            <w:tcW w:w="2400" w:type="dxa"/>
          </w:tcPr>
          <w:p>
            <w:r>
              <w:t xml:space="preserve"/>
            </w:r>
          </w:p>
        </w:tc>
      </w:tr>
      <w:tr>
        <w:tc>
          <w:tcPr>
            <w:tcW w:w="2400" w:type="dxa"/>
          </w:tcPr>
          <w:p>
            <w:r>
              <w:t xml:space="preserve">Support to Integrated National Financing Frameworks (INFFs) in SIDS</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Nov 2022</w:t>
            </w:r>
          </w:p>
        </w:tc>
        <w:tc>
          <w:tcPr>
            <w:tcW w:w="2400" w:type="dxa"/>
          </w:tcPr>
          <w:p>
            <w:r>
              <w:t xml:space="preserve">31 Dec 2025</w:t>
            </w:r>
          </w:p>
        </w:tc>
        <w:tc>
          <w:tcPr>
            <w:tcW w:w="2400" w:type="dxa"/>
          </w:tcPr>
          <w:p>
            <w:r>
              <w:t xml:space="preserve">USD 800,000</w:t>
            </w:r>
          </w:p>
        </w:tc>
        <w:tc>
          <w:tcPr>
            <w:tcW w:w="2400" w:type="dxa"/>
          </w:tcPr>
          <w:p>
            <w:r>
              <w:t xml:space="preserve">Dominican Republic, Fiji, Mauritius, Seychelles</w:t>
            </w:r>
          </w:p>
        </w:tc>
        <w:tc>
          <w:tcPr>
            <w:tcW w:w="2400" w:type="dxa"/>
          </w:tcPr>
          <w:p>
            <w:r>
              <w:t xml:space="preserve"/>
            </w:r>
          </w:p>
        </w:tc>
        <w:tc>
          <w:tcPr>
            <w:tcW w:w="2400" w:type="dxa"/>
          </w:tcPr>
          <w:p>
            <w:r>
              <w:t xml:space="preserve"/>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5590</w:t>
            </w:r>
          </w:p>
        </w:tc>
        <w:tc>
          <w:tcPr>
            <w:tcW w:w="2400" w:type="dxa"/>
          </w:tcPr>
          <w:p>
            <w:r>
              <w:t xml:space="preserve">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Under consideration</w:t>
            </w:r>
          </w:p>
        </w:tc>
        <w:tc>
          <w:tcPr>
            <w:tcW w:w="2400" w:type="dxa"/>
          </w:tcPr>
          <w:p>
            <w:r>
              <w:t xml:space="preserve">Statistics Division</w:t>
            </w:r>
          </w:p>
        </w:tc>
        <w:tc>
          <w:tcPr>
            <w:tcW w:w="2400" w:type="dxa"/>
          </w:tcPr>
          <w:p>
            <w:r>
              <w:t xml:space="preserve">22 Sept 2026</w:t>
            </w:r>
          </w:p>
        </w:tc>
        <w:tc>
          <w:tcPr>
            <w:tcW w:w="2400" w:type="dxa"/>
          </w:tcPr>
          <w:p>
            <w:r>
              <w:t xml:space="preserve">26 Oct 2026</w:t>
            </w:r>
          </w:p>
        </w:tc>
        <w:tc>
          <w:tcPr>
            <w:tcW w:w="2400" w:type="dxa"/>
          </w:tcPr>
          <w:p>
            <w:r>
              <w:t xml:space="preserve">30 Oct 2026</w:t>
            </w:r>
          </w:p>
        </w:tc>
        <w:tc>
          <w:tcPr>
            <w:tcW w:w="2400" w:type="dxa"/>
          </w:tcPr>
          <w:p>
            <w:r>
              <w:t xml:space="preserve">Iliana Vaca Trigo | iliana.vaca-trigo@un.org</w:t>
            </w:r>
          </w:p>
        </w:tc>
        <w:tc>
          <w:tcPr>
            <w:tcW w:w="2400" w:type="dxa"/>
          </w:tcPr>
          <w:p>
            <w:r>
              <w:t xml:space="preserve">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5535</w:t>
            </w:r>
          </w:p>
        </w:tc>
        <w:tc>
          <w:tcPr>
            <w:tcW w:w="2400" w:type="dxa"/>
          </w:tcPr>
          <w:p>
            <w:r>
              <w:t xml:space="preserve">Request #5535 ? PD explained WPP life expectancy methodology for the Dominican Republic to RCO/PAHO, noting death registration incompleteness adjustments, and offered to incorporate new data in the WPP 2027 revision</w:t>
            </w:r>
          </w:p>
        </w:tc>
        <w:tc>
          <w:tcPr>
            <w:tcW w:w="2400" w:type="dxa"/>
          </w:tcPr>
          <w:p>
            <w:r>
              <w:t xml:space="preserve">Completed</w:t>
            </w:r>
          </w:p>
        </w:tc>
        <w:tc>
          <w:tcPr>
            <w:tcW w:w="2400" w:type="dxa"/>
          </w:tcPr>
          <w:p>
            <w:r>
              <w:t xml:space="preserve">Population Division</w:t>
            </w:r>
          </w:p>
        </w:tc>
        <w:tc>
          <w:tcPr>
            <w:tcW w:w="2400" w:type="dxa"/>
          </w:tcPr>
          <w:p>
            <w:r>
              <w:t xml:space="preserve">05 Mar 2026</w:t>
            </w:r>
          </w:p>
        </w:tc>
        <w:tc>
          <w:tcPr>
            <w:tcW w:w="2400" w:type="dxa"/>
          </w:tcPr>
          <w:p>
            <w:r>
              <w:t xml:space="preserve">05 Mar 2026</w:t>
            </w:r>
          </w:p>
        </w:tc>
        <w:tc>
          <w:tcPr>
            <w:tcW w:w="2400" w:type="dxa"/>
          </w:tcPr>
          <w:p>
            <w:r>
              <w:t xml:space="preserve">09 Mar 2026</w:t>
            </w:r>
          </w:p>
        </w:tc>
        <w:tc>
          <w:tcPr>
            <w:tcW w:w="2400" w:type="dxa"/>
          </w:tcPr>
          <w:p>
            <w:r>
              <w:t xml:space="preserve">Manuel Ortiz Sanabia | manuel.ortiz@un.org</w:t>
            </w:r>
          </w:p>
        </w:tc>
        <w:tc>
          <w:tcPr>
            <w:tcW w:w="2400" w:type="dxa"/>
          </w:tcPr>
          <w:p>
            <w:r>
              <w:t xml:space="preserve">PD explained WPP life expectancy methodology for the Dominican Republic to RCO/PAHO, noting death registration incompleteness adjustments, and offered to incorporate new data in the WPP 2027 revision</w:t>
            </w:r>
          </w:p>
        </w:tc>
        <w:tc>
          <w:tcPr>
            <w:tcW w:w="2400" w:type="dxa"/>
          </w:tcPr>
          <w:p>
            <w:r>
              <w:t xml:space="preserve"/>
            </w:r>
          </w:p>
        </w:tc>
        <w:tc>
          <w:tcPr>
            <w:tcW w:w="2400" w:type="dxa"/>
          </w:tcPr>
          <w:p>
            <w:r>
              <w:t xml:space="preserve"/>
            </w:r>
          </w:p>
        </w:tc>
      </w:tr>
      <w:tr>
        <w:tc>
          <w:tcPr>
            <w:tcW w:w="2400" w:type="dxa"/>
          </w:tcPr>
          <w:p>
            <w:r>
              <w:t xml:space="preserve">5520</w:t>
            </w:r>
          </w:p>
        </w:tc>
        <w:tc>
          <w:tcPr>
            <w:tcW w:w="2400" w:type="dxa"/>
          </w:tcPr>
          <w:p>
            <w:r>
              <w:t xml:space="preserve">Request #5520 ? 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Under consideration</w:t>
            </w:r>
          </w:p>
        </w:tc>
        <w:tc>
          <w:tcPr>
            <w:tcW w:w="2400" w:type="dxa"/>
          </w:tcPr>
          <w:p>
            <w:r>
              <w:t xml:space="preserve">Statistics Division</w:t>
            </w:r>
          </w:p>
        </w:tc>
        <w:tc>
          <w:tcPr>
            <w:tcW w:w="2400" w:type="dxa"/>
          </w:tcPr>
          <w:p>
            <w:r>
              <w:t xml:space="preserve">02 Sept 2025</w:t>
            </w:r>
          </w:p>
        </w:tc>
        <w:tc>
          <w:tcPr>
            <w:tcW w:w="2400" w:type="dxa"/>
          </w:tcPr>
          <w:p>
            <w:r>
              <w:t xml:space="preserve">01 Jan 2026</w:t>
            </w:r>
          </w:p>
        </w:tc>
        <w:tc>
          <w:tcPr>
            <w:tcW w:w="2400" w:type="dxa"/>
          </w:tcPr>
          <w:p>
            <w:r>
              <w:t xml:space="preserve">31 Dec 2027</w:t>
            </w:r>
          </w:p>
        </w:tc>
        <w:tc>
          <w:tcPr>
            <w:tcW w:w="2400" w:type="dxa"/>
          </w:tcPr>
          <w:p>
            <w:r>
              <w:t xml:space="preserve">Alexander Loschky | Loschky@un.org</w:t>
            </w:r>
          </w:p>
        </w:tc>
        <w:tc>
          <w:tcPr>
            <w:tcW w:w="2400" w:type="dxa"/>
          </w:tcPr>
          <w:p>
            <w:r>
              <w:t xml:space="preserve">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
            </w:r>
          </w:p>
        </w:tc>
        <w:tc>
          <w:tcPr>
            <w:tcW w:w="2400" w:type="dxa"/>
          </w:tcPr>
          <w:p>
            <w:r>
              <w:t xml:space="preserve"/>
            </w:r>
          </w:p>
        </w:tc>
      </w:tr>
      <w:tr>
        <w:tc>
          <w:tcPr>
            <w:tcW w:w="2400" w:type="dxa"/>
          </w:tcPr>
          <w:p>
            <w:r>
              <w:t xml:space="preserve">5376</w:t>
            </w:r>
          </w:p>
        </w:tc>
        <w:tc>
          <w:tcPr>
            <w:tcW w:w="2400" w:type="dxa"/>
          </w:tcPr>
          <w:p>
            <w:r>
              <w:t xml:space="preserve">Request #5376 ? Time-use statistics provide a critical lens for understanding how people allocate their time across paid work, unpaid care, and other activities, offering insights into well-being that go beyond traditional economic indicators. These data are essential for monitoring SDG indicator 5.4.1 on unpaid care and domestic work and are increasingly relevant in Beyond GDP discussions. / Existing international standards and tools, developed under the UNSD time-use statistics programme and endorsed by the Statistical Commission, provide a strong foundation for this work. These include the International Classification of Activities for Time-Use Statistics (ICATUS), the Guide to Producing Statistics on Time Use, and the Minimum Harmonized Instrument (MHI), which together ensure comparable, high-quality data across countries. The consultancy will develop user-friendly training materials to support national statistical offices in applying these standards, operationalizing the MHI, and producing reliable and comparable time-use statistics. / The training materials will enhance capacities in understanding international standards, operationalizing the MHI, and linking ICATUS and MHI activity lists for calculating SDG Indicator 5.4.1. They will be designed for hybrid, in-person, and online workshops, as well as userâ€“producer dialogues. This activity supports gender equality, human rights, disability inclusion, and the Leave No One Behind principle by generating disaggregated data that inform inclusive and evidence-based policies. / A total RPTC budget of US$20,000 is proposed to cover the consultancy fee for the development of these training materials, which will serve as a practical resource for statisticians</w:t>
            </w:r>
          </w:p>
        </w:tc>
        <w:tc>
          <w:tcPr>
            <w:tcW w:w="2400" w:type="dxa"/>
          </w:tcPr>
          <w:p>
            <w:r>
              <w:t xml:space="preserve">Ongoing</w:t>
            </w:r>
          </w:p>
        </w:tc>
        <w:tc>
          <w:tcPr>
            <w:tcW w:w="2400" w:type="dxa"/>
          </w:tcPr>
          <w:p>
            <w:r>
              <w:t xml:space="preserve">Statistics Division</w:t>
            </w:r>
          </w:p>
        </w:tc>
        <w:tc>
          <w:tcPr>
            <w:tcW w:w="2400" w:type="dxa"/>
          </w:tcPr>
          <w:p>
            <w:r>
              <w:t xml:space="preserve">10 Nov 2025</w:t>
            </w:r>
          </w:p>
        </w:tc>
        <w:tc>
          <w:tcPr>
            <w:tcW w:w="2400" w:type="dxa"/>
          </w:tcPr>
          <w:p>
            <w:r>
              <w:t xml:space="preserve">01 Dec 2025</w:t>
            </w:r>
          </w:p>
        </w:tc>
        <w:tc>
          <w:tcPr>
            <w:tcW w:w="2400" w:type="dxa"/>
          </w:tcPr>
          <w:p>
            <w:r>
              <w:t xml:space="preserve">31 Mar 2026</w:t>
            </w:r>
          </w:p>
        </w:tc>
        <w:tc>
          <w:tcPr>
            <w:tcW w:w="2400" w:type="dxa"/>
          </w:tcPr>
          <w:p>
            <w:r>
              <w:t xml:space="preserve">Iliana Vaca Trigo | iliana.vaca-trigo@un.org</w:t>
            </w:r>
          </w:p>
        </w:tc>
        <w:tc>
          <w:tcPr>
            <w:tcW w:w="2400" w:type="dxa"/>
          </w:tcPr>
          <w:p>
            <w:r>
              <w:t xml:space="preserve">Time-use statistics provide a critical lens for understanding how people allocate their time across paid work, unpaid care, and other activities, offering insights into well-being that go beyond traditional economic indicators. These data are essential for monitoring SDG indicator 5.4.1 on unpaid care and domestic work and are increasingly relevant in Beyond GDP discussions. / Existing international standards and tools, developed under the UNSD time-use statistics programme and endorsed by the Statistical Commission, provide a strong foundation for this work. These include the International Classification of Activities for Time-Use Statistics (ICATUS), the Guide to Producing Statistics on Time Use, and the Minimum Harmonized Instrument (MHI), which together ensure comparable, high-quality data across countries. The consultancy will develop user-friendly training materials to support national statistical offices in applying these standards, operationalizing the MHI, and producing reliable and comparable time-use statistics. / The training materials will enhance capacities in understanding international standards, operationalizing the MHI, and linking ICATUS and MHI activity lists for calculating SDG Indicator 5.4.1. They will be designed for hybrid, in-person, and online workshops, as well as userâ€“producer dialogues. This activity supports gender equality, human rights, disability inclusion, and the Leave No One Behind principle by generating disaggregated data that inform inclusive and evidence-based policies. / A total RPTC budget of US$20,000 is proposed to cover the consultancy fee for the development of these training materials, which will serve as a practical resource for statisticians</w:t>
            </w:r>
          </w:p>
        </w:tc>
        <w:tc>
          <w:tcPr>
            <w:tcW w:w="2400" w:type="dxa"/>
          </w:tcPr>
          <w:p>
            <w:r>
              <w:t xml:space="preserve"/>
            </w:r>
          </w:p>
        </w:tc>
        <w:tc>
          <w:tcPr>
            <w:tcW w:w="2400" w:type="dxa"/>
          </w:tcPr>
          <w:p>
            <w:r>
              <w:t xml:space="preserve"/>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c>
          <w:tcPr>
            <w:tcW w:w="2400" w:type="dxa"/>
          </w:tcPr>
          <w:p>
            <w:r>
              <w:t xml:space="preserve"/>
            </w:r>
          </w:p>
        </w:tc>
      </w:tr>
      <w:tr>
        <w:tc>
          <w:tcPr>
            <w:tcW w:w="2400" w:type="dxa"/>
          </w:tcPr>
          <w:p>
            <w:r>
              <w:t xml:space="preserve">5333</w:t>
            </w:r>
          </w:p>
        </w:tc>
        <w:tc>
          <w:tcPr>
            <w:tcW w:w="2400" w:type="dxa"/>
          </w:tcPr>
          <w:p>
            <w:r>
              <w:t xml:space="preserve">Request #5333 ? Expressed interest in jointly organizing a regional workshop with UNOSD, ECLAC, and other strategic partners in 2026, aimed at sharing experiences, progress, and challenges regarding the implementation of public policies and strategies related to integrated waste management and the transition to a circular economy model in the Dominican Republic.  / Offered to host the Waste and Circular Economy Regional Workshop in the Dominican Republic in 2026.</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05 Sept 2025</w:t>
            </w:r>
          </w:p>
        </w:tc>
        <w:tc>
          <w:tcPr>
            <w:tcW w:w="2400" w:type="dxa"/>
          </w:tcPr>
          <w:p>
            <w:r>
              <w:t xml:space="preserve">05 Sept 2025</w:t>
            </w:r>
          </w:p>
        </w:tc>
        <w:tc>
          <w:tcPr>
            <w:tcW w:w="2400" w:type="dxa"/>
          </w:tcPr>
          <w:p>
            <w:r>
              <w:t xml:space="preserve">31 Dec 2026</w:t>
            </w:r>
          </w:p>
        </w:tc>
        <w:tc>
          <w:tcPr>
            <w:tcW w:w="2400" w:type="dxa"/>
          </w:tcPr>
          <w:p>
            <w:r>
              <w:t xml:space="preserve">Paino Henriquez | info@ambiente.gob.do</w:t>
            </w:r>
          </w:p>
        </w:tc>
        <w:tc>
          <w:tcPr>
            <w:tcW w:w="2400" w:type="dxa"/>
          </w:tcPr>
          <w:p>
            <w:r>
              <w:t xml:space="preserve">Expressed interest in jointly organizing a regional workshop with UNOSD, ECLAC, and other strategic partners in 2026, aimed at sharing experiences, progress, and challenges regarding the implementation of public policies and strategies related to integrated waste management and the transition to a circular economy model in the Dominican Republic.  / Offered to host the Waste and Circular Economy Regional Workshop in the Dominican Republic in 2026.</w:t>
            </w:r>
          </w:p>
        </w:tc>
        <w:tc>
          <w:tcPr>
            <w:tcW w:w="2400" w:type="dxa"/>
          </w:tcPr>
          <w:p>
            <w:r>
              <w:t xml:space="preserve"/>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5083</w:t>
            </w:r>
          </w:p>
        </w:tc>
        <w:tc>
          <w:tcPr>
            <w:tcW w:w="2400" w:type="dxa"/>
          </w:tcPr>
          <w:p>
            <w:r>
              <w:t xml:space="preserve">Request #5083 ? 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Completed</w:t>
            </w:r>
          </w:p>
        </w:tc>
        <w:tc>
          <w:tcPr>
            <w:tcW w:w="2400" w:type="dxa"/>
          </w:tcPr>
          <w:p>
            <w:r>
              <w:t xml:space="preserve">Statistics Division</w:t>
            </w:r>
          </w:p>
        </w:tc>
        <w:tc>
          <w:tcPr>
            <w:tcW w:w="2400" w:type="dxa"/>
          </w:tcPr>
          <w:p>
            <w:r>
              <w:t xml:space="preserve">20 Sept 2024</w:t>
            </w:r>
          </w:p>
        </w:tc>
        <w:tc>
          <w:tcPr>
            <w:tcW w:w="2400" w:type="dxa"/>
          </w:tcPr>
          <w:p>
            <w:r>
              <w:t xml:space="preserve">21 Sept 2024</w:t>
            </w:r>
          </w:p>
        </w:tc>
        <w:tc>
          <w:tcPr>
            <w:tcW w:w="2400" w:type="dxa"/>
          </w:tcPr>
          <w:p>
            <w:r>
              <w:t xml:space="preserve">31 Jan 2025</w:t>
            </w:r>
          </w:p>
        </w:tc>
        <w:tc>
          <w:tcPr>
            <w:tcW w:w="2400" w:type="dxa"/>
          </w:tcPr>
          <w:p>
            <w:r>
              <w:t xml:space="preserve">Camilo Andres Mendez Coronado | camendezc@dane.gov.co</w:t>
            </w:r>
          </w:p>
        </w:tc>
        <w:tc>
          <w:tcPr>
            <w:tcW w:w="2400" w:type="dxa"/>
          </w:tcPr>
          <w:p>
            <w:r>
              <w:t xml:space="preserve">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
            </w:r>
          </w:p>
        </w:tc>
        <w:tc>
          <w:tcPr>
            <w:tcW w:w="2400" w:type="dxa"/>
          </w:tcPr>
          <w:p>
            <w:r>
              <w:t xml:space="preserve"/>
            </w:r>
          </w:p>
        </w:tc>
      </w:tr>
      <w:tr>
        <w:tc>
          <w:tcPr>
            <w:tcW w:w="2400" w:type="dxa"/>
          </w:tcPr>
          <w:p>
            <w:r>
              <w:t xml:space="preserve">5075</w:t>
            </w:r>
          </w:p>
        </w:tc>
        <w:tc>
          <w:tcPr>
            <w:tcW w:w="2400" w:type="dxa"/>
          </w:tcPr>
          <w:p>
            <w:r>
              <w:t xml:space="preserve">Request #5075 ? 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Ongoing</w:t>
            </w:r>
          </w:p>
        </w:tc>
        <w:tc>
          <w:tcPr>
            <w:tcW w:w="2400" w:type="dxa"/>
          </w:tcPr>
          <w:p>
            <w:r>
              <w:t xml:space="preserve">Statistics Division</w:t>
            </w:r>
          </w:p>
        </w:tc>
        <w:tc>
          <w:tcPr>
            <w:tcW w:w="2400" w:type="dxa"/>
          </w:tcPr>
          <w:p>
            <w:r>
              <w:t xml:space="preserve">18 Sept 2024</w:t>
            </w:r>
          </w:p>
        </w:tc>
        <w:tc>
          <w:tcPr>
            <w:tcW w:w="2400" w:type="dxa"/>
          </w:tcPr>
          <w:p>
            <w:r>
              <w:t xml:space="preserve">01 Oct 2024</w:t>
            </w:r>
          </w:p>
        </w:tc>
        <w:tc>
          <w:tcPr>
            <w:tcW w:w="2400" w:type="dxa"/>
          </w:tcPr>
          <w:p>
            <w:r>
              <w:t xml:space="preserve">31 Dec 2024</w:t>
            </w:r>
          </w:p>
        </w:tc>
        <w:tc>
          <w:tcPr>
            <w:tcW w:w="2400" w:type="dxa"/>
          </w:tcPr>
          <w:p>
            <w:r>
              <w:t xml:space="preserve">Vibeke O Nielsen | vibeke.nielsen@un.org</w:t>
            </w:r>
          </w:p>
        </w:tc>
        <w:tc>
          <w:tcPr>
            <w:tcW w:w="2400" w:type="dxa"/>
          </w:tcPr>
          <w:p>
            <w:r>
              <w:t xml:space="preserve">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
            </w:r>
          </w:p>
        </w:tc>
        <w:tc>
          <w:tcPr>
            <w:tcW w:w="2400" w:type="dxa"/>
          </w:tcPr>
          <w:p>
            <w:r>
              <w:t xml:space="preserve"/>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4966</w:t>
            </w:r>
          </w:p>
        </w:tc>
        <w:tc>
          <w:tcPr>
            <w:tcW w:w="2400" w:type="dxa"/>
          </w:tcPr>
          <w:p>
            <w:r>
              <w:t xml:space="preserve">Request #4966 ? UNDESA/DPIDG has been requested by the Dominican Republic's Ministry for Planning, Economy and Development (MEPyD) within the framework of the Financing-for-SIDS (FINS) project, further collaboration in order to implement the Systems Thinking and Strategic Foresight methodologies for the Dominican Republic. / Webpage: https://publicadministration.desa.un.org/events/foresight-and-systems-thinking-strategic-planning-sustainable-development-goals-dominican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11 Apr 2024</w:t>
            </w:r>
          </w:p>
        </w:tc>
        <w:tc>
          <w:tcPr>
            <w:tcW w:w="2400" w:type="dxa"/>
          </w:tcPr>
          <w:p>
            <w:r>
              <w:t xml:space="preserve">15 Apr 2024</w:t>
            </w:r>
          </w:p>
        </w:tc>
        <w:tc>
          <w:tcPr>
            <w:tcW w:w="2400" w:type="dxa"/>
          </w:tcPr>
          <w:p>
            <w:r>
              <w:t xml:space="preserve">15 Jul 2024</w:t>
            </w:r>
          </w:p>
        </w:tc>
        <w:tc>
          <w:tcPr>
            <w:tcW w:w="2400" w:type="dxa"/>
          </w:tcPr>
          <w:p>
            <w:r>
              <w:t xml:space="preserve">Mr. Luis Madera Sued | la_palacios@javeriana.edu.co</w:t>
            </w:r>
          </w:p>
        </w:tc>
        <w:tc>
          <w:tcPr>
            <w:tcW w:w="2400" w:type="dxa"/>
          </w:tcPr>
          <w:p>
            <w:r>
              <w:t xml:space="preserve">UNDESA/DPIDG has been requested by the Dominican Republic's Ministry for Planning, Economy and Development (MEPyD) within the framework of the Financing-for-SIDS (FINS) project, further collaboration in order to implement the Systems Thinking and Strategic Foresight methodologies for the Dominican Republic. / Webpage: https://publicadministration.desa.un.org/events/foresight-and-systems-thinking-strategic-planning-sustainable-development-goals-dominican</w:t>
            </w:r>
          </w:p>
        </w:tc>
        <w:tc>
          <w:tcPr>
            <w:tcW w:w="2400" w:type="dxa"/>
          </w:tcPr>
          <w:p>
            <w:r>
              <w:t xml:space="preserve"/>
            </w:r>
          </w:p>
        </w:tc>
        <w:tc>
          <w:tcPr>
            <w:tcW w:w="2400" w:type="dxa"/>
          </w:tcPr>
          <w:p>
            <w:r>
              <w:t xml:space="preserve"/>
            </w:r>
          </w:p>
        </w:tc>
      </w:tr>
      <w:tr>
        <w:tc>
          <w:tcPr>
            <w:tcW w:w="2400" w:type="dxa"/>
          </w:tcPr>
          <w:p>
            <w:r>
              <w:t xml:space="preserve">4909</w:t>
            </w:r>
          </w:p>
        </w:tc>
        <w:tc>
          <w:tcPr>
            <w:tcW w:w="2400" w:type="dxa"/>
          </w:tcPr>
          <w:p>
            <w:r>
              <w:t xml:space="preserve">Request #4909 ? The Dominican Republic National Tax Administration requested FSDOâ€™s support to provide technical assistance on international tax issues, in particular on aggressive tax planning and evasion. In response, FSDO acknowledged the active participation of government official from the Tax Administration in capacity development activities and welcomed the Administrationâ€™s efforts to sustain the knowledge and experiences gained from previous training. In this connection, FSDO noted the request for capacity building on development and strengthened tax official skills to identify and address aggressive tax planning and evasion. FSDO indicated that it would explore with the Tax Administrationâ€™s team, concrete in-country capacity development activities and the Office would liaise with the tax officials with the objective to engage in further conversations and coordination.</w:t>
            </w:r>
          </w:p>
        </w:tc>
        <w:tc>
          <w:tcPr>
            <w:tcW w:w="2400" w:type="dxa"/>
          </w:tcPr>
          <w:p>
            <w:r>
              <w:t xml:space="preserve">Ongoing</w:t>
            </w:r>
          </w:p>
        </w:tc>
        <w:tc>
          <w:tcPr>
            <w:tcW w:w="2400" w:type="dxa"/>
          </w:tcPr>
          <w:p>
            <w:r>
              <w:t xml:space="preserve">Financing for Sustainable Development Office</w:t>
            </w:r>
          </w:p>
        </w:tc>
        <w:tc>
          <w:tcPr>
            <w:tcW w:w="2400" w:type="dxa"/>
          </w:tcPr>
          <w:p>
            <w:r>
              <w:t xml:space="preserve">13 Sept 2023</w:t>
            </w:r>
          </w:p>
        </w:tc>
        <w:tc>
          <w:tcPr>
            <w:tcW w:w="2400" w:type="dxa"/>
          </w:tcPr>
          <w:p>
            <w:r>
              <w:t xml:space="preserve">01 Jan 2024</w:t>
            </w:r>
          </w:p>
        </w:tc>
        <w:tc>
          <w:tcPr>
            <w:tcW w:w="2400" w:type="dxa"/>
          </w:tcPr>
          <w:p>
            <w:r>
              <w:t xml:space="preserve">31 Dec 2027</w:t>
            </w:r>
          </w:p>
        </w:tc>
        <w:tc>
          <w:tcPr>
            <w:tcW w:w="2400" w:type="dxa"/>
          </w:tcPr>
          <w:p>
            <w:r>
              <w:t xml:space="preserve">Mr. Luis Valdez Veras | oficinavirtual@dgii.gov.do</w:t>
            </w:r>
          </w:p>
        </w:tc>
        <w:tc>
          <w:tcPr>
            <w:tcW w:w="2400" w:type="dxa"/>
          </w:tcPr>
          <w:p>
            <w:r>
              <w:t xml:space="preserve">The Dominican Republic National Tax Administration requested FSDOâ€™s support to provide technical assistance on international tax issues, in particular on aggressive tax planning and evasion. In response, FSDO acknowledged the active participation of government official from the Tax Administration in capacity development activities and welcomed the Administrationâ€™s efforts to sustain the knowledge and experiences gained from previous training. In this connection, FSDO noted the request for capacity building on development and strengthened tax official skills to identify and address aggressive tax planning and evasion. FSDO indicated that it would explore with the Tax Administrationâ€™s team, concrete in-country capacity development activities and the Office would liaise with the tax officials with the objective to engage in further conversations and coordination.</w:t>
            </w:r>
          </w:p>
        </w:tc>
        <w:tc>
          <w:tcPr>
            <w:tcW w:w="2400" w:type="dxa"/>
          </w:tcPr>
          <w:p>
            <w:r>
              <w:t xml:space="preserve"/>
            </w:r>
          </w:p>
        </w:tc>
        <w:tc>
          <w:tcPr>
            <w:tcW w:w="2400" w:type="dxa"/>
          </w:tcPr>
          <w:p>
            <w:r>
              <w:t xml:space="preserve"/>
            </w:r>
          </w:p>
        </w:tc>
      </w:tr>
      <w:tr>
        <w:tc>
          <w:tcPr>
            <w:tcW w:w="2400" w:type="dxa"/>
          </w:tcPr>
          <w:p>
            <w:r>
              <w:t xml:space="preserve">4674</w:t>
            </w:r>
          </w:p>
        </w:tc>
        <w:tc>
          <w:tcPr>
            <w:tcW w:w="2400" w:type="dxa"/>
          </w:tcPr>
          <w:p>
            <w:r>
              <w:t xml:space="preserve">Request #4674 ? 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Completed</w:t>
            </w:r>
          </w:p>
        </w:tc>
        <w:tc>
          <w:tcPr>
            <w:tcW w:w="2400" w:type="dxa"/>
          </w:tcPr>
          <w:p>
            <w:r>
              <w:t xml:space="preserve">Statistics Division</w:t>
            </w:r>
          </w:p>
        </w:tc>
        <w:tc>
          <w:tcPr>
            <w:tcW w:w="2400" w:type="dxa"/>
          </w:tcPr>
          <w:p>
            <w:r>
              <w:t xml:space="preserve">02 Aug 2023</w:t>
            </w:r>
          </w:p>
        </w:tc>
        <w:tc>
          <w:tcPr>
            <w:tcW w:w="2400" w:type="dxa"/>
          </w:tcPr>
          <w:p>
            <w:r>
              <w:t xml:space="preserve">02 Oct 2023</w:t>
            </w:r>
          </w:p>
        </w:tc>
        <w:tc>
          <w:tcPr>
            <w:tcW w:w="2400" w:type="dxa"/>
          </w:tcPr>
          <w:p>
            <w:r>
              <w:t xml:space="preserve">06 Oct 2023</w:t>
            </w:r>
          </w:p>
        </w:tc>
        <w:tc>
          <w:tcPr>
            <w:tcW w:w="2400" w:type="dxa"/>
          </w:tcPr>
          <w:p>
            <w:r>
              <w:t xml:space="preserve">Ilaria di Matteo | dimatteo@un.org</w:t>
            </w:r>
          </w:p>
        </w:tc>
        <w:tc>
          <w:tcPr>
            <w:tcW w:w="2400" w:type="dxa"/>
          </w:tcPr>
          <w:p>
            <w:r>
              <w:t xml:space="preserve">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4742</w:t>
            </w:r>
          </w:p>
        </w:tc>
        <w:tc>
          <w:tcPr>
            <w:tcW w:w="2400" w:type="dxa"/>
          </w:tcPr>
          <w:p>
            <w:r>
              <w:t xml:space="preserve">Request #4742 ? Request for INFF support under Financing for SIDS (FINS) initiative</w:t>
            </w:r>
          </w:p>
        </w:tc>
        <w:tc>
          <w:tcPr>
            <w:tcW w:w="2400" w:type="dxa"/>
          </w:tcPr>
          <w:p>
            <w:r>
              <w:t xml:space="preserve">Ongoing</w:t>
            </w:r>
          </w:p>
        </w:tc>
        <w:tc>
          <w:tcPr>
            <w:tcW w:w="2400" w:type="dxa"/>
          </w:tcPr>
          <w:p>
            <w:r>
              <w:t xml:space="preserve">Division for Sustainable Development Goals, Financing for Sustainable Development Office</w:t>
            </w:r>
          </w:p>
        </w:tc>
        <w:tc>
          <w:tcPr>
            <w:tcW w:w="2400" w:type="dxa"/>
          </w:tcPr>
          <w:p>
            <w:r>
              <w:t xml:space="preserve">17 Oct 2022</w:t>
            </w:r>
          </w:p>
        </w:tc>
        <w:tc>
          <w:tcPr>
            <w:tcW w:w="2400" w:type="dxa"/>
          </w:tcPr>
          <w:p>
            <w:r>
              <w:t xml:space="preserve">01 Nov 2022</w:t>
            </w:r>
          </w:p>
        </w:tc>
        <w:tc>
          <w:tcPr>
            <w:tcW w:w="2400" w:type="dxa"/>
          </w:tcPr>
          <w:p>
            <w:r>
              <w:t xml:space="preserve">31 Mar 2026</w:t>
            </w:r>
          </w:p>
        </w:tc>
        <w:tc>
          <w:tcPr>
            <w:tcW w:w="2400" w:type="dxa"/>
          </w:tcPr>
          <w:p>
            <w:r>
              <w:t xml:space="preserve">Margarita JimÃ©nez Zozaya | margarita.jimenez@mepyd.gob.do</w:t>
            </w:r>
          </w:p>
        </w:tc>
        <w:tc>
          <w:tcPr>
            <w:tcW w:w="2400" w:type="dxa"/>
          </w:tcPr>
          <w:p>
            <w:r>
              <w:t xml:space="preserve">Request for INFF support under Financing for SIDS (FINS) initiative</w:t>
            </w:r>
          </w:p>
        </w:tc>
        <w:tc>
          <w:tcPr>
            <w:tcW w:w="2400" w:type="dxa"/>
          </w:tcPr>
          <w:p>
            <w:r>
              <w:t xml:space="preserve"/>
            </w:r>
          </w:p>
        </w:tc>
        <w:tc>
          <w:tcPr>
            <w:tcW w:w="2400" w:type="dxa"/>
          </w:tcPr>
          <w:p>
            <w:r>
              <w:t xml:space="preserve"/>
            </w:r>
          </w:p>
        </w:tc>
      </w:tr>
      <w:tr>
        <w:tc>
          <w:tcPr>
            <w:tcW w:w="2400" w:type="dxa"/>
          </w:tcPr>
          <w:p>
            <w:r>
              <w:t xml:space="preserve">4235</w:t>
            </w:r>
          </w:p>
        </w:tc>
        <w:tc>
          <w:tcPr>
            <w:tcW w:w="2400" w:type="dxa"/>
          </w:tcPr>
          <w:p>
            <w:r>
              <w:t xml:space="preserve">Request #4235 ? 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Completed</w:t>
            </w:r>
          </w:p>
        </w:tc>
        <w:tc>
          <w:tcPr>
            <w:tcW w:w="2400" w:type="dxa"/>
          </w:tcPr>
          <w:p>
            <w:r>
              <w:t xml:space="preserve">Statistics Division</w:t>
            </w:r>
          </w:p>
        </w:tc>
        <w:tc>
          <w:tcPr>
            <w:tcW w:w="2400" w:type="dxa"/>
          </w:tcPr>
          <w:p>
            <w:r>
              <w:t xml:space="preserve">06 Jul 2022</w:t>
            </w:r>
          </w:p>
        </w:tc>
        <w:tc>
          <w:tcPr>
            <w:tcW w:w="2400" w:type="dxa"/>
          </w:tcPr>
          <w:p>
            <w:r>
              <w:t xml:space="preserve">08 Jan 2022</w:t>
            </w:r>
          </w:p>
        </w:tc>
        <w:tc>
          <w:tcPr>
            <w:tcW w:w="2400" w:type="dxa"/>
          </w:tcPr>
          <w:p>
            <w:r>
              <w:t xml:space="preserve">30 Dec 2022</w:t>
            </w:r>
          </w:p>
        </w:tc>
        <w:tc>
          <w:tcPr>
            <w:tcW w:w="2400" w:type="dxa"/>
          </w:tcPr>
          <w:p>
            <w:r>
              <w:t xml:space="preserve">Hermanus Smith | smith33@un.org</w:t>
            </w:r>
          </w:p>
        </w:tc>
        <w:tc>
          <w:tcPr>
            <w:tcW w:w="2400" w:type="dxa"/>
          </w:tcPr>
          <w:p>
            <w:r>
              <w:t xml:space="preserve">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
            </w:r>
          </w:p>
        </w:tc>
        <w:tc>
          <w:tcPr>
            <w:tcW w:w="2400" w:type="dxa"/>
          </w:tcPr>
          <w:p>
            <w:r>
              <w:t xml:space="preserve"/>
            </w:r>
          </w:p>
        </w:tc>
      </w:tr>
      <w:tr>
        <w:tc>
          <w:tcPr>
            <w:tcW w:w="2400" w:type="dxa"/>
          </w:tcPr>
          <w:p>
            <w:r>
              <w:t xml:space="preserve">4178</w:t>
            </w:r>
          </w:p>
        </w:tc>
        <w:tc>
          <w:tcPr>
            <w:tcW w:w="2400" w:type="dxa"/>
          </w:tcPr>
          <w:p>
            <w:r>
              <w:t xml:space="preserve">Request #4178 ? DPIDG was requested by CLAD to deliver a presentation on developing capacities to implement the SDGs at the "Ibero-American Forum: National Mechanisms for the Implementation of the 2030 Agenda".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Apr 2022</w:t>
            </w:r>
          </w:p>
        </w:tc>
        <w:tc>
          <w:tcPr>
            <w:tcW w:w="2400" w:type="dxa"/>
          </w:tcPr>
          <w:p>
            <w:r>
              <w:t xml:space="preserve">26 May 2022</w:t>
            </w:r>
          </w:p>
        </w:tc>
        <w:tc>
          <w:tcPr>
            <w:tcW w:w="2400" w:type="dxa"/>
          </w:tcPr>
          <w:p>
            <w:r>
              <w:t xml:space="preserve">27 May 2022</w:t>
            </w:r>
          </w:p>
        </w:tc>
        <w:tc>
          <w:tcPr>
            <w:tcW w:w="2400" w:type="dxa"/>
          </w:tcPr>
          <w:p>
            <w:r>
              <w:t xml:space="preserve">FRANCISCO JAVIER VELÃZQUEZ LÃ“PEZ | secretaria.general@clad.org</w:t>
            </w:r>
          </w:p>
        </w:tc>
        <w:tc>
          <w:tcPr>
            <w:tcW w:w="2400" w:type="dxa"/>
          </w:tcPr>
          <w:p>
            <w:r>
              <w:t xml:space="preserve">DPIDG was requested by CLAD to deliver a presentation on developing capacities to implement the SDGs at the "Ibero-American Forum: National Mechanisms for the Implementation of the 2030 Agenda".</w:t>
            </w:r>
          </w:p>
        </w:tc>
        <w:tc>
          <w:tcPr>
            <w:tcW w:w="2400" w:type="dxa"/>
          </w:tcPr>
          <w:p>
            <w:r>
              <w:t xml:space="preserve"/>
            </w:r>
          </w:p>
        </w:tc>
        <w:tc>
          <w:tcPr>
            <w:tcW w:w="2400" w:type="dxa"/>
          </w:tcPr>
          <w:p>
            <w:r>
              <w:t xml:space="preserve"/>
            </w:r>
          </w:p>
        </w:tc>
      </w:tr>
      <w:tr>
        <w:tc>
          <w:tcPr>
            <w:tcW w:w="2400" w:type="dxa"/>
          </w:tcPr>
          <w:p>
            <w:r>
              <w:t xml:space="preserve">2725</w:t>
            </w:r>
          </w:p>
        </w:tc>
        <w:tc>
          <w:tcPr>
            <w:tcW w:w="2400" w:type="dxa"/>
          </w:tcPr>
          <w:p>
            <w:r>
              <w:t xml:space="preserve">Request #2725 ? Description not provided</w:t>
            </w:r>
          </w:p>
        </w:tc>
        <w:tc>
          <w:tcPr>
            <w:tcW w:w="2400" w:type="dxa"/>
          </w:tcPr>
          <w:p>
            <w:r>
              <w:t xml:space="preserve">Completed</w:t>
            </w:r>
          </w:p>
        </w:tc>
        <w:tc>
          <w:tcPr>
            <w:tcW w:w="2400" w:type="dxa"/>
          </w:tcPr>
          <w:p>
            <w:r>
              <w:t xml:space="preserve">Financing for Sustainable Development Office</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2622</w:t>
            </w:r>
          </w:p>
        </w:tc>
        <w:tc>
          <w:tcPr>
            <w:tcW w:w="2400" w:type="dxa"/>
          </w:tcPr>
          <w:p>
            <w:r>
              <w:t xml:space="preserve">Request #2622 ? Ethics, transparency, accountability, anti- corruption and SDG16</w:t>
            </w:r>
          </w:p>
        </w:tc>
        <w:tc>
          <w:tcPr>
            <w:tcW w:w="2400" w:type="dxa"/>
          </w:tcPr>
          <w:p>
            <w:r>
              <w:t xml:space="preserve">Outdated</w:t>
            </w:r>
          </w:p>
        </w:tc>
        <w:tc>
          <w:tcPr>
            <w:tcW w:w="2400" w:type="dxa"/>
          </w:tcPr>
          <w:p>
            <w:r>
              <w:t xml:space="preserve">Division for Public Institutions and Digital Government</w:t>
            </w:r>
          </w:p>
        </w:tc>
        <w:tc>
          <w:tcPr>
            <w:tcW w:w="2400" w:type="dxa"/>
          </w:tcPr>
          <w:p>
            <w:r>
              <w:t xml:space="preserve">07 Feb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Ethics, transparency, accountability, anti- corruption and SDG16</w:t>
            </w:r>
          </w:p>
        </w:tc>
        <w:tc>
          <w:tcPr>
            <w:tcW w:w="2400" w:type="dxa"/>
          </w:tcPr>
          <w:p>
            <w:r>
              <w:t xml:space="preserve"/>
            </w:r>
          </w:p>
        </w:tc>
        <w:tc>
          <w:tcPr>
            <w:tcW w:w="2400" w:type="dxa"/>
          </w:tcPr>
          <w:p>
            <w:r>
              <w:t xml:space="preserve"/>
            </w:r>
          </w:p>
        </w:tc>
      </w:tr>
      <w:tr>
        <w:tc>
          <w:tcPr>
            <w:tcW w:w="2400" w:type="dxa"/>
          </w:tcPr>
          <w:p>
            <w:r>
              <w:t xml:space="preserve">2623</w:t>
            </w:r>
          </w:p>
        </w:tc>
        <w:tc>
          <w:tcPr>
            <w:tcW w:w="2400" w:type="dxa"/>
          </w:tcPr>
          <w:p>
            <w:r>
              <w:t xml:space="preserve">Request #2623 ? DPIDG was requested in 2016 by the Office of the Presidency and the Permanent Mission of the Dominican Republic to provide advisory services via teleconference.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Feb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in 2016 by the Office of the Presidency and the Permanent Mission of the Dominican Republic to provide advisory services via teleconference.</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SB-001376.99.99.19</w:t>
            </w:r>
          </w:p>
        </w:tc>
        <w:tc>
          <w:tcPr>
            <w:tcW w:w="2400" w:type="dxa"/>
          </w:tcPr>
          <w:p>
            <w:r>
              <w:t xml:space="preserve">Workshop on the use of interoperability standards for the management of geographical names “Linking Geographical Names, the Disaggregation and Localization of Sustainable Development Goals and the Semantic Web”</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$43,886</w:t>
            </w:r>
          </w:p>
        </w:tc>
        <w:tc>
          <w:tcPr>
            <w:tcW w:w="2400" w:type="dxa"/>
          </w:tcPr>
          <w:p>
            <w:r>
              <w:t xml:space="preserve">Argentina, Barbados, Brazil, Colombia, Costa Rica, Dominican Republic, Ecuador, Jamaica, Mexico, Panama, Uruguay</w:t>
            </w:r>
          </w:p>
        </w:tc>
        <w:tc>
          <w:tcPr>
            <w:tcW w:w="2400" w:type="dxa"/>
          </w:tcPr>
          <w:p>
            <w:r>
              <w:t xml:space="preserve"/>
            </w:r>
          </w:p>
        </w:tc>
        <w:tc>
          <w:tcPr>
            <w:tcW w:w="2400" w:type="dxa"/>
          </w:tcPr>
          <w:p>
            <w:r>
              <w:t xml:space="preserve">Proposal past due</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SB-001380.94</w:t>
            </w:r>
          </w:p>
        </w:tc>
        <w:tc>
          <w:tcPr>
            <w:tcW w:w="2400" w:type="dxa"/>
          </w:tcPr>
          <w:p>
            <w:r>
              <w:t xml:space="preserve">Pacific Forum on Sustainable Development (PFSD), FINS Study Tour and Mission</w:t>
            </w:r>
          </w:p>
        </w:tc>
        <w:tc>
          <w:tcPr>
            <w:tcW w:w="2400" w:type="dxa"/>
          </w:tcPr>
          <w:p>
            <w:r>
              <w:t xml:space="preserve">FSDO</w:t>
            </w:r>
          </w:p>
        </w:tc>
        <w:tc>
          <w:tcPr>
            <w:tcW w:w="2400" w:type="dxa"/>
          </w:tcPr>
          <w:p>
            <w:r>
              <w:t xml:space="preserve">31 Dec 2026</w:t>
            </w:r>
          </w:p>
        </w:tc>
        <w:tc>
          <w:tcPr>
            <w:tcW w:w="2400" w:type="dxa"/>
          </w:tcPr>
          <w:p>
            <w:r>
              <w:t xml:space="preserve">31 Dec 2026</w:t>
            </w:r>
          </w:p>
        </w:tc>
        <w:tc>
          <w:tcPr>
            <w:tcW w:w="2400" w:type="dxa"/>
          </w:tcPr>
          <w:p>
            <w:r>
              <w:t xml:space="preserve">$58,514</w:t>
            </w:r>
          </w:p>
        </w:tc>
        <w:tc>
          <w:tcPr>
            <w:tcW w:w="2400" w:type="dxa"/>
          </w:tcPr>
          <w:p>
            <w:r>
              <w:t xml:space="preserve">Dominican Republic, Seychelles</w:t>
            </w:r>
          </w:p>
        </w:tc>
        <w:tc>
          <w:tcPr>
            <w:tcW w:w="2400" w:type="dxa"/>
          </w:tcPr>
          <w:p>
            <w:r>
              <w:t xml:space="preserve"/>
            </w:r>
          </w:p>
        </w:tc>
        <w:tc>
          <w:tcPr>
            <w:tcW w:w="2400" w:type="dxa"/>
          </w:tcPr>
          <w:p>
            <w:r>
              <w:t xml:space="preserve">proposals.xlsx record 'SB-001380.94|row:65': 'f_cashDESA' has non-numeric value 'Travel costs for sponsored participants, including airfare, DSA and terminal expenses'. / proposals.xlsx record 'SB-001380.94|row:65': 'f_cashGov' has non-numeric value 'None'. / proposals.xlsx record 'SB-001380.94|row:65': 'f_cashOther' has non-numeric value 'None / as applicable'.</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r>
      <w:tr>
        <w:tc>
          <w:tcPr>
            <w:tcW w:w="2400" w:type="dxa"/>
          </w:tcPr>
          <w:p>
            <w:r>
              <w:t xml:space="preserve">0002258799 - Dominican Republic</w:t>
            </w:r>
          </w:p>
        </w:tc>
        <w:tc>
          <w:tcPr>
            <w:tcW w:w="2400" w:type="dxa"/>
          </w:tcPr>
          <w:p>
            <w:r>
              <w:t xml:space="preserve">0002258799</w:t>
            </w:r>
          </w:p>
        </w:tc>
        <w:tc>
          <w:tcPr>
            <w:tcW w:w="2400" w:type="dxa"/>
          </w:tcPr>
          <w:p>
            <w:r>
              <w:t xml:space="preserve">Past</w:t>
            </w:r>
          </w:p>
        </w:tc>
        <w:tc>
          <w:tcPr>
            <w:tcW w:w="2400" w:type="dxa"/>
          </w:tcPr>
          <w:p>
            <w:r>
              <w:t xml:space="preserve">Dominican Republic</w:t>
            </w:r>
          </w:p>
        </w:tc>
        <w:tc>
          <w:tcPr>
            <w:tcW w:w="2400" w:type="dxa"/>
          </w:tcPr>
          <w:p>
            <w:r>
              <w:t xml:space="preserve"/>
            </w:r>
          </w:p>
        </w:tc>
        <w:tc>
          <w:tcPr>
            <w:tcW w:w="2400" w:type="dxa"/>
          </w:tcPr>
          <w:p>
            <w:r>
              <w:t xml:space="preserve">FINANCING FOR SUSTAINABLE DEVELOPMENT OFFICE</w:t>
            </w:r>
          </w:p>
        </w:tc>
        <w:tc>
          <w:tcPr>
            <w:tcW w:w="2400" w:type="dxa"/>
          </w:tcPr>
          <w:p>
            <w:r>
              <w:t xml:space="preserve">INFF WORKSHOP AND MISSION IN THE DOMINICAN REPUBLIC</w:t>
            </w:r>
          </w:p>
        </w:tc>
        <w:tc>
          <w:tcPr>
            <w:tcW w:w="2400" w:type="dxa"/>
          </w:tcPr>
          <w:p>
            <w:r>
              <w:t xml:space="preserve"/>
            </w:r>
          </w:p>
        </w:tc>
        <w:tc>
          <w:tcPr>
            <w:tcW w:w="2400" w:type="dxa"/>
          </w:tcPr>
          <w:p>
            <w:r>
              <w:t xml:space="preserve">05 Apr 2026</w:t>
            </w:r>
          </w:p>
        </w:tc>
        <w:tc>
          <w:tcPr>
            <w:tcW w:w="2400" w:type="dxa"/>
          </w:tcPr>
          <w:p>
            <w:r>
              <w:t xml:space="preserve">09 Apr 2026</w:t>
            </w:r>
          </w:p>
        </w:tc>
        <w:tc>
          <w:tcPr>
            <w:tcW w:w="2400" w:type="dxa"/>
          </w:tcPr>
          <w:p>
            <w:r>
              <w:t xml:space="preserve">Country standardized: 'Dominican Rep.' -&gt; 'Dominican Republic'.</w:t>
            </w:r>
          </w:p>
        </w:tc>
      </w:tr>
      <w:tr>
        <w:tc>
          <w:tcPr>
            <w:tcW w:w="2400" w:type="dxa"/>
          </w:tcPr>
          <w:p>
            <w:r>
              <w:t xml:space="preserve">0002270748 - Dominican Republic</w:t>
            </w:r>
          </w:p>
        </w:tc>
        <w:tc>
          <w:tcPr>
            <w:tcW w:w="2400" w:type="dxa"/>
          </w:tcPr>
          <w:p>
            <w:r>
              <w:t xml:space="preserve">0002270748</w:t>
            </w:r>
          </w:p>
        </w:tc>
        <w:tc>
          <w:tcPr>
            <w:tcW w:w="2400" w:type="dxa"/>
          </w:tcPr>
          <w:p>
            <w:r>
              <w:t xml:space="preserve">Past</w:t>
            </w:r>
          </w:p>
        </w:tc>
        <w:tc>
          <w:tcPr>
            <w:tcW w:w="2400" w:type="dxa"/>
          </w:tcPr>
          <w:p>
            <w:r>
              <w:t xml:space="preserve">Dominican Republic</w:t>
            </w:r>
          </w:p>
        </w:tc>
        <w:tc>
          <w:tcPr>
            <w:tcW w:w="2400" w:type="dxa"/>
          </w:tcPr>
          <w:p>
            <w:r>
              <w:t xml:space="preserve"/>
            </w:r>
          </w:p>
        </w:tc>
        <w:tc>
          <w:tcPr>
            <w:tcW w:w="2400" w:type="dxa"/>
          </w:tcPr>
          <w:p>
            <w:r>
              <w:t xml:space="preserve">FINANCING FOR SUSTAINABLE DEVELOPMENT OFFICE</w:t>
            </w:r>
          </w:p>
        </w:tc>
        <w:tc>
          <w:tcPr>
            <w:tcW w:w="2400" w:type="dxa"/>
          </w:tcPr>
          <w:p>
            <w:r>
              <w:t xml:space="preserve">PARTICIPATE IN THE CIAT 60TH GENERAL ASSEMBLY</w:t>
            </w:r>
          </w:p>
        </w:tc>
        <w:tc>
          <w:tcPr>
            <w:tcW w:w="2400" w:type="dxa"/>
          </w:tcPr>
          <w:p>
            <w:r>
              <w:t xml:space="preserve"/>
            </w:r>
          </w:p>
        </w:tc>
        <w:tc>
          <w:tcPr>
            <w:tcW w:w="2400" w:type="dxa"/>
          </w:tcPr>
          <w:p>
            <w:r>
              <w:t xml:space="preserve">10 May 2026</w:t>
            </w:r>
          </w:p>
        </w:tc>
        <w:tc>
          <w:tcPr>
            <w:tcW w:w="2400" w:type="dxa"/>
          </w:tcPr>
          <w:p>
            <w:r>
              <w:t xml:space="preserve">16 May 2026</w:t>
            </w:r>
          </w:p>
        </w:tc>
        <w:tc>
          <w:tcPr>
            <w:tcW w:w="2400" w:type="dxa"/>
          </w:tcPr>
          <w:p>
            <w:r>
              <w:t xml:space="preserve">Country standardized: 'Dominican Rep.' -&gt; 'Dominican Republic'.</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2024</w:t>
            </w:r>
          </w:p>
        </w:tc>
        <w:tc>
          <w:tcPr>
            <w:tcW w:w="2400" w:type="dxa"/>
          </w:tcPr>
          <w:p>
            <w:r>
              <w:t xml:space="preserve">UNSD</w:t>
            </w:r>
          </w:p>
        </w:tc>
        <w:tc>
          <w:tcPr>
            <w:tcW w:w="2400" w:type="dxa"/>
          </w:tcPr>
          <w:p>
            <w:r>
              <w:t xml:space="preserve">Bhutan, Cameroon, Chile, Democratic Socialist Republic of Sri Lanka, Dominican Republic, Maldives, Namibia, United Republic of Tanzania</w:t>
            </w:r>
          </w:p>
        </w:tc>
        <w:tc>
          <w:tcPr>
            <w:tcW w:w="2400" w:type="dxa"/>
          </w:tcPr>
          <w:p>
            <w:r>
              <w:t xml:space="preserve">- Clarify project overall goal and better match resources to the strategic vision. / - Tighten the geographic scope to focus on fewer countries for more effective resource allocation. / - Use the project to kick start or accelerate other initiatives by strategically identifying synergies with partners. / - Adopt a time-bound, agile approach with more in-country resources and sprints for closer monitoring and engagement. / - Design robust results and learning frameworks that feed into strategic decision-making, including country-level output and outcome indicators. / - Rely on the e-learning course for capacity building and consider making its completion a prerequisite for country activities. / - Allow the purchase of equipment to support IT upgrades and incentivize country commitment. / - Introduce country call for proposal to select the most motivated countries for participation. / - Introduce peer reviews to expose countries to best practices and provide recommendations for statistical framework upgrades. / - Provide technical assistance from the onset to help countries identify priorities aligned with technical requirements for using administrative data.</w:t>
            </w:r>
          </w:p>
        </w:tc>
        <w:tc>
          <w:tcPr>
            <w:tcW w:w="2400" w:type="dxa"/>
          </w:tcPr>
          <w:p>
            <w:r>
              <w:t xml:space="preserve">- A demand-driven, country-owned approach fosters sustainability but requires countries to have sufficient capacity to identify and act on priorities. / - A wide geographic scope can dilute resources and limit the depth of support; focusing on fewer countries allows for more effective interventions. / - Strong political support and awareness-raising are critical for successful data sharing and integration of administrative data into official statistics. / - Open-source IT solutions and capacity building enhance sustainability and reduce dependency on external vendors. / - Robust knowledge management and learning frameworks are essential for capturing lessons and supporting replication and scale-up. / - Improvements in data accessibility and quality are achievable, but translating these into improved SDG reporting takes time and further effort. / - Sustainability of project impacts depends on continued country commitment and the ability to scale up beyond pilot areas. / - Synergies with other initiatives and partners can amplify project impact and should be systematically pursued. / - Challenges such as limited IT infrastructure, legal frameworks, and financial resources remain significant barriers to sustainability. / - Gender and human rights considerations, while not a core focus, can be advanced through improved data disaggregation and awareness.</w:t>
            </w:r>
          </w:p>
        </w:tc>
        <w:tc>
          <w:tcPr>
            <w:tcW w:w="2400" w:type="dxa"/>
          </w:tcPr>
          <w:p>
            <w:r>
              <w:t xml:space="preserve">https://unitednations.sharepoint.com/sites/DESA-CDPMO/Shared Documents/General/3. Finance Management/5 - DEVELOPMENT ACCOUNT/DA - DESA/03 PROJECTS - CLOSED/SD/2124C SB-017382 Admin Data/Evaluation/DESA_2124C_DA13 - Final evaluation report.docx</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Terminal Evaluation of Project (Final Report) DA13 INFF Project 2124A ‘Towards Integrated National Financing Framework’</w:t>
            </w:r>
          </w:p>
        </w:tc>
        <w:tc>
          <w:tcPr>
            <w:tcW w:w="2400" w:type="dxa"/>
          </w:tcPr>
          <w:p>
            <w:r>
              <w:t xml:space="preserve">2025</w:t>
            </w:r>
          </w:p>
        </w:tc>
        <w:tc>
          <w:tcPr>
            <w:tcW w:w="2400" w:type="dxa"/>
          </w:tcPr>
          <w:p>
            <w:r>
              <w:t xml:space="preserve">FSDO; EAPD</w:t>
            </w:r>
          </w:p>
        </w:tc>
        <w:tc>
          <w:tcPr>
            <w:tcW w:w="2400" w:type="dxa"/>
          </w:tcPr>
          <w:p>
            <w:r>
              <w:t xml:space="preserve">Belarus, Burkina Faso, Costa Rica, Dominican Republic, Egypt, Jordan, Kyrgyzstan, Pakistan, Samoa, Zambia</w:t>
            </w:r>
          </w:p>
        </w:tc>
        <w:tc>
          <w:tcPr>
            <w:tcW w:w="2400" w:type="dxa"/>
          </w:tcPr>
          <w:p>
            <w:r>
              <w:t xml:space="preserve">- Project conceptualisation should be preceded by a scoping session and/or planning meeting between the executing entities and the cooperating entities, to establish synergies, enhance relevance, and minimise risk, including the possibility for and perception of duplicated efforts. / - Clarified roles and responsibilities at the level of project management and activity coordination should be established to allow for efficient oversight throughout the implementation timeframe. / - Guidance documents on the INFF methodology should provide detailed, step-by-step guidelines that can be easily contextualised by the implementing country. / - The FINS project should be scaled up to provide post-project technical assistance to target and non-target countries in response to their requests for context-specific support for INFF implementation. / - A strengthening of the process for finalising and approving the project results framework should be initiated, to ensure that appropriate results targets and performance measurement indicators are established to increase the usefulness of achieved results.</w:t>
            </w:r>
          </w:p>
        </w:tc>
        <w:tc>
          <w:tcPr>
            <w:tcW w:w="2400" w:type="dxa"/>
          </w:tcPr>
          <w:p>
            <w:r>
              <w:t xml:space="preserve">- The project development phase needs to be reliably informed by a detailed assessment of risk, parallel interventions, and the contextual situation in the countries of intervention focus. / - Efficient project oversight is dependent on a clarified overview of roles and responsibilities at the level of project management. / - The effective application of the INFF methodology at the country-level requires detailed step-by-step guidelines to inform contextualisation. / - The ownership of the INFF methodology by national political leadership contributes towards a demand-driven process that is critical for effective implementation. / - A flexible design combined with strategic partnerships contributes towards stronger impact and the maximisation of efficiency and synergies. / - Digital platforms and data infrastructure support effective implementation and enhance knowledge-exchange and sustainability.</w:t>
            </w:r>
          </w:p>
        </w:tc>
        <w:tc>
          <w:tcPr>
            <w:tcW w:w="2400" w:type="dxa"/>
          </w:tcPr>
          <w:p>
            <w:r>
              <w:t xml:space="preserve">https://unitednations.sharepoint.com/sites/DESA-CDPMO/Shared Documents/General/3. Finance Management/5 - DEVELOPMENT ACCOUNT/DA - DESA/03 PROJECTS - CLOSED/FSDO/2124A SB-016729.01 INFF/Evaluation report/REVISED Final Evaluation Report_INFF Evaluation_7OCT2025.docx</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proposals.xlsx record 'SB-001376.99.99.32|row:49': 'f_cashGov' has non-numeric value 'N/A'.</w:t>
            </w:r>
          </w:p>
        </w:tc>
      </w:tr>
      <w:tr>
        <w:tc>
          <w:tcPr>
            <w:tcW w:w="2400" w:type="dxa"/>
          </w:tcPr>
          <w:p>
            <w:r>
              <w:t xml:space="preserve">7</w:t>
            </w:r>
          </w:p>
        </w:tc>
        <w:tc>
          <w:tcPr>
            <w:tcW w:w="2400" w:type="dxa"/>
          </w:tcPr>
          <w:p>
            <w:r>
              <w:t xml:space="preserve">proposals.xlsx record 'SB-001376.99.99.32|row:49': 'f_cashOther' has non-numeric value 'N/A'.</w:t>
            </w:r>
          </w:p>
        </w:tc>
      </w:tr>
      <w:tr>
        <w:tc>
          <w:tcPr>
            <w:tcW w:w="2400" w:type="dxa"/>
          </w:tcPr>
          <w:p>
            <w:r>
              <w:t xml:space="preserve">8</w:t>
            </w:r>
          </w:p>
        </w:tc>
        <w:tc>
          <w:tcPr>
            <w:tcW w:w="2400" w:type="dxa"/>
          </w:tcPr>
          <w:p>
            <w:r>
              <w:t xml:space="preserve">proposals.xlsx record 'SB-001376.99.99.39|row:74': 'costConferenceServices' has non-numeric value '0||0||$'.</w:t>
            </w:r>
          </w:p>
        </w:tc>
      </w:tr>
      <w:tr>
        <w:tc>
          <w:tcPr>
            <w:tcW w:w="2400" w:type="dxa"/>
          </w:tcPr>
          <w:p>
            <w:r>
              <w:t xml:space="preserve">9</w:t>
            </w:r>
          </w:p>
        </w:tc>
        <w:tc>
          <w:tcPr>
            <w:tcW w:w="2400" w:type="dxa"/>
          </w:tcPr>
          <w:p>
            <w:r>
              <w:t xml:space="preserve">proposals.xlsx record 'SB-001376.99.99.39|row:74': 'costTravelConsultants' has non-numeric value '4,098||4,098||$'.</w:t>
            </w:r>
          </w:p>
        </w:tc>
      </w:tr>
      <w:tr>
        <w:tc>
          <w:tcPr>
            <w:tcW w:w="2400" w:type="dxa"/>
          </w:tcPr>
          <w:p>
            <w:r>
              <w:t xml:space="preserve">10</w:t>
            </w:r>
          </w:p>
        </w:tc>
        <w:tc>
          <w:tcPr>
            <w:tcW w:w="2400" w:type="dxa"/>
          </w:tcPr>
          <w:p>
            <w:r>
              <w:t xml:space="preserve">proposals.xlsx record 'SB-001376.99.99.39|row:74': 'costTravelParticipants' has non-numeric value '0||0||$'.</w:t>
            </w:r>
          </w:p>
        </w:tc>
      </w:tr>
      <w:tr>
        <w:tc>
          <w:tcPr>
            <w:tcW w:w="2400" w:type="dxa"/>
          </w:tcPr>
          <w:p>
            <w:r>
              <w:t xml:space="preserve">11</w:t>
            </w:r>
          </w:p>
        </w:tc>
        <w:tc>
          <w:tcPr>
            <w:tcW w:w="2400" w:type="dxa"/>
          </w:tcPr>
          <w:p>
            <w:r>
              <w:t xml:space="preserve">proposals.xlsx record 'SB-001376.99.99.39|row:74': 'costTravelStaff' has non-numeric value '2,701||2,701||$'.</w:t>
            </w:r>
          </w:p>
        </w:tc>
      </w:tr>
      <w:tr>
        <w:tc>
          <w:tcPr>
            <w:tcW w:w="2400" w:type="dxa"/>
          </w:tcPr>
          <w:p>
            <w:r>
              <w:t xml:space="preserve">12</w:t>
            </w:r>
          </w:p>
        </w:tc>
        <w:tc>
          <w:tcPr>
            <w:tcW w:w="2400" w:type="dxa"/>
          </w:tcPr>
          <w:p>
            <w:r>
              <w:t xml:space="preserve">proposals.xlsx record 'SB-001376.99.99.39|row:74': 'f_cashDESA' has non-numeric value 'US$ 6,799'.</w:t>
            </w:r>
          </w:p>
        </w:tc>
      </w:tr>
      <w:tr>
        <w:tc>
          <w:tcPr>
            <w:tcW w:w="2400" w:type="dxa"/>
          </w:tcPr>
          <w:p>
            <w:r>
              <w:t xml:space="preserve">13</w:t>
            </w:r>
          </w:p>
        </w:tc>
        <w:tc>
          <w:tcPr>
            <w:tcW w:w="2400" w:type="dxa"/>
          </w:tcPr>
          <w:p>
            <w:r>
              <w:t xml:space="preserve">proposals.xlsx record 'SB-001380.94|row:65': 'f_cashDESA' has non-numeric value 'Travel costs for sponsored participants, including airfare, DSA and terminal expenses'.</w:t>
            </w:r>
          </w:p>
        </w:tc>
      </w:tr>
      <w:tr>
        <w:tc>
          <w:tcPr>
            <w:tcW w:w="2400" w:type="dxa"/>
          </w:tcPr>
          <w:p>
            <w:r>
              <w:t xml:space="preserve">14</w:t>
            </w:r>
          </w:p>
        </w:tc>
        <w:tc>
          <w:tcPr>
            <w:tcW w:w="2400" w:type="dxa"/>
          </w:tcPr>
          <w:p>
            <w:r>
              <w:t xml:space="preserve">proposals.xlsx record 'SB-001380.94|row:65': 'f_cashGov' has non-numeric value 'None'.</w:t>
            </w:r>
          </w:p>
        </w:tc>
      </w:tr>
      <w:tr>
        <w:tc>
          <w:tcPr>
            <w:tcW w:w="2400" w:type="dxa"/>
          </w:tcPr>
          <w:p>
            <w:r>
              <w:t xml:space="preserve">15</w:t>
            </w:r>
          </w:p>
        </w:tc>
        <w:tc>
          <w:tcPr>
            <w:tcW w:w="2400" w:type="dxa"/>
          </w:tcPr>
          <w:p>
            <w:r>
              <w:t xml:space="preserve">proposals.xlsx record 'SB-001380.94|row:65': 'f_cashOther' has non-numeric value 'None / as applicable'.</w:t>
            </w:r>
          </w:p>
        </w:tc>
      </w:tr>
      <w:tr>
        <w:tc>
          <w:tcPr>
            <w:tcW w:w="2400" w:type="dxa"/>
          </w:tcPr>
          <w:p>
            <w:r>
              <w:t xml:space="preserve">16</w:t>
            </w:r>
          </w:p>
        </w:tc>
        <w:tc>
          <w:tcPr>
            <w:tcW w:w="2400" w:type="dxa"/>
          </w:tcPr>
          <w:p>
            <w:r>
              <w:t xml:space="preserve">requests.xlsx record '5575': Dates End date 2026-09-12 is before start date 2026-11-08.</w:t>
            </w:r>
          </w:p>
        </w:tc>
      </w:tr>
      <w:tr>
        <w:tc>
          <w:tcPr>
            <w:tcW w:w="2400" w:type="dxa"/>
          </w:tcPr>
          <w:p>
            <w:r>
              <w:t xml:space="preserve">17</w:t>
            </w:r>
          </w:p>
        </w:tc>
        <w:tc>
          <w:tcPr>
            <w:tcW w:w="2400" w:type="dxa"/>
          </w:tcPr>
          <w:p>
            <w:r>
              <w:t xml:space="preserve">requests.xlsx record '5575': End date 2026-09-12 is before start date 2026-11-08.</w:t>
            </w:r>
          </w:p>
        </w:tc>
      </w:tr>
      <w:tr>
        <w:tc>
          <w:tcPr>
            <w:tcW w:w="2400" w:type="dxa"/>
          </w:tcPr>
          <w:p>
            <w:r>
              <w:t xml:space="preserve">18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43</w:t>
            </w:r>
          </w:p>
        </w:tc>
        <w:tc>
          <w:tcPr>
            <w:tcW w:w="2400" w:type="dxa"/>
          </w:tcPr>
          <w:p>
            <w:r>
              <w:t xml:space="preserve">Resolved - Action: duplicate evaluation at evaluations.xlsx row 306 removed; retained row 297 ().</w:t>
            </w:r>
          </w:p>
        </w:tc>
      </w:tr>
      <w:tr>
        <w:tc>
          <w:tcPr>
            <w:tcW w:w="2400" w:type="dxa"/>
          </w:tcPr>
          <w:p>
            <w:r>
              <w:t xml:space="preserve">44</w:t>
            </w:r>
          </w:p>
        </w:tc>
        <w:tc>
          <w:tcPr>
            <w:tcW w:w="2400" w:type="dxa"/>
          </w:tcPr>
          <w:p>
            <w:r>
              <w:t xml:space="preserve">Resolved - Action: duplicate evaluation at evaluations.xlsx row 332 removed; retained row 302 ().</w:t>
            </w:r>
          </w:p>
        </w:tc>
      </w:tr>
      <w:tr>
        <w:tc>
          <w:tcPr>
            <w:tcW w:w="2400" w:type="dxa"/>
          </w:tcPr>
          <w:p>
            <w:r>
              <w:t xml:space="preserve">45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