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Ecuador</w:t>
      </w:r>
    </w:p>
    <w:p>
      <w:r>
        <w:rPr>
          <w:sz w:val="20"/>
          <w:color w:val="4B5563"/>
        </w:rPr>
        <w:t xml:space="preserve">Americas</w:t>
      </w:r>
    </w:p>
    <w:p>
      <w:r>
        <w:rPr>
          <w:sz w:val="20"/>
          <w:color w:val="4B5563"/>
        </w:rPr>
        <w:t xml:space="preserve">Exported 05 Oct 2026, 14:20 | Snapshot 03 Oct 2026, 21:47 GMT-4</w:t>
      </w:r>
    </w:p>
    <w:p>
      <w:r>
        <w:rPr>
          <w:b/>
          <w:sz w:val="28"/>
          <w:color w:val="174A7C"/>
        </w:rPr>
        <w:t xml:space="preserve">Summary</w:t>
      </w:r>
    </w:p>
    <w:p>
      <w:r>
        <w:t xml:space="preserve">Ecuador is presented in this country card as part of Americas, with Ecuador also associated with an unspecified subregion and the no recorded country group grouping. The filtered data for Ecuador highlights 4 projects for Ecuador, including 0 active or planned projects for Ecuador and 4 completed or closed projects for Ecuador.</w:t>
      </w:r>
    </w:p>
    <w:p>
      <w:r>
        <w:t xml:space="preserve">For Ecuador, the report includes 25 requests for Ecuador, 4 RPTC proposals for Ecuador, 2 RPTC activities for Ecuador, and 0 travel records for Ecuador. Financially, Ecuador shows USD 4,780,600 in project budget, $211,186 in proposal planned budget, and $201,588 in consumed RPTC activity budget for Ecuador.</w:t>
      </w:r>
    </w:p>
    <w:p>
      <w:r>
        <w:t xml:space="preserve">The main organizational coverage for Ecuador points to Division for Inclusive Social Development, Division for Public Institutions and Digital Government, Financing for Sustainable Development Office, FSDO. Activity records for Ecuador list 1,381 participants, including 709 women participants, the current quality review for Ecuador includes 64 data quality notes. Current highlights for Ecuador include a request focus for Ecuador: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 an RPTC proposal focus for Ecuador: Workshop on the use of interoperability standards for the management of geographical names “Linking Geographical Names, the Disaggregation and Localization of Sustainable Development Goals and the Semantic Web”; an activity focus for Ecuador: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4</w:t>
            </w:r>
          </w:p>
        </w:tc>
      </w:tr>
      <w:tr>
        <w:tc>
          <w:tcPr>
            <w:tcW w:w="2400" w:type="dxa"/>
          </w:tcPr>
          <w:p>
            <w:r>
              <w:t xml:space="preserve">Project budget</w:t>
            </w:r>
          </w:p>
        </w:tc>
        <w:tc>
          <w:tcPr>
            <w:tcW w:w="2400" w:type="dxa"/>
          </w:tcPr>
          <w:p>
            <w:r>
              <w:t xml:space="preserve">USD 4,780,600</w:t>
            </w:r>
          </w:p>
        </w:tc>
      </w:tr>
      <w:tr>
        <w:tc>
          <w:tcPr>
            <w:tcW w:w="2400" w:type="dxa"/>
          </w:tcPr>
          <w:p>
            <w:r>
              <w:t xml:space="preserve">Requests</w:t>
            </w:r>
          </w:p>
        </w:tc>
        <w:tc>
          <w:tcPr>
            <w:tcW w:w="2400" w:type="dxa"/>
          </w:tcPr>
          <w:p>
            <w:r>
              <w:t xml:space="preserve">25</w:t>
            </w:r>
          </w:p>
        </w:tc>
      </w:tr>
      <w:tr>
        <w:tc>
          <w:tcPr>
            <w:tcW w:w="2400" w:type="dxa"/>
          </w:tcPr>
          <w:p>
            <w:r>
              <w:t xml:space="preserve">RPTC proposals</w:t>
            </w:r>
          </w:p>
        </w:tc>
        <w:tc>
          <w:tcPr>
            <w:tcW w:w="2400" w:type="dxa"/>
          </w:tcPr>
          <w:p>
            <w:r>
              <w:t xml:space="preserve">4</w:t>
            </w:r>
          </w:p>
        </w:tc>
      </w:tr>
      <w:tr>
        <w:tc>
          <w:tcPr>
            <w:tcW w:w="2400" w:type="dxa"/>
          </w:tcPr>
          <w:p>
            <w:r>
              <w:t xml:space="preserve">Proposal planned budget</w:t>
            </w:r>
          </w:p>
        </w:tc>
        <w:tc>
          <w:tcPr>
            <w:tcW w:w="2400" w:type="dxa"/>
          </w:tcPr>
          <w:p>
            <w:r>
              <w:t xml:space="preserve">$211,186</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8</w:t>
            </w:r>
          </w:p>
        </w:tc>
      </w:tr>
      <w:tr>
        <w:tc>
          <w:tcPr>
            <w:tcW w:w="2400" w:type="dxa"/>
          </w:tcPr>
          <w:p>
            <w:r>
              <w:t xml:space="preserve">Data quality notes</w:t>
            </w:r>
          </w:p>
        </w:tc>
        <w:tc>
          <w:tcPr>
            <w:tcW w:w="2400" w:type="dxa"/>
          </w:tcPr>
          <w:p>
            <w:r>
              <w:t xml:space="preserve">64</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2124C</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28 Jun 2024</w:t>
            </w:r>
          </w:p>
        </w:tc>
        <w:tc>
          <w:tcPr>
            <w:tcW w:w="2400" w:type="dxa"/>
          </w:tcPr>
          <w:p>
            <w:r>
              <w:t xml:space="preserve">USD 624,000</w:t>
            </w:r>
          </w:p>
        </w:tc>
        <w:tc>
          <w:tcPr>
            <w:tcW w:w="2400" w:type="dxa"/>
          </w:tcPr>
          <w:p>
            <w:r>
              <w:t xml:space="preserve">Bhutan, Cameroon, Chile, Democratic Socialist Republic of Sri Lanka, Dominican Republic, Ecuador, Namibia, United Republic of Tanzania</w:t>
            </w:r>
          </w:p>
        </w:tc>
        <w:tc>
          <w:tcPr>
            <w:tcW w:w="2400" w:type="dxa"/>
          </w:tcPr>
          <w:p>
            <w:r>
              <w:t xml:space="preserve">Country standardized: 'Sri Lanka' -&gt; 'Democratic Socialist Republic of Sri Lanka'. / Country standardized: 'Tanzania' -&gt; 'United Republic of Tanzania'.</w:t>
            </w:r>
          </w:p>
        </w:tc>
      </w:tr>
      <w:tr>
        <w:tc>
          <w:tcPr>
            <w:tcW w:w="2400" w:type="dxa"/>
          </w:tcPr>
          <w:p>
            <w:r>
              <w:t xml:space="preserve">Policies and programmes for youth with disabilities in Latin America</w:t>
            </w:r>
          </w:p>
        </w:tc>
        <w:tc>
          <w:tcPr>
            <w:tcW w:w="2400" w:type="dxa"/>
          </w:tcPr>
          <w:p>
            <w:r>
              <w:t xml:space="preserve">1819A</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524,600</w:t>
            </w:r>
          </w:p>
        </w:tc>
        <w:tc>
          <w:tcPr>
            <w:tcW w:w="2400" w:type="dxa"/>
          </w:tcPr>
          <w:p>
            <w:r>
              <w:t xml:space="preserve">Argentina, Ecuador, Peru</w:t>
            </w:r>
          </w:p>
        </w:tc>
        <w:tc>
          <w:tcPr>
            <w:tcW w:w="2400" w:type="dxa"/>
          </w:tcPr>
          <w:p>
            <w:r>
              <w:t xml:space="preserve"/>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c>
          <w:tcPr>
            <w:tcW w:w="2400" w:type="dxa"/>
          </w:tcPr>
          <w:p>
            <w:r>
              <w:t xml:space="preserve"/>
            </w:r>
          </w:p>
        </w:tc>
      </w:tr>
      <w:tr>
        <w:tc>
          <w:tcPr>
            <w:tcW w:w="2400" w:type="dxa"/>
          </w:tcPr>
          <w:p>
            <w:r>
              <w:t xml:space="preserve">5575</w:t>
            </w:r>
          </w:p>
        </w:tc>
        <w:tc>
          <w:tcPr>
            <w:tcW w:w="2400" w:type="dxa"/>
          </w:tcPr>
          <w:p>
            <w:r>
              <w:t xml:space="preserve">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Under consideration</w:t>
            </w:r>
          </w:p>
        </w:tc>
        <w:tc>
          <w:tcPr>
            <w:tcW w:w="2400" w:type="dxa"/>
          </w:tcPr>
          <w:p>
            <w:r>
              <w:t xml:space="preserve">Statistics Division</w:t>
            </w:r>
          </w:p>
        </w:tc>
        <w:tc>
          <w:tcPr>
            <w:tcW w:w="2400" w:type="dxa"/>
          </w:tcPr>
          <w:p>
            <w:r>
              <w:t xml:space="preserve">04 Sept 2026</w:t>
            </w:r>
          </w:p>
        </w:tc>
        <w:tc>
          <w:tcPr>
            <w:tcW w:w="2400" w:type="dxa"/>
          </w:tcPr>
          <w:p>
            <w:r>
              <w:t xml:space="preserve">08 Nov 2026</w:t>
            </w:r>
          </w:p>
        </w:tc>
        <w:tc>
          <w:tcPr>
            <w:tcW w:w="2400" w:type="dxa"/>
          </w:tcPr>
          <w:p>
            <w:r>
              <w:t xml:space="preserve">12 Sept 2026</w:t>
            </w:r>
          </w:p>
        </w:tc>
        <w:tc>
          <w:tcPr>
            <w:tcW w:w="2400" w:type="dxa"/>
          </w:tcPr>
          <w:p>
            <w:r>
              <w:t xml:space="preserve">Abdulla Gozalov | gozalov@un.org</w:t>
            </w:r>
          </w:p>
        </w:tc>
        <w:tc>
          <w:tcPr>
            <w:tcW w:w="2400" w:type="dxa"/>
          </w:tcPr>
          <w:p>
            <w:r>
              <w:t xml:space="preserve">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
            </w:r>
          </w:p>
        </w:tc>
        <w:tc>
          <w:tcPr>
            <w:tcW w:w="2400" w:type="dxa"/>
          </w:tcPr>
          <w:p>
            <w:r>
              <w:t xml:space="preserve">requests.xlsx record '5575': Dates End date 2026-09-12 is before start date 2026-11-08. / requests.xlsx record '5575': End date 2026-09-12 is before start date 2026-11-08.</w:t>
            </w:r>
          </w:p>
        </w:tc>
      </w:tr>
      <w:tr>
        <w:tc>
          <w:tcPr>
            <w:tcW w:w="2400" w:type="dxa"/>
          </w:tcPr>
          <w:p>
            <w:r>
              <w:t xml:space="preserve">5567</w:t>
            </w:r>
          </w:p>
        </w:tc>
        <w:tc>
          <w:tcPr>
            <w:tcW w:w="2400" w:type="dxa"/>
          </w:tcPr>
          <w:p>
            <w:r>
              <w:t xml:space="preserve">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Dec 2026</w:t>
            </w:r>
          </w:p>
        </w:tc>
        <w:tc>
          <w:tcPr>
            <w:tcW w:w="2400" w:type="dxa"/>
          </w:tcPr>
          <w:p>
            <w:r>
              <w:t xml:space="preserve">Kimberly Bordon | kbordon@aladi.org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
            </w:r>
          </w:p>
        </w:tc>
        <w:tc>
          <w:tcPr>
            <w:tcW w:w="2400" w:type="dxa"/>
          </w:tcPr>
          <w:p>
            <w:r>
              <w:t xml:space="preserve"/>
            </w:r>
          </w:p>
        </w:tc>
      </w:tr>
      <w:tr>
        <w:tc>
          <w:tcPr>
            <w:tcW w:w="2400" w:type="dxa"/>
          </w:tcPr>
          <w:p>
            <w:r>
              <w:t xml:space="preserve">5377</w:t>
            </w:r>
          </w:p>
        </w:tc>
        <w:tc>
          <w:tcPr>
            <w:tcW w:w="2400" w:type="dxa"/>
          </w:tcPr>
          <w:p>
            <w:r>
              <w:t xml:space="preserve">Request #5377 ? 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Completed</w:t>
            </w:r>
          </w:p>
        </w:tc>
        <w:tc>
          <w:tcPr>
            <w:tcW w:w="2400" w:type="dxa"/>
          </w:tcPr>
          <w:p>
            <w:r>
              <w:t xml:space="preserve">Statistics Division</w:t>
            </w:r>
          </w:p>
        </w:tc>
        <w:tc>
          <w:tcPr>
            <w:tcW w:w="2400" w:type="dxa"/>
          </w:tcPr>
          <w:p>
            <w:r>
              <w:t xml:space="preserve">12 Nov 2025</w:t>
            </w:r>
          </w:p>
        </w:tc>
        <w:tc>
          <w:tcPr>
            <w:tcW w:w="2400" w:type="dxa"/>
          </w:tcPr>
          <w:p>
            <w:r>
              <w:t xml:space="preserve">01 Dec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
            </w:r>
          </w:p>
        </w:tc>
        <w:tc>
          <w:tcPr>
            <w:tcW w:w="2400" w:type="dxa"/>
          </w:tcPr>
          <w:p>
            <w:r>
              <w:t xml:space="preserve"/>
            </w:r>
          </w:p>
        </w:tc>
      </w:tr>
      <w:tr>
        <w:tc>
          <w:tcPr>
            <w:tcW w:w="2400" w:type="dxa"/>
          </w:tcPr>
          <w:p>
            <w:r>
              <w:t xml:space="preserve">5373</w:t>
            </w:r>
          </w:p>
        </w:tc>
        <w:tc>
          <w:tcPr>
            <w:tcW w:w="2400" w:type="dxa"/>
          </w:tcPr>
          <w:p>
            <w:r>
              <w:t xml:space="preserve">Request #5373 ? 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May 2026</w:t>
            </w:r>
          </w:p>
        </w:tc>
        <w:tc>
          <w:tcPr>
            <w:tcW w:w="2400" w:type="dxa"/>
          </w:tcPr>
          <w:p>
            <w:r>
              <w:t xml:space="preserve">Kimberly Bordon | kbordon@aladi.org</w:t>
            </w:r>
          </w:p>
        </w:tc>
        <w:tc>
          <w:tcPr>
            <w:tcW w:w="2400" w:type="dxa"/>
          </w:tcPr>
          <w:p>
            <w:r>
              <w:t xml:space="preserve">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
            </w:r>
          </w:p>
        </w:tc>
        <w:tc>
          <w:tcPr>
            <w:tcW w:w="2400" w:type="dxa"/>
          </w:tcPr>
          <w:p>
            <w:r>
              <w:t xml:space="preserve"/>
            </w:r>
          </w:p>
        </w:tc>
      </w:tr>
      <w:tr>
        <w:tc>
          <w:tcPr>
            <w:tcW w:w="2400" w:type="dxa"/>
          </w:tcPr>
          <w:p>
            <w:r>
              <w:t xml:space="preserve">5246</w:t>
            </w:r>
          </w:p>
        </w:tc>
        <w:tc>
          <w:tcPr>
            <w:tcW w:w="2400" w:type="dxa"/>
          </w:tcPr>
          <w:p>
            <w:r>
              <w:t xml:space="preserve">Request #5246 ? 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Under consideration</w:t>
            </w:r>
          </w:p>
        </w:tc>
        <w:tc>
          <w:tcPr>
            <w:tcW w:w="2400" w:type="dxa"/>
          </w:tcPr>
          <w:p>
            <w:r>
              <w:t xml:space="preserve">Statistics Division</w:t>
            </w:r>
          </w:p>
        </w:tc>
        <w:tc>
          <w:tcPr>
            <w:tcW w:w="2400" w:type="dxa"/>
          </w:tcPr>
          <w:p>
            <w:r>
              <w:t xml:space="preserve">02 May 2025</w:t>
            </w:r>
          </w:p>
        </w:tc>
        <w:tc>
          <w:tcPr>
            <w:tcW w:w="2400" w:type="dxa"/>
          </w:tcPr>
          <w:p>
            <w:r>
              <w:t xml:space="preserve">11 Aug 2025</w:t>
            </w:r>
          </w:p>
        </w:tc>
        <w:tc>
          <w:tcPr>
            <w:tcW w:w="2400" w:type="dxa"/>
          </w:tcPr>
          <w:p>
            <w:r>
              <w:t xml:space="preserve">14 Aug 2025</w:t>
            </w:r>
          </w:p>
        </w:tc>
        <w:tc>
          <w:tcPr>
            <w:tcW w:w="2400" w:type="dxa"/>
          </w:tcPr>
          <w:p>
            <w:r>
              <w:t xml:space="preserve">Mark Iliffe | mark.iliffe@un.org</w:t>
            </w:r>
          </w:p>
        </w:tc>
        <w:tc>
          <w:tcPr>
            <w:tcW w:w="2400" w:type="dxa"/>
          </w:tcPr>
          <w:p>
            <w:r>
              <w:t xml:space="preserve">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
            </w:r>
          </w:p>
        </w:tc>
        <w:tc>
          <w:tcPr>
            <w:tcW w:w="2400" w:type="dxa"/>
          </w:tcPr>
          <w:p>
            <w:r>
              <w:t xml:space="preserve"/>
            </w:r>
          </w:p>
        </w:tc>
      </w:tr>
      <w:tr>
        <w:tc>
          <w:tcPr>
            <w:tcW w:w="2400" w:type="dxa"/>
          </w:tcPr>
          <w:p>
            <w:r>
              <w:t xml:space="preserve">5136</w:t>
            </w:r>
          </w:p>
        </w:tc>
        <w:tc>
          <w:tcPr>
            <w:tcW w:w="2400" w:type="dxa"/>
          </w:tcPr>
          <w:p>
            <w:r>
              <w:t xml:space="preserve">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Under consideration</w:t>
            </w:r>
          </w:p>
        </w:tc>
        <w:tc>
          <w:tcPr>
            <w:tcW w:w="2400" w:type="dxa"/>
          </w:tcPr>
          <w:p>
            <w:r>
              <w:t xml:space="preserve">Statistics Division</w:t>
            </w:r>
          </w:p>
        </w:tc>
        <w:tc>
          <w:tcPr>
            <w:tcW w:w="2400" w:type="dxa"/>
          </w:tcPr>
          <w:p>
            <w:r>
              <w:t xml:space="preserve">03 Mar 2025</w:t>
            </w:r>
          </w:p>
        </w:tc>
        <w:tc>
          <w:tcPr>
            <w:tcW w:w="2400" w:type="dxa"/>
          </w:tcPr>
          <w:p>
            <w:r>
              <w:t xml:space="preserve">17 Mar 2025</w:t>
            </w:r>
          </w:p>
        </w:tc>
        <w:tc>
          <w:tcPr>
            <w:tcW w:w="2400" w:type="dxa"/>
          </w:tcPr>
          <w:p>
            <w:r>
              <w:t xml:space="preserve">27 May 2025</w:t>
            </w:r>
          </w:p>
        </w:tc>
        <w:tc>
          <w:tcPr>
            <w:tcW w:w="2400" w:type="dxa"/>
          </w:tcPr>
          <w:p>
            <w:r>
              <w:t xml:space="preserve">Pedro Farinas | farinas@un.org</w:t>
            </w:r>
          </w:p>
        </w:tc>
        <w:tc>
          <w:tcPr>
            <w:tcW w:w="2400" w:type="dxa"/>
          </w:tcPr>
          <w:p>
            <w:r>
              <w:t xml:space="preserve">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
            </w:r>
          </w:p>
        </w:tc>
        <w:tc>
          <w:tcPr>
            <w:tcW w:w="2400" w:type="dxa"/>
          </w:tcPr>
          <w:p>
            <w:r>
              <w:t xml:space="preserve"/>
            </w:r>
          </w:p>
        </w:tc>
      </w:tr>
      <w:tr>
        <w:tc>
          <w:tcPr>
            <w:tcW w:w="2400" w:type="dxa"/>
          </w:tcPr>
          <w:p>
            <w:r>
              <w:t xml:space="preserve">5158</w:t>
            </w:r>
          </w:p>
        </w:tc>
        <w:tc>
          <w:tcPr>
            <w:tcW w:w="2400" w:type="dxa"/>
          </w:tcPr>
          <w:p>
            <w:r>
              <w:t xml:space="preserve">Request #5158 ? Government of Ecuador (through RCO)  expressed its desire in hosting a Mayors' conference -either at a regional or global level- similar to the 2024 International Mayors Forum held in Jakarta last July.</w:t>
            </w:r>
          </w:p>
        </w:tc>
        <w:tc>
          <w:tcPr>
            <w:tcW w:w="2400" w:type="dxa"/>
          </w:tcPr>
          <w:p>
            <w:r>
              <w:t xml:space="preserve">Ongoing</w:t>
            </w:r>
          </w:p>
        </w:tc>
        <w:tc>
          <w:tcPr>
            <w:tcW w:w="2400" w:type="dxa"/>
          </w:tcPr>
          <w:p>
            <w:r>
              <w:t xml:space="preserve">Division for Sustainable Development Goals</w:t>
            </w:r>
          </w:p>
        </w:tc>
        <w:tc>
          <w:tcPr>
            <w:tcW w:w="2400" w:type="dxa"/>
          </w:tcPr>
          <w:p>
            <w:r>
              <w:t xml:space="preserve">23 Jan 2025</w:t>
            </w:r>
          </w:p>
        </w:tc>
        <w:tc>
          <w:tcPr>
            <w:tcW w:w="2400" w:type="dxa"/>
          </w:tcPr>
          <w:p>
            <w:r>
              <w:t xml:space="preserve">01 Feb 2025</w:t>
            </w:r>
          </w:p>
        </w:tc>
        <w:tc>
          <w:tcPr>
            <w:tcW w:w="2400" w:type="dxa"/>
          </w:tcPr>
          <w:p>
            <w:r>
              <w:t xml:space="preserve">31 Dec 2026</w:t>
            </w:r>
          </w:p>
        </w:tc>
        <w:tc>
          <w:tcPr>
            <w:tcW w:w="2400" w:type="dxa"/>
          </w:tcPr>
          <w:p>
            <w:r>
              <w:t xml:space="preserve">Lena Saveli | carolina.teran@un.org</w:t>
            </w:r>
          </w:p>
        </w:tc>
        <w:tc>
          <w:tcPr>
            <w:tcW w:w="2400" w:type="dxa"/>
          </w:tcPr>
          <w:p>
            <w:r>
              <w:t xml:space="preserve">Government of Ecuador (through RCO)  expressed its desire in hosting a Mayors' conference -either at a regional or global level- similar to the 2024 International Mayors Forum held in Jakarta last July.</w:t>
            </w:r>
          </w:p>
        </w:tc>
        <w:tc>
          <w:tcPr>
            <w:tcW w:w="2400" w:type="dxa"/>
          </w:tcPr>
          <w:p>
            <w:r>
              <w:t xml:space="preserve"/>
            </w:r>
          </w:p>
        </w:tc>
        <w:tc>
          <w:tcPr>
            <w:tcW w:w="2400" w:type="dxa"/>
          </w:tcPr>
          <w:p>
            <w:r>
              <w:t xml:space="preserve"/>
            </w:r>
          </w:p>
        </w:tc>
      </w:tr>
      <w:tr>
        <w:tc>
          <w:tcPr>
            <w:tcW w:w="2400" w:type="dxa"/>
          </w:tcPr>
          <w:p>
            <w:r>
              <w:t xml:space="preserve">5083</w:t>
            </w:r>
          </w:p>
        </w:tc>
        <w:tc>
          <w:tcPr>
            <w:tcW w:w="2400" w:type="dxa"/>
          </w:tcPr>
          <w:p>
            <w:r>
              <w:t xml:space="preserve">Request #5083 ? 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Completed</w:t>
            </w:r>
          </w:p>
        </w:tc>
        <w:tc>
          <w:tcPr>
            <w:tcW w:w="2400" w:type="dxa"/>
          </w:tcPr>
          <w:p>
            <w:r>
              <w:t xml:space="preserve">Statistics Division</w:t>
            </w:r>
          </w:p>
        </w:tc>
        <w:tc>
          <w:tcPr>
            <w:tcW w:w="2400" w:type="dxa"/>
          </w:tcPr>
          <w:p>
            <w:r>
              <w:t xml:space="preserve">20 Sept 2024</w:t>
            </w:r>
          </w:p>
        </w:tc>
        <w:tc>
          <w:tcPr>
            <w:tcW w:w="2400" w:type="dxa"/>
          </w:tcPr>
          <w:p>
            <w:r>
              <w:t xml:space="preserve">21 Sept 2024</w:t>
            </w:r>
          </w:p>
        </w:tc>
        <w:tc>
          <w:tcPr>
            <w:tcW w:w="2400" w:type="dxa"/>
          </w:tcPr>
          <w:p>
            <w:r>
              <w:t xml:space="preserve">31 Jan 2025</w:t>
            </w:r>
          </w:p>
        </w:tc>
        <w:tc>
          <w:tcPr>
            <w:tcW w:w="2400" w:type="dxa"/>
          </w:tcPr>
          <w:p>
            <w:r>
              <w:t xml:space="preserve">Camilo Andres Mendez Coronado | camendezc@dane.gov.co</w:t>
            </w:r>
          </w:p>
        </w:tc>
        <w:tc>
          <w:tcPr>
            <w:tcW w:w="2400" w:type="dxa"/>
          </w:tcPr>
          <w:p>
            <w:r>
              <w:t xml:space="preserve">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
            </w:r>
          </w:p>
        </w:tc>
        <w:tc>
          <w:tcPr>
            <w:tcW w:w="2400" w:type="dxa"/>
          </w:tcPr>
          <w:p>
            <w:r>
              <w:t xml:space="preserve"/>
            </w:r>
          </w:p>
        </w:tc>
      </w:tr>
      <w:tr>
        <w:tc>
          <w:tcPr>
            <w:tcW w:w="2400" w:type="dxa"/>
          </w:tcPr>
          <w:p>
            <w:r>
              <w:t xml:space="preserve">5073</w:t>
            </w:r>
          </w:p>
        </w:tc>
        <w:tc>
          <w:tcPr>
            <w:tcW w:w="2400" w:type="dxa"/>
          </w:tcPr>
          <w:p>
            <w:r>
              <w:t xml:space="preserve">Request #5073 ? Groundwater monitoring training programme for Ecuador from 14 to 17 October 2024</w:t>
            </w:r>
          </w:p>
        </w:tc>
        <w:tc>
          <w:tcPr>
            <w:tcW w:w="2400" w:type="dxa"/>
          </w:tcPr>
          <w:p>
            <w:r>
              <w:t xml:space="preserve">Completed</w:t>
            </w:r>
          </w:p>
        </w:tc>
        <w:tc>
          <w:tcPr>
            <w:tcW w:w="2400" w:type="dxa"/>
          </w:tcPr>
          <w:p>
            <w:r>
              <w:t xml:space="preserve">Division for Sustainable Development Goals</w:t>
            </w:r>
          </w:p>
        </w:tc>
        <w:tc>
          <w:tcPr>
            <w:tcW w:w="2400" w:type="dxa"/>
          </w:tcPr>
          <w:p>
            <w:r>
              <w:t xml:space="preserve">27 Aug 2024</w:t>
            </w:r>
          </w:p>
        </w:tc>
        <w:tc>
          <w:tcPr>
            <w:tcW w:w="2400" w:type="dxa"/>
          </w:tcPr>
          <w:p>
            <w:r>
              <w:t xml:space="preserve">14 Oct 2024</w:t>
            </w:r>
          </w:p>
        </w:tc>
        <w:tc>
          <w:tcPr>
            <w:tcW w:w="2400" w:type="dxa"/>
          </w:tcPr>
          <w:p>
            <w:r>
              <w:t xml:space="preserve">31 Dec 2026</w:t>
            </w:r>
          </w:p>
        </w:tc>
        <w:tc>
          <w:tcPr>
            <w:tcW w:w="2400" w:type="dxa"/>
          </w:tcPr>
          <w:p>
            <w:r>
              <w:t xml:space="preserve">Sariha Moya | observatorioplanificacion@cepal.org</w:t>
            </w:r>
          </w:p>
        </w:tc>
        <w:tc>
          <w:tcPr>
            <w:tcW w:w="2400" w:type="dxa"/>
          </w:tcPr>
          <w:p>
            <w:r>
              <w:t xml:space="preserve">Groundwater monitoring training programme for Ecuador from 14 to 17 October 2024</w:t>
            </w:r>
          </w:p>
        </w:tc>
        <w:tc>
          <w:tcPr>
            <w:tcW w:w="2400" w:type="dxa"/>
          </w:tcPr>
          <w:p>
            <w:r>
              <w:t xml:space="preserve"/>
            </w:r>
          </w:p>
        </w:tc>
        <w:tc>
          <w:tcPr>
            <w:tcW w:w="2400" w:type="dxa"/>
          </w:tcPr>
          <w:p>
            <w:r>
              <w:t xml:space="preserve"/>
            </w:r>
          </w:p>
        </w:tc>
      </w:tr>
      <w:tr>
        <w:tc>
          <w:tcPr>
            <w:tcW w:w="2400" w:type="dxa"/>
          </w:tcPr>
          <w:p>
            <w:r>
              <w:t xml:space="preserve">5055</w:t>
            </w:r>
          </w:p>
        </w:tc>
        <w:tc>
          <w:tcPr>
            <w:tcW w:w="2400" w:type="dxa"/>
          </w:tcPr>
          <w:p>
            <w:r>
              <w:t xml:space="preserve">Request #5055 ? Support PPP project investment readiness and meaningful engagement of Ecuador in the 2024 SDG investment fair. Support for piloting of STAIRS tool to PPP Unit project preparation process.</w:t>
            </w:r>
          </w:p>
        </w:tc>
        <w:tc>
          <w:tcPr>
            <w:tcW w:w="2400" w:type="dxa"/>
          </w:tcPr>
          <w:p>
            <w:r>
              <w:t xml:space="preserve">Ongoing</w:t>
            </w:r>
          </w:p>
        </w:tc>
        <w:tc>
          <w:tcPr>
            <w:tcW w:w="2400" w:type="dxa"/>
          </w:tcPr>
          <w:p>
            <w:r>
              <w:t xml:space="preserve">Financing for Sustainable Development Office</w:t>
            </w:r>
          </w:p>
        </w:tc>
        <w:tc>
          <w:tcPr>
            <w:tcW w:w="2400" w:type="dxa"/>
          </w:tcPr>
          <w:p>
            <w:r>
              <w:t xml:space="preserve">02 Feb 2024</w:t>
            </w:r>
          </w:p>
        </w:tc>
        <w:tc>
          <w:tcPr>
            <w:tcW w:w="2400" w:type="dxa"/>
          </w:tcPr>
          <w:p>
            <w:r>
              <w:t xml:space="preserve">01 Mar 2024</w:t>
            </w:r>
          </w:p>
        </w:tc>
        <w:tc>
          <w:tcPr>
            <w:tcW w:w="2400" w:type="dxa"/>
          </w:tcPr>
          <w:p>
            <w:r>
              <w:t xml:space="preserve">31 Dec 2025</w:t>
            </w:r>
          </w:p>
        </w:tc>
        <w:tc>
          <w:tcPr>
            <w:tcW w:w="2400" w:type="dxa"/>
          </w:tcPr>
          <w:p>
            <w:r>
              <w:t xml:space="preserve">Ms. Martina Alvarado | martina.alvarado@appecuador.gob.ec</w:t>
            </w:r>
          </w:p>
        </w:tc>
        <w:tc>
          <w:tcPr>
            <w:tcW w:w="2400" w:type="dxa"/>
          </w:tcPr>
          <w:p>
            <w:r>
              <w:t xml:space="preserve">Support PPP project investment readiness and meaningful engagement of Ecuador in the 2024 SDG investment fair. Support for piloting of STAIRS tool to PPP Unit project preparation process.</w:t>
            </w:r>
          </w:p>
        </w:tc>
        <w:tc>
          <w:tcPr>
            <w:tcW w:w="2400" w:type="dxa"/>
          </w:tcPr>
          <w:p>
            <w:r>
              <w:t xml:space="preserve"/>
            </w:r>
          </w:p>
        </w:tc>
        <w:tc>
          <w:tcPr>
            <w:tcW w:w="2400" w:type="dxa"/>
          </w:tcPr>
          <w:p>
            <w:r>
              <w:t xml:space="preserve"/>
            </w:r>
          </w:p>
        </w:tc>
      </w:tr>
      <w:tr>
        <w:tc>
          <w:tcPr>
            <w:tcW w:w="2400" w:type="dxa"/>
          </w:tcPr>
          <w:p>
            <w:r>
              <w:t xml:space="preserve">2726</w:t>
            </w:r>
          </w:p>
        </w:tc>
        <w:tc>
          <w:tcPr>
            <w:tcW w:w="2400" w:type="dxa"/>
          </w:tcPr>
          <w:p>
            <w:r>
              <w:t xml:space="preserve">Request #2726 ? N/A</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Nov 2020</w:t>
            </w:r>
          </w:p>
        </w:tc>
        <w:tc>
          <w:tcPr>
            <w:tcW w:w="2400" w:type="dxa"/>
          </w:tcPr>
          <w:p>
            <w:r>
              <w:t xml:space="preserve"/>
            </w:r>
          </w:p>
        </w:tc>
        <w:tc>
          <w:tcPr>
            <w:tcW w:w="2400" w:type="dxa"/>
          </w:tcPr>
          <w:p>
            <w:r>
              <w:t xml:space="preserve"/>
            </w:r>
          </w:p>
        </w:tc>
        <w:tc>
          <w:tcPr>
            <w:tcW w:w="2400" w:type="dxa"/>
          </w:tcPr>
          <w:p>
            <w:r>
              <w:t xml:space="preserve">Anna Kudo | anna.kudo@un.org</w:t>
            </w:r>
          </w:p>
        </w:tc>
        <w:tc>
          <w:tcPr>
            <w:tcW w:w="2400" w:type="dxa"/>
          </w:tcPr>
          <w:p>
            <w:r>
              <w:t xml:space="preserve">N/A</w:t>
            </w:r>
          </w:p>
        </w:tc>
        <w:tc>
          <w:tcPr>
            <w:tcW w:w="2400" w:type="dxa"/>
          </w:tcPr>
          <w:p>
            <w:r>
              <w:t xml:space="preserve"/>
            </w:r>
          </w:p>
        </w:tc>
        <w:tc>
          <w:tcPr>
            <w:tcW w:w="2400" w:type="dxa"/>
          </w:tcPr>
          <w:p>
            <w:r>
              <w:t xml:space="preserve"/>
            </w:r>
          </w:p>
        </w:tc>
      </w:tr>
      <w:tr>
        <w:tc>
          <w:tcPr>
            <w:tcW w:w="2400" w:type="dxa"/>
          </w:tcPr>
          <w:p>
            <w:r>
              <w:t xml:space="preserve">4302</w:t>
            </w:r>
          </w:p>
        </w:tc>
        <w:tc>
          <w:tcPr>
            <w:tcW w:w="2400" w:type="dxa"/>
          </w:tcPr>
          <w:p>
            <w:r>
              <w:t xml:space="preserve">Request #4302 ? The Presidency of the Republic of Ecuador requested support from DPIDG on  Transparency, accountability and ethics in public institutions / 2.â€ DIGIT4SD: Implementation of Digital Government / 3.â€ Innovation and Digital Government for the provision of public services. / 8 August 2023-Virtual / 11-12 October 2023-Workshop</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20 Oct 2022</w:t>
            </w:r>
          </w:p>
        </w:tc>
        <w:tc>
          <w:tcPr>
            <w:tcW w:w="2400" w:type="dxa"/>
          </w:tcPr>
          <w:p>
            <w:r>
              <w:t xml:space="preserve">08 Aug 2023</w:t>
            </w:r>
          </w:p>
        </w:tc>
        <w:tc>
          <w:tcPr>
            <w:tcW w:w="2400" w:type="dxa"/>
          </w:tcPr>
          <w:p>
            <w:r>
              <w:t xml:space="preserve">12 Oct 2023</w:t>
            </w:r>
          </w:p>
        </w:tc>
        <w:tc>
          <w:tcPr>
            <w:tcW w:w="2400" w:type="dxa"/>
          </w:tcPr>
          <w:p>
            <w:r>
              <w:t xml:space="preserve">Guillermo Lasso | lloretp@presidencia.gob.ec</w:t>
            </w:r>
          </w:p>
        </w:tc>
        <w:tc>
          <w:tcPr>
            <w:tcW w:w="2400" w:type="dxa"/>
          </w:tcPr>
          <w:p>
            <w:r>
              <w:t xml:space="preserve">The Presidency of the Republic of Ecuador requested support from DPIDG on  Transparency, accountability and ethics in public institutions / 2.â€ DIGIT4SD: Implementation of Digital Government / 3.â€ Innovation and Digital Government for the provision of public services. / 8 August 2023-Virtual / 11-12 October 2023-Workshop</w:t>
            </w:r>
          </w:p>
        </w:tc>
        <w:tc>
          <w:tcPr>
            <w:tcW w:w="2400" w:type="dxa"/>
          </w:tcPr>
          <w:p>
            <w:r>
              <w:t xml:space="preserve"/>
            </w:r>
          </w:p>
        </w:tc>
        <w:tc>
          <w:tcPr>
            <w:tcW w:w="2400" w:type="dxa"/>
          </w:tcPr>
          <w:p>
            <w:r>
              <w:t xml:space="preserve"/>
            </w:r>
          </w:p>
        </w:tc>
      </w:tr>
      <w:tr>
        <w:tc>
          <w:tcPr>
            <w:tcW w:w="2400" w:type="dxa"/>
          </w:tcPr>
          <w:p>
            <w:r>
              <w:t xml:space="preserve">4716</w:t>
            </w:r>
          </w:p>
        </w:tc>
        <w:tc>
          <w:tcPr>
            <w:tcW w:w="2400" w:type="dxa"/>
          </w:tcPr>
          <w:p>
            <w:r>
              <w:t xml:space="preserve">Request #4716 ? 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Completed</w:t>
            </w:r>
          </w:p>
        </w:tc>
        <w:tc>
          <w:tcPr>
            <w:tcW w:w="2400" w:type="dxa"/>
          </w:tcPr>
          <w:p>
            <w:r>
              <w:t xml:space="preserve">Statistics Division</w:t>
            </w:r>
          </w:p>
        </w:tc>
        <w:tc>
          <w:tcPr>
            <w:tcW w:w="2400" w:type="dxa"/>
          </w:tcPr>
          <w:p>
            <w:r>
              <w:t xml:space="preserve">13 Jan 2023</w:t>
            </w:r>
          </w:p>
        </w:tc>
        <w:tc>
          <w:tcPr>
            <w:tcW w:w="2400" w:type="dxa"/>
          </w:tcPr>
          <w:p>
            <w:r>
              <w:t xml:space="preserve">16 Jan 2023</w:t>
            </w:r>
          </w:p>
        </w:tc>
        <w:tc>
          <w:tcPr>
            <w:tcW w:w="2400" w:type="dxa"/>
          </w:tcPr>
          <w:p>
            <w:r>
              <w:t xml:space="preserve">31 Dec 2023</w:t>
            </w:r>
          </w:p>
        </w:tc>
        <w:tc>
          <w:tcPr>
            <w:tcW w:w="2400" w:type="dxa"/>
          </w:tcPr>
          <w:p>
            <w:r>
              <w:t xml:space="preserve">Matthias Reister | reister@un.org</w:t>
            </w:r>
          </w:p>
        </w:tc>
        <w:tc>
          <w:tcPr>
            <w:tcW w:w="2400" w:type="dxa"/>
          </w:tcPr>
          <w:p>
            <w:r>
              <w:t xml:space="preserve">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
            </w:r>
          </w:p>
        </w:tc>
        <w:tc>
          <w:tcPr>
            <w:tcW w:w="2400" w:type="dxa"/>
          </w:tcPr>
          <w:p>
            <w:r>
              <w:t xml:space="preserve"/>
            </w:r>
          </w:p>
        </w:tc>
      </w:tr>
      <w:tr>
        <w:tc>
          <w:tcPr>
            <w:tcW w:w="2400" w:type="dxa"/>
          </w:tcPr>
          <w:p>
            <w:r>
              <w:t xml:space="preserve">4740</w:t>
            </w:r>
          </w:p>
        </w:tc>
        <w:tc>
          <w:tcPr>
            <w:tcW w:w="2400" w:type="dxa"/>
          </w:tcPr>
          <w:p>
            <w:r>
              <w:t xml:space="preserve">Request #4740 ? To strengthen the fight against tax evasion and promote good international practices in tax matters, the Servicio de Rentas Interna (SRI) created the Large Taxpayers Unit in May 2021. This Unit will support the specialized exercise of tax powers, including controls in the area of international taxation.  /   / Due to their fiscal importance and transaction size of the taxpayers that make up the register of Large Taxpayers, they deserve special attention and treatment by the Tax Administration.  /   / Due to the preceding, the SRI assessed that it was necessary to expand the coverage of control in international tax matters and train new officials in highly specialized topics such as transfer pricing. In this sense, Ecuador requested that the United Nations consider a training program for officials of this Unit of Large Taxpayers as part of its assistance programs for developing countries (letter attached). / In response to the request from the Ecuadorian Tax Administration (Servicio de Rentas Internas â€“ SRI) for technical assistance on transfer pricing to enhance the capacity of tax officials within its Large Taxpayers, FSDO organized and delivered a â€œNational Workshop on Select Issues in Transfer Pricingâ€ in Quito, Ecuador, on 30 September 2024-4 October 2024. The workshop provided participants with hands-on training in transfer pricing principles, offering practical insights through case studies on challenges frequently faced by the Ecuadorian Tax Administration officials encounter when auditing real life transfer pricing cases. The workshop supported SRIâ€™s efforts in identifying and dealing with potential profit shifting practices arising from the pricing of cross-border related party transactions.</w:t>
            </w:r>
          </w:p>
        </w:tc>
        <w:tc>
          <w:tcPr>
            <w:tcW w:w="2400" w:type="dxa"/>
          </w:tcPr>
          <w:p>
            <w:r>
              <w:t xml:space="preserve">Completed</w:t>
            </w:r>
          </w:p>
        </w:tc>
        <w:tc>
          <w:tcPr>
            <w:tcW w:w="2400" w:type="dxa"/>
          </w:tcPr>
          <w:p>
            <w:r>
              <w:t xml:space="preserve">Financing for Sustainable Development Office</w:t>
            </w:r>
          </w:p>
        </w:tc>
        <w:tc>
          <w:tcPr>
            <w:tcW w:w="2400" w:type="dxa"/>
          </w:tcPr>
          <w:p>
            <w:r>
              <w:t xml:space="preserve">27 Sept 2022</w:t>
            </w:r>
          </w:p>
        </w:tc>
        <w:tc>
          <w:tcPr>
            <w:tcW w:w="2400" w:type="dxa"/>
          </w:tcPr>
          <w:p>
            <w:r>
              <w:t xml:space="preserve">30 Sept 2024</w:t>
            </w:r>
          </w:p>
        </w:tc>
        <w:tc>
          <w:tcPr>
            <w:tcW w:w="2400" w:type="dxa"/>
          </w:tcPr>
          <w:p>
            <w:r>
              <w:t xml:space="preserve">04 Oct 2024</w:t>
            </w:r>
          </w:p>
        </w:tc>
        <w:tc>
          <w:tcPr>
            <w:tcW w:w="2400" w:type="dxa"/>
          </w:tcPr>
          <w:p>
            <w:r>
              <w:t xml:space="preserve">Mauro Tejada RamÃ³n | mrtejada@sri.gob.ec</w:t>
            </w:r>
          </w:p>
        </w:tc>
        <w:tc>
          <w:tcPr>
            <w:tcW w:w="2400" w:type="dxa"/>
          </w:tcPr>
          <w:p>
            <w:r>
              <w:t xml:space="preserve">To strengthen the fight against tax evasion and promote good international practices in tax matters, the Servicio de Rentas Interna (SRI) created the Large Taxpayers Unit in May 2021. This Unit will support the specialized exercise of tax powers, including controls in the area of international taxation.  /   / Due to their fiscal importance and transaction size of the taxpayers that make up the register of Large Taxpayers, they deserve special attention and treatment by the Tax Administration.  /   / Due to the preceding, the SRI assessed that it was necessary to expand the coverage of control in international tax matters and train new officials in highly specialized topics such as transfer pricing. In this sense, Ecuador requested that the United Nations consider a training program for officials of this Unit of Large Taxpayers as part of its assistance programs for developing countries (letter attached). / In response to the request from the Ecuadorian Tax Administration (Servicio de Rentas Internas â€“ SRI) for technical assistance on transfer pricing to enhance the capacity of tax officials within its Large Taxpayers, FSDO organized and delivered a â€œNational Workshop on Select Issues in Transfer Pricingâ€ in Quito, Ecuador, on 30 September 2024-4 October 2024. The workshop provided participants with hands-on training in transfer pricing principles, offering practical insights through case studies on challenges frequently faced by the Ecuadorian Tax Administration officials encounter when auditing real life transfer pricing cases. The workshop supported SRIâ€™s efforts in identifying and dealing with potential profit shifting practices arising from the pricing of cross-border related party transactions.</w:t>
            </w:r>
          </w:p>
        </w:tc>
        <w:tc>
          <w:tcPr>
            <w:tcW w:w="2400" w:type="dxa"/>
          </w:tcPr>
          <w:p>
            <w:r>
              <w:t xml:space="preserve"/>
            </w:r>
          </w:p>
        </w:tc>
        <w:tc>
          <w:tcPr>
            <w:tcW w:w="2400" w:type="dxa"/>
          </w:tcPr>
          <w:p>
            <w:r>
              <w:t xml:space="preserve"/>
            </w:r>
          </w:p>
        </w:tc>
      </w:tr>
      <w:tr>
        <w:tc>
          <w:tcPr>
            <w:tcW w:w="2400" w:type="dxa"/>
          </w:tcPr>
          <w:p>
            <w:r>
              <w:t xml:space="preserve">4227</w:t>
            </w:r>
          </w:p>
        </w:tc>
        <w:tc>
          <w:tcPr>
            <w:tcW w:w="2400" w:type="dxa"/>
          </w:tcPr>
          <w:p>
            <w:r>
              <w:t xml:space="preserve">Request #4227 ? 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Completed</w:t>
            </w:r>
          </w:p>
        </w:tc>
        <w:tc>
          <w:tcPr>
            <w:tcW w:w="2400" w:type="dxa"/>
          </w:tcPr>
          <w:p>
            <w:r>
              <w:t xml:space="preserve">Statistics Division</w:t>
            </w:r>
          </w:p>
        </w:tc>
        <w:tc>
          <w:tcPr>
            <w:tcW w:w="2400" w:type="dxa"/>
          </w:tcPr>
          <w:p>
            <w:r>
              <w:t xml:space="preserve">30 Jun 2022</w:t>
            </w:r>
          </w:p>
        </w:tc>
        <w:tc>
          <w:tcPr>
            <w:tcW w:w="2400" w:type="dxa"/>
          </w:tcPr>
          <w:p>
            <w:r>
              <w:t xml:space="preserve">01 Sept 2022</w:t>
            </w:r>
          </w:p>
        </w:tc>
        <w:tc>
          <w:tcPr>
            <w:tcW w:w="2400" w:type="dxa"/>
          </w:tcPr>
          <w:p>
            <w:r>
              <w:t xml:space="preserve">31 Dec 2022</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4085</w:t>
            </w:r>
          </w:p>
        </w:tc>
        <w:tc>
          <w:tcPr>
            <w:tcW w:w="2400" w:type="dxa"/>
          </w:tcPr>
          <w:p>
            <w:r>
              <w:t xml:space="preserve">Request #4085 ? 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Completed</w:t>
            </w:r>
          </w:p>
        </w:tc>
        <w:tc>
          <w:tcPr>
            <w:tcW w:w="2400" w:type="dxa"/>
          </w:tcPr>
          <w:p>
            <w:r>
              <w:t xml:space="preserve">Statistics Division</w:t>
            </w:r>
          </w:p>
        </w:tc>
        <w:tc>
          <w:tcPr>
            <w:tcW w:w="2400" w:type="dxa"/>
          </w:tcPr>
          <w:p>
            <w:r>
              <w:t xml:space="preserve">07 Mar 2022</w:t>
            </w:r>
          </w:p>
        </w:tc>
        <w:tc>
          <w:tcPr>
            <w:tcW w:w="2400" w:type="dxa"/>
          </w:tcPr>
          <w:p>
            <w:r>
              <w:t xml:space="preserve"/>
            </w:r>
          </w:p>
        </w:tc>
        <w:tc>
          <w:tcPr>
            <w:tcW w:w="2400" w:type="dxa"/>
          </w:tcPr>
          <w:p>
            <w:r>
              <w:t xml:space="preserve">31 Dec 2022</w:t>
            </w:r>
          </w:p>
        </w:tc>
        <w:tc>
          <w:tcPr>
            <w:tcW w:w="2400" w:type="dxa"/>
          </w:tcPr>
          <w:p>
            <w:r>
              <w:t xml:space="preserve">Matthias Reister | reister@un.org</w:t>
            </w:r>
          </w:p>
        </w:tc>
        <w:tc>
          <w:tcPr>
            <w:tcW w:w="2400" w:type="dxa"/>
          </w:tcPr>
          <w:p>
            <w:r>
              <w:t xml:space="preserve">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
            </w:r>
          </w:p>
        </w:tc>
        <w:tc>
          <w:tcPr>
            <w:tcW w:w="2400" w:type="dxa"/>
          </w:tcPr>
          <w:p>
            <w:r>
              <w:t xml:space="preserve"/>
            </w:r>
          </w:p>
        </w:tc>
      </w:tr>
      <w:tr>
        <w:tc>
          <w:tcPr>
            <w:tcW w:w="2400" w:type="dxa"/>
          </w:tcPr>
          <w:p>
            <w:r>
              <w:t xml:space="preserve">3998</w:t>
            </w:r>
          </w:p>
        </w:tc>
        <w:tc>
          <w:tcPr>
            <w:tcW w:w="2400" w:type="dxa"/>
          </w:tcPr>
          <w:p>
            <w:r>
              <w:t xml:space="preserve">Request #3998 ? Countries need additional materials and tools  for the implementation of their national quality assurance frameworks. Specifically,  / - countries are frequently unsure about the next implementation actions that should be taken / - countries need additional quality checklists for assuring the quality of different outputs / - quality assurance of new data sources is an area where countries need further guidance.</w:t>
            </w:r>
          </w:p>
        </w:tc>
        <w:tc>
          <w:tcPr>
            <w:tcW w:w="2400" w:type="dxa"/>
          </w:tcPr>
          <w:p>
            <w:r>
              <w:t xml:space="preserve">Completed</w:t>
            </w:r>
          </w:p>
        </w:tc>
        <w:tc>
          <w:tcPr>
            <w:tcW w:w="2400" w:type="dxa"/>
          </w:tcPr>
          <w:p>
            <w:r>
              <w:t xml:space="preserve">Statistics Division</w:t>
            </w:r>
          </w:p>
        </w:tc>
        <w:tc>
          <w:tcPr>
            <w:tcW w:w="2400" w:type="dxa"/>
          </w:tcPr>
          <w:p>
            <w:r>
              <w:t xml:space="preserve">04 Oct 2021</w:t>
            </w:r>
          </w:p>
        </w:tc>
        <w:tc>
          <w:tcPr>
            <w:tcW w:w="2400" w:type="dxa"/>
          </w:tcPr>
          <w:p>
            <w:r>
              <w:t xml:space="preserve">15 Oct 2021</w:t>
            </w:r>
          </w:p>
        </w:tc>
        <w:tc>
          <w:tcPr>
            <w:tcW w:w="2400" w:type="dxa"/>
          </w:tcPr>
          <w:p>
            <w:r>
              <w:t xml:space="preserve">31 Dec 2021</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countries need additional quality checklists for assuring the quality of different outputs / - quality assurance of new data sources is an area where countries need further guidance.</w:t>
            </w:r>
          </w:p>
        </w:tc>
        <w:tc>
          <w:tcPr>
            <w:tcW w:w="2400" w:type="dxa"/>
          </w:tcPr>
          <w:p>
            <w:r>
              <w:t xml:space="preserve"/>
            </w:r>
          </w:p>
        </w:tc>
        <w:tc>
          <w:tcPr>
            <w:tcW w:w="2400" w:type="dxa"/>
          </w:tcPr>
          <w:p>
            <w:r>
              <w:t xml:space="preserve"/>
            </w:r>
          </w:p>
        </w:tc>
      </w:tr>
      <w:tr>
        <w:tc>
          <w:tcPr>
            <w:tcW w:w="2400" w:type="dxa"/>
          </w:tcPr>
          <w:p>
            <w:r>
              <w:t xml:space="preserve">3986</w:t>
            </w:r>
          </w:p>
        </w:tc>
        <w:tc>
          <w:tcPr>
            <w:tcW w:w="2400" w:type="dxa"/>
          </w:tcPr>
          <w:p>
            <w:r>
              <w:t xml:space="preserve">Request #3986 ? 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Completed</w:t>
            </w:r>
          </w:p>
        </w:tc>
        <w:tc>
          <w:tcPr>
            <w:tcW w:w="2400" w:type="dxa"/>
          </w:tcPr>
          <w:p>
            <w:r>
              <w:t xml:space="preserve">Statistics Division</w:t>
            </w:r>
          </w:p>
        </w:tc>
        <w:tc>
          <w:tcPr>
            <w:tcW w:w="2400" w:type="dxa"/>
          </w:tcPr>
          <w:p>
            <w:r>
              <w:t xml:space="preserve">27 Sept 2021</w:t>
            </w:r>
          </w:p>
        </w:tc>
        <w:tc>
          <w:tcPr>
            <w:tcW w:w="2400" w:type="dxa"/>
          </w:tcPr>
          <w:p>
            <w:r>
              <w:t xml:space="preserve"/>
            </w:r>
          </w:p>
        </w:tc>
        <w:tc>
          <w:tcPr>
            <w:tcW w:w="2400" w:type="dxa"/>
          </w:tcPr>
          <w:p>
            <w:r>
              <w:t xml:space="preserve">30 Dec 2022</w:t>
            </w:r>
          </w:p>
        </w:tc>
        <w:tc>
          <w:tcPr>
            <w:tcW w:w="2400" w:type="dxa"/>
          </w:tcPr>
          <w:p>
            <w:r>
              <w:t xml:space="preserve">Yongyi Min | min3@un.org</w:t>
            </w:r>
          </w:p>
        </w:tc>
        <w:tc>
          <w:tcPr>
            <w:tcW w:w="2400" w:type="dxa"/>
          </w:tcPr>
          <w:p>
            <w:r>
              <w:t xml:space="preserve">This is to request the approval of a RPTC activity proposal for 2021 on producing training materials on Evidence-based Voluntary National Reviews (VNRs) and on data storytelling for SDGs. The activity includes two components: (a) finalizing Practical Guide for Evidence-based Voluntary National Reviews; and (b) developing guidance and training materials on data storytelling for SDGs. / The proposal has been developed to respond to the demand from many countries on the need for technical support for monitoring and capacity building for VNRs and on communicating data and data visualizations in VNRs and SDG reporting and engaging data users. RPTC funds would be used to support the production of guidance training materials, with the support of 2 consultants, who will be working closely with UNSD. / Please kindly see the following documents for your approval on using 2021 RPTC fund to produce training materials on VNRs and data storytelling for SDGs. / - Draft memo / - Annex 2 project proposal, / - Draft ToR for a consultant to finalizing Practical Guide for Evidence-based VNRs / - Draft ToR for a consultant to develop guidance and training on data storytelling / - Written statements from countries in support of the work on capacity building for VNRs and SDG monitoring</w:t>
            </w:r>
          </w:p>
        </w:tc>
        <w:tc>
          <w:tcPr>
            <w:tcW w:w="2400" w:type="dxa"/>
          </w:tcPr>
          <w:p>
            <w:r>
              <w:t xml:space="preserve"/>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c>
          <w:tcPr>
            <w:tcW w:w="2400" w:type="dxa"/>
          </w:tcPr>
          <w:p>
            <w:r>
              <w:t xml:space="preserve"/>
            </w:r>
          </w:p>
        </w:tc>
      </w:tr>
      <w:tr>
        <w:tc>
          <w:tcPr>
            <w:tcW w:w="2400" w:type="dxa"/>
          </w:tcPr>
          <w:p>
            <w:r>
              <w:t xml:space="preserve">3441</w:t>
            </w:r>
          </w:p>
        </w:tc>
        <w:tc>
          <w:tcPr>
            <w:tcW w:w="2400" w:type="dxa"/>
          </w:tcPr>
          <w:p>
            <w:r>
              <w:t xml:space="preserve">Request #3441 ? Joint DESA-ECLAC initiative.   Responding to a request from UN ECLAC on behalf of member states for training in forecasting the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19 Oct 2019</w:t>
            </w:r>
          </w:p>
        </w:tc>
        <w:tc>
          <w:tcPr>
            <w:tcW w:w="2400" w:type="dxa"/>
          </w:tcPr>
          <w:p>
            <w:r>
              <w:t xml:space="preserve">25 Nov 2019</w:t>
            </w:r>
          </w:p>
        </w:tc>
        <w:tc>
          <w:tcPr>
            <w:tcW w:w="2400" w:type="dxa"/>
          </w:tcPr>
          <w:p>
            <w:r>
              <w:t xml:space="preserve">27 Nov 2019</w:t>
            </w:r>
          </w:p>
        </w:tc>
        <w:tc>
          <w:tcPr>
            <w:tcW w:w="2400" w:type="dxa"/>
          </w:tcPr>
          <w:p>
            <w:r>
              <w:t xml:space="preserve">Mr. Paulo Saad | paulo.saad@un.org</w:t>
            </w:r>
          </w:p>
        </w:tc>
        <w:tc>
          <w:tcPr>
            <w:tcW w:w="2400" w:type="dxa"/>
          </w:tcPr>
          <w:p>
            <w:r>
              <w:t xml:space="preserve">Joint DESA-ECLAC initiative.   Responding to a request from UN ECLAC on behalf of member states for training in forecasting the economic and fiscal impacts of population ageing.</w:t>
            </w:r>
          </w:p>
        </w:tc>
        <w:tc>
          <w:tcPr>
            <w:tcW w:w="2400" w:type="dxa"/>
          </w:tcPr>
          <w:p>
            <w:r>
              <w:t xml:space="preserve"/>
            </w:r>
          </w:p>
        </w:tc>
        <w:tc>
          <w:tcPr>
            <w:tcW w:w="2400" w:type="dxa"/>
          </w:tcPr>
          <w:p>
            <w:r>
              <w:t xml:space="preserve"/>
            </w:r>
          </w:p>
        </w:tc>
      </w:tr>
      <w:tr>
        <w:tc>
          <w:tcPr>
            <w:tcW w:w="2400" w:type="dxa"/>
          </w:tcPr>
          <w:p>
            <w:r>
              <w:t xml:space="preserve">2776</w:t>
            </w:r>
          </w:p>
        </w:tc>
        <w:tc>
          <w:tcPr>
            <w:tcW w:w="2400" w:type="dxa"/>
          </w:tcPr>
          <w:p>
            <w:r>
              <w:t xml:space="preserve">Request #2776 ? Provided a short essay on population ageing and inequality for publication in a government journal.   This was a follow-up activity to a workshop held in Quito, Ecuador on the forecasting the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11 Feb 2020</w:t>
            </w:r>
          </w:p>
        </w:tc>
        <w:tc>
          <w:tcPr>
            <w:tcW w:w="2400" w:type="dxa"/>
          </w:tcPr>
          <w:p>
            <w:r>
              <w:t xml:space="preserve">11 Feb 2020</w:t>
            </w:r>
          </w:p>
        </w:tc>
        <w:tc>
          <w:tcPr>
            <w:tcW w:w="2400" w:type="dxa"/>
          </w:tcPr>
          <w:p>
            <w:r>
              <w:t xml:space="preserve">25 Mar 2020</w:t>
            </w:r>
          </w:p>
        </w:tc>
        <w:tc>
          <w:tcPr>
            <w:tcW w:w="2400" w:type="dxa"/>
          </w:tcPr>
          <w:p>
            <w:r>
              <w:t xml:space="preserve">Mr. Francisco Cevallos | franciscocevallos@igualdad.gob.ec</w:t>
            </w:r>
          </w:p>
        </w:tc>
        <w:tc>
          <w:tcPr>
            <w:tcW w:w="2400" w:type="dxa"/>
          </w:tcPr>
          <w:p>
            <w:r>
              <w:t xml:space="preserve">Provided a short essay on population ageing and inequality for publication in a government journal.   This was a follow-up activity to a workshop held in Quito, Ecuador on the forecasting the economic and fiscal impacts of population ageing.</w:t>
            </w:r>
          </w:p>
        </w:tc>
        <w:tc>
          <w:tcPr>
            <w:tcW w:w="2400" w:type="dxa"/>
          </w:tcPr>
          <w:p>
            <w:r>
              <w:t xml:space="preserve"/>
            </w:r>
          </w:p>
        </w:tc>
        <w:tc>
          <w:tcPr>
            <w:tcW w:w="2400" w:type="dxa"/>
          </w:tcPr>
          <w:p>
            <w:r>
              <w:t xml:space="preserve"/>
            </w:r>
          </w:p>
        </w:tc>
      </w:tr>
      <w:tr>
        <w:tc>
          <w:tcPr>
            <w:tcW w:w="2400" w:type="dxa"/>
          </w:tcPr>
          <w:p>
            <w:r>
              <w:t xml:space="preserve">2625</w:t>
            </w:r>
          </w:p>
        </w:tc>
        <w:tc>
          <w:tcPr>
            <w:tcW w:w="2400" w:type="dxa"/>
          </w:tcPr>
          <w:p>
            <w:r>
              <w:t xml:space="preserve">Request #2625 ? DPIDG, together with the Division for Sustainable Development (DSD) of UN DESA, was requested by the National Secretariat for Public Administration (SNAP) of Ecuador to organize a training workshop on â€œDigital Government for Sustainable Developmentâ€ in 2016.</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02 Feb 2016</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together with the Division for Sustainable Development (DSD) of UN DESA, was requested by the National Secretariat for Public Administration (SNAP) of Ecuador to organize a training workshop on â€œDigital Government for Sustainable Developmentâ€ in 2016.</w:t>
            </w:r>
          </w:p>
        </w:tc>
        <w:tc>
          <w:tcPr>
            <w:tcW w:w="2400" w:type="dxa"/>
          </w:tcPr>
          <w:p>
            <w:r>
              <w:t xml:space="preserve"/>
            </w:r>
          </w:p>
        </w:tc>
        <w:tc>
          <w:tcPr>
            <w:tcW w:w="2400" w:type="dxa"/>
          </w:tcPr>
          <w:p>
            <w:r>
              <w:t xml:space="preserve"/>
            </w:r>
          </w:p>
        </w:tc>
      </w:tr>
      <w:tr>
        <w:tc>
          <w:tcPr>
            <w:tcW w:w="2400" w:type="dxa"/>
          </w:tcPr>
          <w:p>
            <w:r>
              <w:t xml:space="preserve">2624</w:t>
            </w:r>
          </w:p>
        </w:tc>
        <w:tc>
          <w:tcPr>
            <w:tcW w:w="2400" w:type="dxa"/>
          </w:tcPr>
          <w:p>
            <w:r>
              <w:t xml:space="preserve">Request #2624 ? DPIDG was requested by the National Secretariat for Public Administration (SNAP) to hold teleconferences with the Presidency of Ecuador in preparation for advisory services on whole-of-government, Agenda 2030, ICTs for development.</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Feb 2016</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by the National Secretariat for Public Administration (SNAP) to hold teleconferences with the Presidency of Ecuador in preparation for advisory services on whole-of-government, Agenda 2030, ICTs for development.</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SB-001376.99.99.19</w:t>
            </w:r>
          </w:p>
        </w:tc>
        <w:tc>
          <w:tcPr>
            <w:tcW w:w="2400" w:type="dxa"/>
          </w:tcPr>
          <w:p>
            <w:r>
              <w:t xml:space="preserve">Workshop on the use of interoperability standards for the management of geographical names “Linking Geographical Names, the Disaggregation and Localization of Sustainable Development Goals and the Semantic Web”</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$43,886</w:t>
            </w:r>
          </w:p>
        </w:tc>
        <w:tc>
          <w:tcPr>
            <w:tcW w:w="2400" w:type="dxa"/>
          </w:tcPr>
          <w:p>
            <w:r>
              <w:t xml:space="preserve">Argentina, Barbados, Brazil, Colombia, Costa Rica, Dominican Republic, Ecuador, Jamaica, Mexico, Panama, Uruguay</w:t>
            </w:r>
          </w:p>
        </w:tc>
        <w:tc>
          <w:tcPr>
            <w:tcW w:w="2400" w:type="dxa"/>
          </w:tcPr>
          <w:p>
            <w:r>
              <w:t xml:space="preserve"/>
            </w:r>
          </w:p>
        </w:tc>
        <w:tc>
          <w:tcPr>
            <w:tcW w:w="2400" w:type="dxa"/>
          </w:tcPr>
          <w:p>
            <w:r>
              <w:t xml:space="preserve">Proposal past due</w:t>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c>
          <w:tcPr>
            <w:tcW w:w="2400" w:type="dxa"/>
          </w:tcPr>
          <w:p>
            <w:r>
              <w:t xml:space="preserve"/>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Strengthening national capacities to develop Action Plans to Implement the United Nations Forest Instrument (UNFI)</w:t>
            </w:r>
          </w:p>
        </w:tc>
        <w:tc>
          <w:tcPr>
            <w:tcW w:w="2400" w:type="dxa"/>
          </w:tcPr>
          <w:p>
            <w:r>
              <w:t xml:space="preserve">2018</w:t>
            </w:r>
          </w:p>
        </w:tc>
        <w:tc>
          <w:tcPr>
            <w:tcW w:w="2400" w:type="dxa"/>
          </w:tcPr>
          <w:p>
            <w:r>
              <w:t xml:space="preserve">UNFFS</w:t>
            </w:r>
          </w:p>
        </w:tc>
        <w:tc>
          <w:tcPr>
            <w:tcW w:w="2400" w:type="dxa"/>
          </w:tcPr>
          <w:p>
            <w:r>
              <w:t xml:space="preserve">Ecuador, Fiji, Gabon, India, Jamaica, Mongolia</w:t>
            </w:r>
          </w:p>
        </w:tc>
        <w:tc>
          <w:tcPr>
            <w:tcW w:w="2400" w:type="dxa"/>
          </w:tcPr>
          <w:p>
            <w:r>
              <w:t xml:space="preserve">- Developing countries must take advantage of the opportunity offered through the NAP development process to integrate the NAP for UNFI into existing forest programmes and sustainable development strategies. / - Promote public awareness and education on the UNFI, UNSPF at the country level to ensure the operationalisation of SFM policies and measures. / - Draw on lessons learned from the pilot countries on methodology and its broad stakeholder engagement in internalising the benefits of strong multi-stakeholder dialogues in the forestry and other related sectors. / - The Forum must commit time for discussion on progress on the NAP development at the UNFF13 in May 2018 and include reporting on progress of NAP development and implementation as a part of the requirements for national reports at its sessions. / - Develop a communications plan for creating awareness on the UNFI at the global, regional and national levels and undertake activities that would create political visibility for its work and in particular the UNFI, Global Objectives on Forests, UNSPF and their contribution to the SDGs. / - Promote the collaboration of CPF member organisations at the country level for the development and implementation of NAPs. / - UNFFS should prepare policy briefs out of the experiences and lessons learned for dissemination to member countries and the general public in creating awareness on the UNFI and the process for developing NAPs. / - UNFFS to finalise the draft guidelines developed from the project to serve as guidance to member countries desirous of developing NAPs and ensure continued support for the uptake of the guidelines in the member countries. / - UNFFS should consider providing support to member states that have expressed interest in developing NAPs, including the development of financial proposals to attract funding for NAP development and implementation, with strong linkage to the Global Forest Financing Facilitation Network. / - Explore the possibility of building partnerships with other projects within the UN system to ensure broader access to funding. / - Adopt guidelines developed through the project and pilot the implementation phase in select countries, maintaining regional/group balance.</w:t>
            </w:r>
          </w:p>
        </w:tc>
        <w:tc>
          <w:tcPr>
            <w:tcW w:w="2400" w:type="dxa"/>
          </w:tcPr>
          <w:p>
            <w:r>
              <w:t xml:space="preserve">- The project implementation and management was good because of the level of collaboration between the UNFFS and the leadership from the national Forestry Departments/Agencies, and a well-designed logical framework approach is critical in supporting evaluation of the project. / - A broad multi-stakeholder deliberative process is critical for good outcomes in project implementation and promoted ownership of the NAP process in the pilot countries, enabling engagement of sectors outside the forest sector. / - Mobilizing leadership of high level personnel in the countries for the NAP development process results in stronger political support for the forest sector, while changes in focal points or leadership can negatively impact the project. / - A communications strategy is required for creating awareness on the UNFI at the country level, including in sectors outside forestry, and there is a need to widely disseminate the Guidelines on NAP development. / - The depth and breadth of knowledge of the international consultant that facilitated the workshops enriched the process and allowed for effective engagement by participants in drafting the NAP Guidelines. / - Countries appreciated the opportunity to share experiences and lessons learned, and future projects should include appropriate tools for sharing information. / - Possibilities for creating effective partnerships should always be considered during project planning/design to enhance participation of CPF memberships and provide opportunities for wider collaboration within the UN System. / - Integrating NAPs into existing processes for developing National Forestry Policies was a positive approach to internalizing the prioritization of the UNFI Policies and Measures and creating a link between the UNFI, UNSPF and national policies and strategies. / - NAP development process enabled countries to reflect on potential sources of financial resources for implementation, including domestic sources, and to package their NAPs to attract different fund donors.</w:t>
            </w:r>
          </w:p>
        </w:tc>
        <w:tc>
          <w:tcPr>
            <w:tcW w:w="2400" w:type="dxa"/>
          </w:tcPr>
          <w:p>
            <w:r>
              <w:t xml:space="preserve">https://unitednations.sharepoint.com/sites/DESA-CDPMO/Shared Documents/General/3. Finance Management/5 - DEVELOPMENT ACCOUNT/DA - DESA/Audits/2018 Audit information/ROA 266 - UNFF Final Evaluation Report.pdf</w:t>
            </w:r>
          </w:p>
        </w:tc>
        <w:tc>
          <w:tcPr>
            <w:tcW w:w="2400" w:type="dxa"/>
          </w:tcPr>
          <w:p>
            <w:r>
              <w:t xml:space="preserve"/>
            </w:r>
          </w:p>
        </w:tc>
        <w:tc>
          <w:tcPr>
            <w:tcW w:w="2400" w:type="dxa"/>
          </w:tcPr>
          <w:p>
            <w:r>
              <w:t xml:space="preserve"/>
            </w:r>
          </w:p>
        </w:tc>
      </w:tr>
      <w:tr>
        <w:tc>
          <w:tcPr>
            <w:tcW w:w="2400" w:type="dxa"/>
          </w:tcPr>
          <w:p>
            <w:r>
              <w:t xml:space="preserve">Supporting Developing Countries Measure Progress towards Achieving a Green Economy</w:t>
            </w:r>
          </w:p>
        </w:tc>
        <w:tc>
          <w:tcPr>
            <w:tcW w:w="2400" w:type="dxa"/>
          </w:tcPr>
          <w:p>
            <w:r>
              <w:t xml:space="preserve">2016</w:t>
            </w:r>
          </w:p>
        </w:tc>
        <w:tc>
          <w:tcPr>
            <w:tcW w:w="2400" w:type="dxa"/>
          </w:tcPr>
          <w:p>
            <w:r>
              <w:t xml:space="preserve">UNSD</w:t>
            </w:r>
          </w:p>
        </w:tc>
        <w:tc>
          <w:tcPr>
            <w:tcW w:w="2400" w:type="dxa"/>
          </w:tcPr>
          <w:p>
            <w:r>
              <w:t xml:space="preserve">Bhutan, Chile, Colombia, Ecuador, Malaysia, Mongolia, Peru, Viet Nam</w:t>
            </w:r>
          </w:p>
        </w:tc>
        <w:tc>
          <w:tcPr>
            <w:tcW w:w="2400" w:type="dxa"/>
          </w:tcPr>
          <w:p>
            <w:r>
              <w:t xml:space="preserve">- Replicate the high rate of women's participation in workshops in other DESA projects. / - Avoid reducing project budgets after implementation has started; DESA Development Account Project Management Team in CDO should establish systems to prevent this. / - Highlight project results at the annual meetings of the High-Level Political Forum on Sustainable Development to publicize DESA/SD's work and engage policy makers. / - For future projects, consider engaging more consultants to match the number of project countries, to encourage wider sharing of ideas and innovative thinking. / - Promote stronger links between green economy indicators and indicators useful for follow-up of the SDGs and the 2030 Agenda for Sustainable Development.</w:t>
            </w:r>
          </w:p>
        </w:tc>
        <w:tc>
          <w:tcPr>
            <w:tcW w:w="2400" w:type="dxa"/>
          </w:tcPr>
          <w:p>
            <w:r>
              <w:t xml:space="preserve">- Workshops in all phases of the project were effective for knowledge sharing and experience exchange; future workshops should continue to emphasize this. / - Resource persons from DESA/SD, regional commissions, UN agencies, and other organizations contributed significantly to workshop quality. / - Involvement of regional commissions and other UN agencies contributed to both project success and sustainability of outcomes. / - The project strengthened regional networks of statisticians, increased intra-institutional and intra-regional cooperation, and raised the national profile of statistics. / - Using only one consultant for all technical assistance missions may have limited inter-regional experience sharing; involving more consultants could enrich interventions. / - Pairing resource countries with pilot countries facilitated knowledge sharing and is a best practice to replicate. / - Involving regional specialized agencies added value by providing technical assistance and supporting sustainability. / - Designating focal points in pilot countries to coordinate inputs and participation was productive and should be emulated in similar projects.</w:t>
            </w:r>
          </w:p>
        </w:tc>
        <w:tc>
          <w:tcPr>
            <w:tcW w:w="2400" w:type="dxa"/>
          </w:tcPr>
          <w:p>
            <w:r>
              <w:t xml:space="preserve">https://unitednations.sharepoint.com/sites/DESA-CDPMO/Shared Documents/General/3. Finance Management/5 - DEVELOPMENT ACCOUNT/DA - DESA/03 PROJECTS - CLOSED/SD/ROA 211 - 8th tranche - Green Economy/Evaluation/Evaluation report/DA_GreenEcon_proj_eval_10Oct2016 R1.pdf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6</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8</w:t>
            </w:r>
          </w:p>
        </w:tc>
        <w:tc>
          <w:tcPr>
            <w:tcW w:w="2400" w:type="dxa"/>
          </w:tcPr>
          <w:p>
            <w:r>
              <w:t xml:space="preserve">GeoData_with_ISO3166_alpha3.xlsx: last modified 2026-05-22, more than 30 days before ingestion (134 days).</w:t>
            </w:r>
          </w:p>
        </w:tc>
      </w:tr>
      <w:tr>
        <w:tc>
          <w:tcPr>
            <w:tcW w:w="2400" w:type="dxa"/>
          </w:tcPr>
          <w:p>
            <w:r>
              <w:t xml:space="preserve">9</w:t>
            </w:r>
          </w:p>
        </w:tc>
        <w:tc>
          <w:tcPr>
            <w:tcW w:w="2400" w:type="dxa"/>
          </w:tcPr>
          <w:p>
            <w:r>
              <w:t xml:space="preserve">proposals.xlsx record 'SB-001376.99.99.32|row:49': 'f_cashGov' has non-numeric value 'N/A'.</w:t>
            </w:r>
          </w:p>
        </w:tc>
      </w:tr>
      <w:tr>
        <w:tc>
          <w:tcPr>
            <w:tcW w:w="2400" w:type="dxa"/>
          </w:tcPr>
          <w:p>
            <w:r>
              <w:t xml:space="preserve">10</w:t>
            </w:r>
          </w:p>
        </w:tc>
        <w:tc>
          <w:tcPr>
            <w:tcW w:w="2400" w:type="dxa"/>
          </w:tcPr>
          <w:p>
            <w:r>
              <w:t xml:space="preserve">proposals.xlsx record 'SB-001376.99.99.32|row:49': 'f_cashOther' has non-numeric value 'N/A'.</w:t>
            </w:r>
          </w:p>
        </w:tc>
      </w:tr>
      <w:tr>
        <w:tc>
          <w:tcPr>
            <w:tcW w:w="2400" w:type="dxa"/>
          </w:tcPr>
          <w:p>
            <w:r>
              <w:t xml:space="preserve">11</w:t>
            </w:r>
          </w:p>
        </w:tc>
        <w:tc>
          <w:tcPr>
            <w:tcW w:w="2400" w:type="dxa"/>
          </w:tcPr>
          <w:p>
            <w:r>
              <w:t xml:space="preserve">proposals.xlsx record 'SB-001376.99.99.39|row:74': 'costConferenceServices' has non-numeric value '0||0||$'.</w:t>
            </w:r>
          </w:p>
        </w:tc>
      </w:tr>
      <w:tr>
        <w:tc>
          <w:tcPr>
            <w:tcW w:w="2400" w:type="dxa"/>
          </w:tcPr>
          <w:p>
            <w:r>
              <w:t xml:space="preserve">12</w:t>
            </w:r>
          </w:p>
        </w:tc>
        <w:tc>
          <w:tcPr>
            <w:tcW w:w="2400" w:type="dxa"/>
          </w:tcPr>
          <w:p>
            <w:r>
              <w:t xml:space="preserve">proposals.xlsx record 'SB-001376.99.99.39|row:74': 'costTravelConsultants' has non-numeric value '4,098||4,098||$'.</w:t>
            </w:r>
          </w:p>
        </w:tc>
      </w:tr>
      <w:tr>
        <w:tc>
          <w:tcPr>
            <w:tcW w:w="2400" w:type="dxa"/>
          </w:tcPr>
          <w:p>
            <w:r>
              <w:t xml:space="preserve">13</w:t>
            </w:r>
          </w:p>
        </w:tc>
        <w:tc>
          <w:tcPr>
            <w:tcW w:w="2400" w:type="dxa"/>
          </w:tcPr>
          <w:p>
            <w:r>
              <w:t xml:space="preserve">proposals.xlsx record 'SB-001376.99.99.39|row:74': 'costTravelParticipants' has non-numeric value '0||0||$'.</w:t>
            </w:r>
          </w:p>
        </w:tc>
      </w:tr>
      <w:tr>
        <w:tc>
          <w:tcPr>
            <w:tcW w:w="2400" w:type="dxa"/>
          </w:tcPr>
          <w:p>
            <w:r>
              <w:t xml:space="preserve">14</w:t>
            </w:r>
          </w:p>
        </w:tc>
        <w:tc>
          <w:tcPr>
            <w:tcW w:w="2400" w:type="dxa"/>
          </w:tcPr>
          <w:p>
            <w:r>
              <w:t xml:space="preserve">proposals.xlsx record 'SB-001376.99.99.39|row:74': 'costTravelStaff' has non-numeric value '2,701||2,701||$'.</w:t>
            </w:r>
          </w:p>
        </w:tc>
      </w:tr>
      <w:tr>
        <w:tc>
          <w:tcPr>
            <w:tcW w:w="2400" w:type="dxa"/>
          </w:tcPr>
          <w:p>
            <w:r>
              <w:t xml:space="preserve">15</w:t>
            </w:r>
          </w:p>
        </w:tc>
        <w:tc>
          <w:tcPr>
            <w:tcW w:w="2400" w:type="dxa"/>
          </w:tcPr>
          <w:p>
            <w:r>
              <w:t xml:space="preserve">proposals.xlsx record 'SB-001376.99.99.39|row:74': 'f_cashDESA' has non-numeric value 'US$ 6,799'.</w:t>
            </w:r>
          </w:p>
        </w:tc>
      </w:tr>
      <w:tr>
        <w:tc>
          <w:tcPr>
            <w:tcW w:w="2400" w:type="dxa"/>
          </w:tcPr>
          <w:p>
            <w:r>
              <w:t xml:space="preserve">16</w:t>
            </w:r>
          </w:p>
        </w:tc>
        <w:tc>
          <w:tcPr>
            <w:tcW w:w="2400" w:type="dxa"/>
          </w:tcPr>
          <w:p>
            <w:r>
              <w:t xml:space="preserve">requests.xlsx record '5575': Dates End date 2026-09-12 is before start date 2026-11-08.</w:t>
            </w:r>
          </w:p>
        </w:tc>
      </w:tr>
      <w:tr>
        <w:tc>
          <w:tcPr>
            <w:tcW w:w="2400" w:type="dxa"/>
          </w:tcPr>
          <w:p>
            <w:r>
              <w:t xml:space="preserve">17</w:t>
            </w:r>
          </w:p>
        </w:tc>
        <w:tc>
          <w:tcPr>
            <w:tcW w:w="2400" w:type="dxa"/>
          </w:tcPr>
          <w:p>
            <w:r>
              <w:t xml:space="preserve">requests.xlsx record '5575': End date 2026-09-12 is before start date 2026-11-08.</w:t>
            </w:r>
          </w:p>
        </w:tc>
      </w:tr>
      <w:tr>
        <w:tc>
          <w:tcPr>
            <w:tcW w:w="2400" w:type="dxa"/>
          </w:tcPr>
          <w:p>
            <w:r>
              <w:t xml:space="preserve">18</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19</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20</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21</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22</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23</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25</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26</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27</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28</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29</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30</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31</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32</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35</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36</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37</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38</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39</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40</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41</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42</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43</w:t>
            </w:r>
          </w:p>
        </w:tc>
        <w:tc>
          <w:tcPr>
            <w:tcW w:w="2400" w:type="dxa"/>
          </w:tcPr>
          <w:p>
            <w:r>
              <w:t xml:space="preserve">Resolved - Action: duplicate evaluation at evaluations.xlsx row 306 removed; retained row 297 ().</w:t>
            </w:r>
          </w:p>
        </w:tc>
      </w:tr>
      <w:tr>
        <w:tc>
          <w:tcPr>
            <w:tcW w:w="2400" w:type="dxa"/>
          </w:tcPr>
          <w:p>
            <w:r>
              <w:t xml:space="preserve">44</w:t>
            </w:r>
          </w:p>
        </w:tc>
        <w:tc>
          <w:tcPr>
            <w:tcW w:w="2400" w:type="dxa"/>
          </w:tcPr>
          <w:p>
            <w:r>
              <w:t xml:space="preserve">Resolved - Action: duplicate evaluation at evaluations.xlsx row 332 removed; retained row 302 ().</w:t>
            </w:r>
          </w:p>
        </w:tc>
      </w:tr>
      <w:tr>
        <w:tc>
          <w:tcPr>
            <w:tcW w:w="2400" w:type="dxa"/>
          </w:tcPr>
          <w:p>
            <w:r>
              <w:t xml:space="preserve">45</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46</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47</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48</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49</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50</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51</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52</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53</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54</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55</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56</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57</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58</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59</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60</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61</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62</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63</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64</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