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Hungary</w:t>
      </w:r>
    </w:p>
    <w:p>
      <w:r>
        <w:rPr>
          <w:sz w:val="20"/>
          <w:color w:val="4B5563"/>
        </w:rPr>
        <w:t xml:space="preserve">Europe</w:t>
      </w:r>
    </w:p>
    <w:p>
      <w:r>
        <w:rPr>
          <w:sz w:val="20"/>
          <w:color w:val="4B5563"/>
        </w:rPr>
        <w:t xml:space="preserve">Exported 05 Oct 2026, 14:20 | Snapshot 03 Oct 2026, 21:47 GMT-4</w:t>
      </w:r>
    </w:p>
    <w:p>
      <w:r>
        <w:rPr>
          <w:b/>
          <w:sz w:val="28"/>
          <w:color w:val="174A7C"/>
        </w:rPr>
        <w:t xml:space="preserve">Summary</w:t>
      </w:r>
    </w:p>
    <w:p>
      <w:r>
        <w:t xml:space="preserve">Hungary is presented in this country card as part of Europe, with Hungary also associated with an unspecified subregion and the no recorded country group grouping. The filtered data for Hungary highlights 0 projects for Hungary, including 0 active or planned projects for Hungary and 0 completed or closed projects for Hungary.</w:t>
      </w:r>
    </w:p>
    <w:p>
      <w:r>
        <w:t xml:space="preserve">For Hungary, the report includes 2 requests for Hungary, 1 RPTC proposals for Hungary, 1 RPTC activities for Hungary, and 0 travel records for Hungary. Financially, Hungary shows Not provided in project budget, $25,000 in proposal planned budget, and $6,688 in consumed RPTC activity budget for Hungary.</w:t>
      </w:r>
    </w:p>
    <w:p>
      <w:r>
        <w:t xml:space="preserve">The main organizational coverage for Hungary points to FSDO, Statistics Division. Activity records for Hungary list 1,299 participants, including 665 women participants, the current quality review for Hungary includes 49 data quality notes. Current highlights for Hungary include a request focus for Hungary: Request #5377 ? A total RPTC budget of US$20,000 is proposed to cover the consultancy fee for the development of these training materials, which will serve as a practical resource for statisticians, policymakers, and capacity-building initiatives across countries.</w:t>
      </w:r>
      <w:r>
        <w:br/>
        <w:t xml:space="preserve"/>
      </w:r>
      <w:r>
        <w:br/>
        <w:t xml:space="preserve">Background: Existing international standards and tools, developed under the UNSD migration statistics programme and endorsed by the Statistical Commission, provide a strong foundation for this work. These include the revised Recommendations on Statistics of International Migration and Temporary Mobility, and the accompanying technical reports on core and additional indicators, data integration, operationalization of the conceptual framework and data sources, and communication in the context of migration statistics, which together ensure comparable, high-quality data across countries. The consultancy will develop user-friendly training materials to support national statistical offices in applying these standards, operationalizing the conceptual framework as contained in the revised Recommendations, and producing reliable and comparable international migration statistics.; an RPTC proposal focus for Hungary: Peer-to-peer Learning Workshops for the Network of National Focal Points on Financing for Development; an activity focus for Hungary: Strengthening developing countries’ capacity to address transfer-pricing challenges related to centralized procurement activities and to enhance their VAT/GST systems through global virtual workshops..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2</w:t>
            </w:r>
          </w:p>
        </w:tc>
      </w:tr>
      <w:tr>
        <w:tc>
          <w:tcPr>
            <w:tcW w:w="2400" w:type="dxa"/>
          </w:tcPr>
          <w:p>
            <w:r>
              <w:t xml:space="preserve">RPTC proposals</w:t>
            </w:r>
          </w:p>
        </w:tc>
        <w:tc>
          <w:tcPr>
            <w:tcW w:w="2400" w:type="dxa"/>
          </w:tcPr>
          <w:p>
            <w:r>
              <w:t xml:space="preserve">1</w:t>
            </w:r>
          </w:p>
        </w:tc>
      </w:tr>
      <w:tr>
        <w:tc>
          <w:tcPr>
            <w:tcW w:w="2400" w:type="dxa"/>
          </w:tcPr>
          <w:p>
            <w:r>
              <w:t xml:space="preserve">Proposal planned budget</w:t>
            </w:r>
          </w:p>
        </w:tc>
        <w:tc>
          <w:tcPr>
            <w:tcW w:w="2400" w:type="dxa"/>
          </w:tcPr>
          <w:p>
            <w:r>
              <w:t xml:space="preserve">$25,000</w:t>
            </w:r>
          </w:p>
        </w:tc>
      </w:tr>
      <w:tr>
        <w:tc>
          <w:tcPr>
            <w:tcW w:w="2400" w:type="dxa"/>
          </w:tcPr>
          <w:p>
            <w:r>
              <w:t xml:space="preserve">RPTC activities</w:t>
            </w:r>
          </w:p>
        </w:tc>
        <w:tc>
          <w:tcPr>
            <w:tcW w:w="2400" w:type="dxa"/>
          </w:tcPr>
          <w:p>
            <w:r>
              <w:t xml:space="preserve">1</w:t>
            </w:r>
          </w:p>
        </w:tc>
      </w:tr>
      <w:tr>
        <w:tc>
          <w:tcPr>
            <w:tcW w:w="2400" w:type="dxa"/>
          </w:tcPr>
          <w:p>
            <w:r>
              <w:t xml:space="preserve">Consumed RPTC budget</w:t>
            </w:r>
          </w:p>
        </w:tc>
        <w:tc>
          <w:tcPr>
            <w:tcW w:w="2400" w:type="dxa"/>
          </w:tcPr>
          <w:p>
            <w:r>
              <w:t xml:space="preserve">$6,688</w:t>
            </w:r>
          </w:p>
        </w:tc>
      </w:tr>
      <w:tr>
        <w:tc>
          <w:tcPr>
            <w:tcW w:w="2400" w:type="dxa"/>
          </w:tcPr>
          <w:p>
            <w:r>
              <w:t xml:space="preserve">Activity participants</w:t>
            </w:r>
          </w:p>
        </w:tc>
        <w:tc>
          <w:tcPr>
            <w:tcW w:w="2400" w:type="dxa"/>
          </w:tcPr>
          <w:p>
            <w:r>
              <w:t xml:space="preserve">1,299</w:t>
            </w:r>
          </w:p>
        </w:tc>
      </w:tr>
      <w:tr>
        <w:tc>
          <w:tcPr>
            <w:tcW w:w="2400" w:type="dxa"/>
          </w:tcPr>
          <w:p>
            <w:r>
              <w:t xml:space="preserve">Women participants</w:t>
            </w:r>
          </w:p>
        </w:tc>
        <w:tc>
          <w:tcPr>
            <w:tcW w:w="2400" w:type="dxa"/>
          </w:tcPr>
          <w:p>
            <w:r>
              <w:t xml:space="preserve">665</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0</w:t>
            </w:r>
          </w:p>
        </w:tc>
      </w:tr>
      <w:tr>
        <w:tc>
          <w:tcPr>
            <w:tcW w:w="2400" w:type="dxa"/>
          </w:tcPr>
          <w:p>
            <w:r>
              <w:t xml:space="preserve">Data quality notes</w:t>
            </w:r>
          </w:p>
        </w:tc>
        <w:tc>
          <w:tcPr>
            <w:tcW w:w="2400" w:type="dxa"/>
          </w:tcPr>
          <w:p>
            <w:r>
              <w:t xml:space="preserve">49</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r>
      <w:tr>
        <w:tc>
          <w:tcPr>
            <w:tcW w:w="2400" w:type="dxa"/>
          </w:tcPr>
          <w:p>
            <w:r>
              <w:t xml:space="preserve">5377</w:t>
            </w:r>
          </w:p>
        </w:tc>
        <w:tc>
          <w:tcPr>
            <w:tcW w:w="2400" w:type="dxa"/>
          </w:tcPr>
          <w:p>
            <w:r>
              <w:t xml:space="preserve">Request #5377 ? A total RPTC budget of US$20,000 is proposed to cover the consultancy fee for the development of these training materials, which will serve as a practical resource for statisticians, policymakers, and capacity-building initiatives across countries. / Background: Existing international standards and tools, developed under the UNSD migration statistics programme and endorsed by the Statistical Commission, provide a strong foundation for this work. These include the revised Recommendations on Statistics of International Migration and Temporary Mobility, and the accompanying technical reports on core and additional indicators, data integration, operationalization of the conceptual framework and data sources, and communication in the context of migration statistics, which together ensure comparable, high-quality data across countries. The consultancy will develop user-friendly training materials to support national statistical offices in applying these standards, operationalizing the conceptual framework as contained in the revised Recommendations, and producing reliable and comparable international migration statistics.</w:t>
            </w:r>
          </w:p>
        </w:tc>
        <w:tc>
          <w:tcPr>
            <w:tcW w:w="2400" w:type="dxa"/>
          </w:tcPr>
          <w:p>
            <w:r>
              <w:t xml:space="preserve">Completed</w:t>
            </w:r>
          </w:p>
        </w:tc>
        <w:tc>
          <w:tcPr>
            <w:tcW w:w="2400" w:type="dxa"/>
          </w:tcPr>
          <w:p>
            <w:r>
              <w:t xml:space="preserve">Statistics Division</w:t>
            </w:r>
          </w:p>
        </w:tc>
        <w:tc>
          <w:tcPr>
            <w:tcW w:w="2400" w:type="dxa"/>
          </w:tcPr>
          <w:p>
            <w:r>
              <w:t xml:space="preserve">12 Nov 2025</w:t>
            </w:r>
          </w:p>
        </w:tc>
        <w:tc>
          <w:tcPr>
            <w:tcW w:w="2400" w:type="dxa"/>
          </w:tcPr>
          <w:p>
            <w:r>
              <w:t xml:space="preserve">01 Dec 2025</w:t>
            </w:r>
          </w:p>
        </w:tc>
        <w:tc>
          <w:tcPr>
            <w:tcW w:w="2400" w:type="dxa"/>
          </w:tcPr>
          <w:p>
            <w:r>
              <w:t xml:space="preserve">31 Mar 2026</w:t>
            </w:r>
          </w:p>
        </w:tc>
        <w:tc>
          <w:tcPr>
            <w:tcW w:w="2400" w:type="dxa"/>
          </w:tcPr>
          <w:p>
            <w:r>
              <w:t xml:space="preserve">Maria Isabel Cobos | cobos@un.org</w:t>
            </w:r>
          </w:p>
        </w:tc>
        <w:tc>
          <w:tcPr>
            <w:tcW w:w="2400" w:type="dxa"/>
          </w:tcPr>
          <w:p>
            <w:r>
              <w:t xml:space="preserve">A total RPTC budget of US$20,000 is proposed to cover the consultancy fee for the development of these training materials, which will serve as a practical resource for statisticians, policymakers, and capacity-building initiatives across countries. / Background: Existing international standards and tools, developed under the UNSD migration statistics programme and endorsed by the Statistical Commission, provide a strong foundation for this work. These include the revised Recommendations on Statistics of International Migration and Temporary Mobility, and the accompanying technical reports on core and additional indicators, data integration, operationalization of the conceptual framework and data sources, and communication in the context of migration statistics, which together ensure comparable, high-quality data across countries. The consultancy will develop user-friendly training materials to support national statistical offices in applying these standards, operationalizing the conceptual framework as contained in the revised Recommendations, and producing reliable and comparable international migration statistics.</w:t>
            </w:r>
          </w:p>
        </w:tc>
      </w:tr>
      <w:tr>
        <w:tc>
          <w:tcPr>
            <w:tcW w:w="2400" w:type="dxa"/>
          </w:tcPr>
          <w:p>
            <w:r>
              <w:t xml:space="preserve">3989</w:t>
            </w:r>
          </w:p>
        </w:tc>
        <w:tc>
          <w:tcPr>
            <w:tcW w:w="2400" w:type="dxa"/>
          </w:tcPr>
          <w:p>
            <w:r>
              <w:t xml:space="preserve">Request #3989 ? The COVID-19 pandemic presented a major challenge for household survey programmes. Traditional face-to-face survey operations have become difficult to implement in many countries due to social distancing requirements and other restriction measures as a result of the pandemic. According to a survey conducted by the United Nations Statistics Division (UNSD) and the World Bank in May 2020, 96â€¯percent of national statistical offices (NSOs) partially or fully stopped face-to-face data collection. / In response to the government requirement on social distancing, many national statistical offices (NSOs) quickly turned to telephone or web interviews as an alternative data collection mode to maintain continuity in the production of key indicators and monitor the health and socio-economic impact of the pandemic.    / In the fourth round of UNSD and the World Bank survey of national statistical offices in May-June 2021, a marked increase was observed in the number of countries declaring a full resumption of face-to-face data collection activities. Globally 44 percent of the surveyed countries resumed full face-to-face data collection, compared to just four percent a year earlier. / While the adaptation of national household survey operations indicated the resilience of NSOs, such adaptation also raised challenges for countries on survey data quality. Change of survey data collection mode from face-to-face to telephone or web may impact on sample coverage, response rate and measurement error. Shortening survey questionnaires and changing question flows will also impact on the quality and comparability of survey data.   / In close consultation with the Task Force on COVID-19, established by the Inter-Secretariat Working Group on Household Surveys (ISWGHS), UNSD is hiring a consultant to develop a Guidance Note on Assessing and Minimizing the COVID Impact on Survey Quality.</w:t>
            </w:r>
          </w:p>
        </w:tc>
        <w:tc>
          <w:tcPr>
            <w:tcW w:w="2400" w:type="dxa"/>
          </w:tcPr>
          <w:p>
            <w:r>
              <w:t xml:space="preserve">Completed</w:t>
            </w:r>
          </w:p>
        </w:tc>
        <w:tc>
          <w:tcPr>
            <w:tcW w:w="2400" w:type="dxa"/>
          </w:tcPr>
          <w:p>
            <w:r>
              <w:t xml:space="preserve">Statistics Division</w:t>
            </w:r>
          </w:p>
        </w:tc>
        <w:tc>
          <w:tcPr>
            <w:tcW w:w="2400" w:type="dxa"/>
          </w:tcPr>
          <w:p>
            <w:r>
              <w:t xml:space="preserve">28 Sept 2021</w:t>
            </w:r>
          </w:p>
        </w:tc>
        <w:tc>
          <w:tcPr>
            <w:tcW w:w="2400" w:type="dxa"/>
          </w:tcPr>
          <w:p>
            <w:r>
              <w:t xml:space="preserve">01 Mar 2021</w:t>
            </w:r>
          </w:p>
        </w:tc>
        <w:tc>
          <w:tcPr>
            <w:tcW w:w="2400" w:type="dxa"/>
          </w:tcPr>
          <w:p>
            <w:r>
              <w:t xml:space="preserve">28 Feb 2022</w:t>
            </w:r>
          </w:p>
        </w:tc>
        <w:tc>
          <w:tcPr>
            <w:tcW w:w="2400" w:type="dxa"/>
          </w:tcPr>
          <w:p>
            <w:r>
              <w:t xml:space="preserve">Haoyi Chen | chen9@un.org</w:t>
            </w:r>
          </w:p>
        </w:tc>
        <w:tc>
          <w:tcPr>
            <w:tcW w:w="2400" w:type="dxa"/>
          </w:tcPr>
          <w:p>
            <w:r>
              <w:t xml:space="preserve">The COVID-19 pandemic presented a major challenge for household survey programmes. Traditional face-to-face survey operations have become difficult to implement in many countries due to social distancing requirements and other restriction measures as a result of the pandemic. According to a survey conducted by the United Nations Statistics Division (UNSD) and the World Bank in May 2020, 96â€¯percent of national statistical offices (NSOs) partially or fully stopped face-to-face data collection. / In response to the government requirement on social distancing, many national statistical offices (NSOs) quickly turned to telephone or web interviews as an alternative data collection mode to maintain continuity in the production of key indicators and monitor the health and socio-economic impact of the pandemic.    / In the fourth round of UNSD and the World Bank survey of national statistical offices in May-June 2021, a marked increase was observed in the number of countries declaring a full resumption of face-to-face data collection activities. Globally 44 percent of the surveyed countries resumed full face-to-face data collection, compared to just four percent a year earlier. / While the adaptation of national household survey operations indicated the resilience of NSOs, such adaptation also raised challenges for countries on survey data quality. Change of survey data collection mode from face-to-face to telephone or web may impact on sample coverage, response rate and measurement error. Shortening survey questionnaires and changing question flows will also impact on the quality and comparability of survey data.   / In close consultation with the Task Force on COVID-19, established by the Inter-Secretariat Working Group on Household Surveys (ISWGHS), UNSD is hiring a consultant to develop a Guidance Note on Assessing and Minimizing the COVID Impact on Survey Quality.</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r>
      <w:tr>
        <w:tc>
          <w:tcPr>
            <w:tcW w:w="2400" w:type="dxa"/>
          </w:tcPr>
          <w:p>
            <w:r>
              <w:t xml:space="preserve">SB-001380.90</w:t>
            </w:r>
          </w:p>
        </w:tc>
        <w:tc>
          <w:tcPr>
            <w:tcW w:w="2400" w:type="dxa"/>
          </w:tcPr>
          <w:p>
            <w:r>
              <w:t xml:space="preserve">Peer-to-peer Learning Workshops for the Network of National Focal Points on Financing for Development</w:t>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$25,000</w:t>
            </w:r>
          </w:p>
        </w:tc>
        <w:tc>
          <w:tcPr>
            <w:tcW w:w="2400" w:type="dxa"/>
          </w:tcPr>
          <w:p>
            <w:r>
              <w:t xml:space="preserve">Armenia, Bahrain, Belize, Benin, Botswana, Burkina Faso, Cabo Verde, Cambodia, Comoros, Croatia, Czechia, Democratic Socialist Republic of Sri Lanka, Djibouti, Egypt, Eswatini, Ethiopia, Finland, France, Germany, Greece, Guatemala, Hungary, Ireland, Italy, Japan, Kenya, Korea, Lao People's Democratic Republic, Luxembourg, Madagascar, Malawi, Malaysia, Mauritius, Norway, Oman, Papua New Guinea, Paraguay, Peru, Poland, Sao Tome and Principe, Saudi Arabia, Seychelles, Sierra Leone, Switzerland, Thailand, Togo, Tuvalu, Uganda, United Kingdom of Great Britain and Northern Ireland, Uruguay, Zambia, Zimbabwe</w:t>
            </w:r>
          </w:p>
        </w:tc>
        <w:tc>
          <w:tcPr>
            <w:tcW w:w="2400" w:type="dxa"/>
          </w:tcPr>
          <w:p>
            <w:r>
              <w:t xml:space="preserve">Country standardized: 'Republic of Korea' -&gt; 'Korea'. / Country standardized: 'Sri Lanka' -&gt; 'Democratic Socialist Republic of Sri Lanka'. / Region standardized: 'global' -&gt; 'Global'.</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SB-001380.88</w:t>
            </w:r>
          </w:p>
        </w:tc>
        <w:tc>
          <w:tcPr>
            <w:tcW w:w="2400" w:type="dxa"/>
          </w:tcPr>
          <w:p>
            <w:r>
              <w:t xml:space="preserve">Strengthening developing countries’ capacity to address transfer-pricing challenges related to centralized procurement activities and to enhance their VAT/GST systems through global virtual workshops.</w:t>
            </w:r>
          </w:p>
        </w:tc>
        <w:tc>
          <w:tcPr>
            <w:tcW w:w="2400" w:type="dxa"/>
          </w:tcPr>
          <w:p>
            <w:r>
              <w:t xml:space="preserve">FSDO</w:t>
            </w:r>
          </w:p>
        </w:tc>
        <w:tc>
          <w:tcPr>
            <w:tcW w:w="2400" w:type="dxa"/>
          </w:tcPr>
          <w:p>
            <w:r>
              <w:t xml:space="preserve">29 Jan 2026</w:t>
            </w:r>
          </w:p>
        </w:tc>
        <w:tc>
          <w:tcPr>
            <w:tcW w:w="2400" w:type="dxa"/>
          </w:tcPr>
          <w:p>
            <w:r>
              <w:t xml:space="preserve">18 Feb 2026</w:t>
            </w:r>
          </w:p>
        </w:tc>
        <w:tc>
          <w:tcPr>
            <w:tcW w:w="2400" w:type="dxa"/>
          </w:tcPr>
          <w:p>
            <w:r>
              <w:t xml:space="preserve">$6,688</w:t>
            </w:r>
          </w:p>
        </w:tc>
        <w:tc>
          <w:tcPr>
            <w:tcW w:w="2400" w:type="dxa"/>
          </w:tcPr>
          <w:p>
            <w:r>
              <w:t xml:space="preserve">1,299</w:t>
            </w:r>
          </w:p>
        </w:tc>
        <w:tc>
          <w:tcPr>
            <w:tcW w:w="2400" w:type="dxa"/>
          </w:tcPr>
          <w:p>
            <w:r>
              <w:t xml:space="preserve">665</w:t>
            </w:r>
          </w:p>
        </w:tc>
        <w:tc>
          <w:tcPr>
            <w:tcW w:w="2400" w:type="dxa"/>
          </w:tcPr>
          <w:p>
            <w:r>
              <w:t xml:space="preserve">Country standardized: 'Sri Lanka' -&gt; 'Democratic Socialist Republic of Sri Lanka'. / Country standardized: 'St. Kitts and Nevis' -&gt; 'Federation of Saint Kitts and Nevis'. / Country standardized: 'Tanzania (United Republic of)' -&gt; 'United Republic of Tanzania'. / Region standardized: 'global' -&gt; 'Global'.</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2</w:t>
            </w:r>
          </w:p>
        </w:tc>
        <w:tc>
          <w:tcPr>
            <w:tcW w:w="2400" w:type="dxa"/>
          </w:tcPr>
          <w:p>
            <w:r>
              <w:t xml:space="preserve">GeoData_with_ISO3166_alpha3.xlsx: last modified 2026-05-22, more than 30 days before ingestion (134 days).</w:t>
            </w:r>
          </w:p>
        </w:tc>
      </w:tr>
      <w:tr>
        <w:tc>
          <w:tcPr>
            <w:tcW w:w="2400" w:type="dxa"/>
          </w:tcPr>
          <w:p>
            <w:r>
              <w:t xml:space="preserve">3</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4</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5</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6</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7</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8</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9</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10</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11</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12</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13</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14</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15</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16</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17</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18</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19</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20</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21</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22</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23</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24</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25</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26</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27</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28</w:t>
            </w:r>
          </w:p>
        </w:tc>
        <w:tc>
          <w:tcPr>
            <w:tcW w:w="2400" w:type="dxa"/>
          </w:tcPr>
          <w:p>
            <w:r>
              <w:t xml:space="preserve">Resolved - Action: duplicate evaluation at evaluations.xlsx row 306 removed; retained row 297 ().</w:t>
            </w:r>
          </w:p>
        </w:tc>
      </w:tr>
      <w:tr>
        <w:tc>
          <w:tcPr>
            <w:tcW w:w="2400" w:type="dxa"/>
          </w:tcPr>
          <w:p>
            <w:r>
              <w:t xml:space="preserve">29</w:t>
            </w:r>
          </w:p>
        </w:tc>
        <w:tc>
          <w:tcPr>
            <w:tcW w:w="2400" w:type="dxa"/>
          </w:tcPr>
          <w:p>
            <w:r>
              <w:t xml:space="preserve">Resolved - Action: duplicate evaluation at evaluations.xlsx row 332 removed; retained row 302 ().</w:t>
            </w:r>
          </w:p>
        </w:tc>
      </w:tr>
      <w:tr>
        <w:tc>
          <w:tcPr>
            <w:tcW w:w="2400" w:type="dxa"/>
          </w:tcPr>
          <w:p>
            <w:r>
              <w:t xml:space="preserve">30</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31</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32</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33</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34</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35</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36</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37</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38</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39</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40</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41</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42</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43</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44</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45</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46</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47</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48</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49</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