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North Macedonia</w:t>
      </w:r>
    </w:p>
    <w:p>
      <w:r>
        <w:rPr>
          <w:sz w:val="20"/>
          <w:color w:val="4B5563"/>
        </w:rPr>
        <w:t xml:space="preserve">Europe | LLDC</w:t>
      </w:r>
    </w:p>
    <w:p>
      <w:r>
        <w:rPr>
          <w:sz w:val="20"/>
          <w:color w:val="4B5563"/>
        </w:rPr>
        <w:t xml:space="preserve">Exported 05 Oct 2026, 14:20 | Snapshot 03 Oct 2026, 21:47 GMT-4</w:t>
      </w:r>
    </w:p>
    <w:p>
      <w:r>
        <w:rPr>
          <w:b/>
          <w:sz w:val="28"/>
          <w:color w:val="174A7C"/>
        </w:rPr>
        <w:t xml:space="preserve">Summary</w:t>
      </w:r>
    </w:p>
    <w:p>
      <w:r>
        <w:t xml:space="preserve">North Macedonia is presented in this country card as part of Europe, with North Macedonia also associated with an unspecified subregion and the LLDC grouping. The filtered data for North Macedonia highlights 0 projects for North Macedonia, including 0 active or planned projects for North Macedonia and 0 completed or closed projects for North Macedonia.</w:t>
      </w:r>
    </w:p>
    <w:p>
      <w:r>
        <w:t xml:space="preserve">For North Macedonia, the report includes 5 requests for North Macedonia, 1 RPTC proposals for North Macedonia, 0 RPTC activities for North Macedonia, and 0 travel records for North Macedonia. Financially, North Macedonia shows Not provided in project budget, $0 in proposal planned budget, and $0 in consumed RPTC activity budget for North Macedonia.</w:t>
      </w:r>
    </w:p>
    <w:p>
      <w:r>
        <w:t xml:space="preserve">The main organizational coverage for North Macedonia points to Division for Public Institutions and Digital Government, Financing for Sustainable Development Office, FSDO, Population Division. Activity records for North Macedonia list 0 participants, including 0 women participants, the current quality review for North Macedonia includes 54 data quality notes. Current highlights for North Macedonia include a request focus for North Macedonia: Request #5527 ? Request for PD analytical and capacity support to a potential Western Balkans joint programme on demographic change: population estimates and projections, demographic evidence and foresight, and capacity-building for national statistical offices.; an RPTC proposal focus for North Macedonia: Practical Workshops on the Negotiation of Tax Treaties – Seoul (2-6 November 2026) and Madrid (23-27 November 2026).</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5527</w:t>
            </w:r>
          </w:p>
        </w:tc>
        <w:tc>
          <w:tcPr>
            <w:tcW w:w="2400" w:type="dxa"/>
          </w:tcPr>
          <w:p>
            <w:r>
              <w:t xml:space="preserve">Request #5527 ? 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Under consideration</w:t>
            </w:r>
          </w:p>
        </w:tc>
        <w:tc>
          <w:tcPr>
            <w:tcW w:w="2400" w:type="dxa"/>
          </w:tcPr>
          <w:p>
            <w:r>
              <w:t xml:space="preserve">Population Division</w:t>
            </w:r>
          </w:p>
        </w:tc>
        <w:tc>
          <w:tcPr>
            <w:tcW w:w="2400" w:type="dxa"/>
          </w:tcPr>
          <w:p>
            <w:r>
              <w:t xml:space="preserve">19 May 2026</w:t>
            </w:r>
          </w:p>
        </w:tc>
        <w:tc>
          <w:tcPr>
            <w:tcW w:w="2400" w:type="dxa"/>
          </w:tcPr>
          <w:p>
            <w:r>
              <w:t xml:space="preserve">01 Jun 2026</w:t>
            </w:r>
          </w:p>
        </w:tc>
        <w:tc>
          <w:tcPr>
            <w:tcW w:w="2400" w:type="dxa"/>
          </w:tcPr>
          <w:p>
            <w:r>
              <w:t xml:space="preserve">31 Dec 2030</w:t>
            </w:r>
          </w:p>
        </w:tc>
        <w:tc>
          <w:tcPr>
            <w:tcW w:w="2400" w:type="dxa"/>
          </w:tcPr>
          <w:p>
            <w:r>
              <w:t xml:space="preserve">Rita Columbia | rita.columbia@un.org</w:t>
            </w:r>
          </w:p>
        </w:tc>
        <w:tc>
          <w:tcPr>
            <w:tcW w:w="2400" w:type="dxa"/>
          </w:tcPr>
          <w:p>
            <w:r>
              <w:t xml:space="preserve">Request for PD analytical and capacity support to a potential Western Balkans joint programme on demographic change: population estimates and projections, demographic evidence and foresight, and capacity-building for national statistical offices.</w:t>
            </w:r>
          </w:p>
        </w:tc>
      </w:tr>
      <w:tr>
        <w:tc>
          <w:tcPr>
            <w:tcW w:w="2400" w:type="dxa"/>
          </w:tcPr>
          <w:p>
            <w:r>
              <w:t xml:space="preserve">5164</w:t>
            </w:r>
          </w:p>
        </w:tc>
        <w:tc>
          <w:tcPr>
            <w:tcW w:w="2400" w:type="dxa"/>
          </w:tcPr>
          <w:p>
            <w:r>
              <w:t xml:space="preserve">Request #5164 ? 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c>
          <w:tcPr>
            <w:tcW w:w="2400" w:type="dxa"/>
          </w:tcPr>
          <w:p>
            <w:r>
              <w:t xml:space="preserve">Under consideration</w:t>
            </w:r>
          </w:p>
        </w:tc>
        <w:tc>
          <w:tcPr>
            <w:tcW w:w="2400" w:type="dxa"/>
          </w:tcPr>
          <w:p>
            <w:r>
              <w:t xml:space="preserve">Statistics Division</w:t>
            </w:r>
          </w:p>
        </w:tc>
        <w:tc>
          <w:tcPr>
            <w:tcW w:w="2400" w:type="dxa"/>
          </w:tcPr>
          <w:p>
            <w:r>
              <w:t xml:space="preserve">24 Jan 2025</w:t>
            </w:r>
          </w:p>
        </w:tc>
        <w:tc>
          <w:tcPr>
            <w:tcW w:w="2400" w:type="dxa"/>
          </w:tcPr>
          <w:p>
            <w:r>
              <w:t xml:space="preserve"/>
            </w:r>
          </w:p>
        </w:tc>
        <w:tc>
          <w:tcPr>
            <w:tcW w:w="2400" w:type="dxa"/>
          </w:tcPr>
          <w:p>
            <w:r>
              <w:t xml:space="preserve"/>
            </w:r>
          </w:p>
        </w:tc>
        <w:tc>
          <w:tcPr>
            <w:tcW w:w="2400" w:type="dxa"/>
          </w:tcPr>
          <w:p>
            <w:r>
              <w:t xml:space="preserve">Edem Kludza | edem.kludza@un.org</w:t>
            </w:r>
          </w:p>
        </w:tc>
        <w:tc>
          <w:tcPr>
            <w:tcW w:w="2400" w:type="dxa"/>
          </w:tcPr>
          <w:p>
            <w:r>
              <w:t xml:space="preserve">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r>
      <w:tr>
        <w:tc>
          <w:tcPr>
            <w:tcW w:w="2400" w:type="dxa"/>
          </w:tcPr>
          <w:p>
            <w:r>
              <w:t xml:space="preserve">3851</w:t>
            </w:r>
          </w:p>
        </w:tc>
        <w:tc>
          <w:tcPr>
            <w:tcW w:w="2400" w:type="dxa"/>
          </w:tcPr>
          <w:p>
            <w:r>
              <w:t xml:space="preserve">Request #3851 ? Below is the proposal with potential activities on AM the Member State would like to implement with the support of UNDESA and GIZ in the economies of SEE: / 1. Delivery of a Webinar on asset management with around 30 representatives from NALAS Task Forces, Advisory Concilium and other relevant regional stakeholders to introduce the Handbook and to establish an initial exchange on the needs for implementation of inclusive, accessible and resilient infrastructure asset management. / 2. Identification of 4 economies from SEE for piloting of the UN Diagnostic Tool to Assess Asset Management Needs of Local Governments. The pilot economies will be selected in the frame of a consultation process of the NALAS members - the Local Government Associations from SEE region. / 3. Identification of national assessing teams and capacitation of the teams on the UN Diagnostic Tool to Assess Asset Management Needs of Local Governments. Members of the NALAS task forces on Solid Waste Management, Water and Sanitation, Urban Planning, Energy Efficiency, Sustainable Tourism and Fiscal Decentralization will be invited to be engaged in the capacity of assessors. The regional capacity development event (Training of Assessors) and materials for diagnostics will be developed by UNDESA experts in cooperation with AM hubs established with the support of GIZ ORF MMS. / 4. Implementation of joint (UN/DESA, NALAS and GIZ) scoping missions to 4 pilot economies in the region to apply the UN Diagnostic Tool on Asset Management to 4 local governments in each economy. Based on the agreed criteria, the NALAS member associations will be responsible to select 4 pilot local governments per economy for application of the three steps of the Diagnostic Tool (self-assessment, verification and validation of the self-assessment, and development of optional interventions that local authorities should consider to improve their asset management practices.)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25 May 2021</w:t>
            </w:r>
          </w:p>
        </w:tc>
        <w:tc>
          <w:tcPr>
            <w:tcW w:w="2400" w:type="dxa"/>
          </w:tcPr>
          <w:p>
            <w:r>
              <w:t xml:space="preserve">01 Jun 2021</w:t>
            </w:r>
          </w:p>
        </w:tc>
        <w:tc>
          <w:tcPr>
            <w:tcW w:w="2400" w:type="dxa"/>
          </w:tcPr>
          <w:p>
            <w:r>
              <w:t xml:space="preserve">31 Dec 2022</w:t>
            </w:r>
          </w:p>
        </w:tc>
        <w:tc>
          <w:tcPr>
            <w:tcW w:w="2400" w:type="dxa"/>
          </w:tcPr>
          <w:p>
            <w:r>
              <w:t xml:space="preserve">Kelmend  Zajazi | info@nalas.eu</w:t>
            </w:r>
          </w:p>
        </w:tc>
        <w:tc>
          <w:tcPr>
            <w:tcW w:w="2400" w:type="dxa"/>
          </w:tcPr>
          <w:p>
            <w:r>
              <w:t xml:space="preserve">Below is the proposal with potential activities on AM the Member State would like to implement with the support of UNDESA and GIZ in the economies of SEE: / 1. Delivery of a Webinar on asset management with around 30 representatives from NALAS Task Forces, Advisory Concilium and other relevant regional stakeholders to introduce the Handbook and to establish an initial exchange on the needs for implementation of inclusive, accessible and resilient infrastructure asset management. / 2. Identification of 4 economies from SEE for piloting of the UN Diagnostic Tool to Assess Asset Management Needs of Local Governments. The pilot economies will be selected in the frame of a consultation process of the NALAS members - the Local Government Associations from SEE region. / 3. Identification of national assessing teams and capacitation of the teams on the UN Diagnostic Tool to Assess Asset Management Needs of Local Governments. Members of the NALAS task forces on Solid Waste Management, Water and Sanitation, Urban Planning, Energy Efficiency, Sustainable Tourism and Fiscal Decentralization will be invited to be engaged in the capacity of assessors. The regional capacity development event (Training of Assessors) and materials for diagnostics will be developed by UNDESA experts in cooperation with AM hubs established with the support of GIZ ORF MMS. / 4. Implementation of joint (UN/DESA, NALAS and GIZ) scoping missions to 4 pilot economies in the region to apply the UN Diagnostic Tool on Asset Management to 4 local governments in each economy. Based on the agreed criteria, the NALAS member associations will be responsible to select 4 pilot local governments per economy for application of the three steps of the Diagnostic Tool (self-assessment, verification and validation of the self-assessment, and development of optional interventions that local authorities should consider to improve their asset management practices.)</w:t>
            </w:r>
          </w:p>
        </w:tc>
      </w:tr>
      <w:tr>
        <w:tc>
          <w:tcPr>
            <w:tcW w:w="2400" w:type="dxa"/>
          </w:tcPr>
          <w:p>
            <w:r>
              <w:t xml:space="preserve">4016</w:t>
            </w:r>
          </w:p>
        </w:tc>
        <w:tc>
          <w:tcPr>
            <w:tcW w:w="2400" w:type="dxa"/>
          </w:tcPr>
          <w:p>
            <w:r>
              <w:t xml:space="preserve">Request #4016 ? DPIDG was requested by the Government of North Macedonia to provide support in strengthening capacities for effective governance and public administration.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May 2022</w:t>
            </w:r>
          </w:p>
        </w:tc>
        <w:tc>
          <w:tcPr>
            <w:tcW w:w="2400" w:type="dxa"/>
          </w:tcPr>
          <w:p>
            <w:r>
              <w:t xml:space="preserve">25 May 2022</w:t>
            </w:r>
          </w:p>
        </w:tc>
        <w:tc>
          <w:tcPr>
            <w:tcW w:w="2400" w:type="dxa"/>
          </w:tcPr>
          <w:p>
            <w:r>
              <w:t xml:space="preserve">27 May 2022</w:t>
            </w:r>
          </w:p>
        </w:tc>
        <w:tc>
          <w:tcPr>
            <w:tcW w:w="2400" w:type="dxa"/>
          </w:tcPr>
          <w:p>
            <w:r>
              <w:t xml:space="preserve">Doc. Dr. Jeton Saqiri | jeton.saquiri@moia.gov.mk</w:t>
            </w:r>
          </w:p>
        </w:tc>
        <w:tc>
          <w:tcPr>
            <w:tcW w:w="2400" w:type="dxa"/>
          </w:tcPr>
          <w:p>
            <w:r>
              <w:t xml:space="preserve">DPIDG was requested by the Government of North Macedonia to provide support in strengthening capacities for effective governance and public administration.</w:t>
            </w:r>
          </w:p>
        </w:tc>
      </w:tr>
      <w:tr>
        <w:tc>
          <w:tcPr>
            <w:tcW w:w="2400" w:type="dxa"/>
          </w:tcPr>
          <w:p>
            <w:r>
              <w:t xml:space="preserve">2746</w:t>
            </w:r>
          </w:p>
        </w:tc>
        <w:tc>
          <w:tcPr>
            <w:tcW w:w="2400" w:type="dxa"/>
          </w:tcPr>
          <w:p>
            <w:r>
              <w:t xml:space="preserve">Request #2746 ? Capacity Building in  the formulation of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13 Apr 2018</w:t>
            </w:r>
          </w:p>
        </w:tc>
        <w:tc>
          <w:tcPr>
            <w:tcW w:w="2400" w:type="dxa"/>
          </w:tcPr>
          <w:p>
            <w:r>
              <w:t xml:space="preserve"/>
            </w:r>
          </w:p>
        </w:tc>
        <w:tc>
          <w:tcPr>
            <w:tcW w:w="2400" w:type="dxa"/>
          </w:tcPr>
          <w:p>
            <w:r>
              <w:t xml:space="preserve"/>
            </w:r>
          </w:p>
        </w:tc>
        <w:tc>
          <w:tcPr>
            <w:tcW w:w="2400" w:type="dxa"/>
          </w:tcPr>
          <w:p>
            <w:r>
              <w:t xml:space="preserve">Ljupcho Nikolovski | info@mzxv.gov.mk</w:t>
            </w:r>
          </w:p>
        </w:tc>
        <w:tc>
          <w:tcPr>
            <w:tcW w:w="2400" w:type="dxa"/>
          </w:tcPr>
          <w:p>
            <w:r>
              <w:t xml:space="preserve">Capacity Building in  the formulation of a project proposal on sustainable forest managment</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2</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5</w:t>
            </w:r>
          </w:p>
        </w:tc>
        <w:tc>
          <w:tcPr>
            <w:tcW w:w="2400" w:type="dxa"/>
          </w:tcPr>
          <w:p>
            <w:r>
              <w:t xml:space="preserve">proposals.xlsx record 'SB-001380.92|row:48': 'f_cashGov' has non-numeric value 'N/A'.</w:t>
            </w:r>
          </w:p>
        </w:tc>
      </w:tr>
      <w:tr>
        <w:tc>
          <w:tcPr>
            <w:tcW w:w="2400" w:type="dxa"/>
          </w:tcPr>
          <w:p>
            <w:r>
              <w:t xml:space="preserve">6</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7</w:t>
            </w:r>
          </w:p>
        </w:tc>
        <w:tc>
          <w:tcPr>
            <w:tcW w:w="2400" w:type="dxa"/>
          </w:tcPr>
          <w:p>
            <w:r>
              <w:t xml:space="preserve">proposals.xlsx record 'SB-001380.92|row:48': 'Total Budget' is blank.</w:t>
            </w:r>
          </w:p>
        </w:tc>
      </w:tr>
      <w:tr>
        <w:tc>
          <w:tcPr>
            <w:tcW w:w="2400" w:type="dxa"/>
          </w:tcPr>
          <w:p>
            <w:r>
              <w:t xml:space="preserve">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33</w:t>
            </w:r>
          </w:p>
        </w:tc>
        <w:tc>
          <w:tcPr>
            <w:tcW w:w="2400" w:type="dxa"/>
          </w:tcPr>
          <w:p>
            <w:r>
              <w:t xml:space="preserve">Resolved - Action: duplicate evaluation at evaluations.xlsx row 306 removed; retained row 297 ().</w:t>
            </w:r>
          </w:p>
        </w:tc>
      </w:tr>
      <w:tr>
        <w:tc>
          <w:tcPr>
            <w:tcW w:w="2400" w:type="dxa"/>
          </w:tcPr>
          <w:p>
            <w:r>
              <w:t xml:space="preserve">34</w:t>
            </w:r>
          </w:p>
        </w:tc>
        <w:tc>
          <w:tcPr>
            <w:tcW w:w="2400" w:type="dxa"/>
          </w:tcPr>
          <w:p>
            <w:r>
              <w:t xml:space="preserve">Resolved - Action: duplicate evaluation at evaluations.xlsx row 332 removed; retained row 302 ().</w:t>
            </w:r>
          </w:p>
        </w:tc>
      </w:tr>
      <w:tr>
        <w:tc>
          <w:tcPr>
            <w:tcW w:w="2400" w:type="dxa"/>
          </w:tcPr>
          <w:p>
            <w:r>
              <w:t xml:space="preserve">35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