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Myanmar</w:t>
      </w:r>
    </w:p>
    <w:p>
      <w:r>
        <w:rPr>
          <w:sz w:val="20"/>
          <w:color w:val="4B5563"/>
        </w:rPr>
        <w:t xml:space="preserve">Asia | LDC</w:t>
      </w:r>
    </w:p>
    <w:p>
      <w:r>
        <w:rPr>
          <w:sz w:val="20"/>
          <w:color w:val="4B5563"/>
        </w:rPr>
        <w:t xml:space="preserve">Exported 05 Oct 2026, 14:20 | Snapshot 03 Oct 2026, 21:47 GMT-4</w:t>
      </w:r>
    </w:p>
    <w:p>
      <w:r>
        <w:rPr>
          <w:b/>
          <w:sz w:val="28"/>
          <w:color w:val="174A7C"/>
        </w:rPr>
        <w:t xml:space="preserve">Summary</w:t>
      </w:r>
    </w:p>
    <w:p>
      <w:r>
        <w:t xml:space="preserve">Myanmar is presented in this country card as part of Asia, with Myanmar also associated with an unspecified subregion and the LDC grouping. The filtered data for Myanmar highlights 3 projects for Myanmar, including 0 active or planned projects for Myanmar and 3 completed or closed projects for Myanmar.</w:t>
      </w:r>
    </w:p>
    <w:p>
      <w:r>
        <w:t xml:space="preserve">For Myanmar, the report includes 7 requests for Myanmar, 0 RPTC proposals for Myanmar, 0 RPTC activities for Myanmar, and 0 travel records for Myanmar. Financially, Myanmar shows USD 13,151,698 in project budget, $0 in proposal planned budget, and $0 in consumed RPTC activity budget for Myanmar.</w:t>
      </w:r>
    </w:p>
    <w:p>
      <w:r>
        <w:t xml:space="preserve">The main organizational coverage for Myanmar points to Division for Sustainable Development Goals, Economic Analysis and Policy Division, Financing for Sustainable Development Office, Statistics Division. Activity records for Myanmar list 0 participants, including 0 women participants, the current quality review for Myanmar includes 53 data quality notes. Current highlights for Myanmar include a request focus for Myanmar: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13,151,698</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53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Helping Least Developed Countries achieve structural economic progress toward graduation</w:t>
            </w:r>
          </w:p>
        </w:tc>
        <w:tc>
          <w:tcPr>
            <w:tcW w:w="2400" w:type="dxa"/>
          </w:tcPr>
          <w:p>
            <w:r>
              <w:t xml:space="preserve">1819F</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May 2020</w:t>
            </w:r>
          </w:p>
        </w:tc>
        <w:tc>
          <w:tcPr>
            <w:tcW w:w="2400" w:type="dxa"/>
          </w:tcPr>
          <w:p>
            <w:r>
              <w:t xml:space="preserve">30 Jun 2022</w:t>
            </w:r>
          </w:p>
        </w:tc>
        <w:tc>
          <w:tcPr>
            <w:tcW w:w="2400" w:type="dxa"/>
          </w:tcPr>
          <w:p>
            <w:r>
              <w:t xml:space="preserve">USD 800,000</w:t>
            </w:r>
          </w:p>
        </w:tc>
        <w:tc>
          <w:tcPr>
            <w:tcW w:w="2400" w:type="dxa"/>
          </w:tcPr>
          <w:p>
            <w:r>
              <w:t xml:space="preserve">Bangladesh, Bhutan, Lao People's Democratic Republic, Myanmar</w:t>
            </w:r>
          </w:p>
        </w:tc>
        <w:tc>
          <w:tcPr>
            <w:tcW w:w="2400" w:type="dxa"/>
          </w:tcPr>
          <w:p>
            <w:r>
              <w:t xml:space="preserve">Country standardized: 'Lao PDR' -&gt; 'Lao People's Democratic Republic'.</w:t>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r>
      <w:tr>
        <w:tc>
          <w:tcPr>
            <w:tcW w:w="2400" w:type="dxa"/>
          </w:tcPr>
          <w:p>
            <w:r>
              <w:t xml:space="preserve">3477</w:t>
            </w:r>
          </w:p>
        </w:tc>
        <w:tc>
          <w:tcPr>
            <w:tcW w:w="2400" w:type="dxa"/>
          </w:tcPr>
          <w:p>
            <w:r>
              <w:t xml:space="preserve">Request #3477 ? Macroeconomic modelling tools in analyzing impacts of BRI on SDGs</w:t>
            </w:r>
          </w:p>
        </w:tc>
        <w:tc>
          <w:tcPr>
            <w:tcW w:w="2400" w:type="dxa"/>
          </w:tcPr>
          <w:p>
            <w:r>
              <w:t xml:space="preserve">Completed</w:t>
            </w:r>
          </w:p>
        </w:tc>
        <w:tc>
          <w:tcPr>
            <w:tcW w:w="2400" w:type="dxa"/>
          </w:tcPr>
          <w:p>
            <w:r>
              <w:t xml:space="preserve">Economic Analysis and Policy Division</w:t>
            </w:r>
          </w:p>
        </w:tc>
        <w:tc>
          <w:tcPr>
            <w:tcW w:w="2400" w:type="dxa"/>
          </w:tcPr>
          <w:p>
            <w:r>
              <w:t xml:space="preserve">17 Feb 2021</w:t>
            </w:r>
          </w:p>
        </w:tc>
        <w:tc>
          <w:tcPr>
            <w:tcW w:w="2400" w:type="dxa"/>
          </w:tcPr>
          <w:p>
            <w:r>
              <w:t xml:space="preserve"/>
            </w:r>
          </w:p>
        </w:tc>
        <w:tc>
          <w:tcPr>
            <w:tcW w:w="2400" w:type="dxa"/>
          </w:tcPr>
          <w:p>
            <w:r>
              <w:t xml:space="preserve">31 May 2021</w:t>
            </w:r>
          </w:p>
        </w:tc>
        <w:tc>
          <w:tcPr>
            <w:tcW w:w="2400" w:type="dxa"/>
          </w:tcPr>
          <w:p>
            <w:r>
              <w:t xml:space="preserve">Namsuk Kim | htoos@un.org</w:t>
            </w:r>
          </w:p>
        </w:tc>
        <w:tc>
          <w:tcPr>
            <w:tcW w:w="2400" w:type="dxa"/>
          </w:tcPr>
          <w:p>
            <w:r>
              <w:t xml:space="preserve">Macroeconomic modelling tools in analyzing impacts of BRI on SDGs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Helping least developed countries (LDCs) pursue structural economic progress toward and beyond graduation</w:t>
            </w:r>
          </w:p>
        </w:tc>
        <w:tc>
          <w:tcPr>
            <w:tcW w:w="2400" w:type="dxa"/>
          </w:tcPr>
          <w:p>
            <w:r>
              <w:t xml:space="preserve">2022</w:t>
            </w:r>
          </w:p>
        </w:tc>
        <w:tc>
          <w:tcPr>
            <w:tcW w:w="2400" w:type="dxa"/>
          </w:tcPr>
          <w:p>
            <w:r>
              <w:t xml:space="preserve">EAPD; CDPMO</w:t>
            </w:r>
          </w:p>
        </w:tc>
        <w:tc>
          <w:tcPr>
            <w:tcW w:w="2400" w:type="dxa"/>
          </w:tcPr>
          <w:p>
            <w:r>
              <w:t xml:space="preserve">Bangladesh, Bhutan, Lao People's Democratic Republic, Myanmar, Vanuatu</w:t>
            </w:r>
          </w:p>
        </w:tc>
        <w:tc>
          <w:tcPr>
            <w:tcW w:w="2400" w:type="dxa"/>
          </w:tcPr>
          <w:p>
            <w:r>
              <w:t xml:space="preserve">- Ensure that DA Project guidelines provide greater clarity on how priority cross-cutting issues (such as gender, human rights, and climate change) can be integrated into project outcome and output indicators and applied in implementation plans and subsequent monitoring, evaluation, and reporting. / - Ensure that DA Project guidelines provide greater clarity with regards to coordination and collaboration between different UN agencies to create synergy and ensure effective division of labour from the outset. / - Ensure that all key stakeholders are made fully aware of what UNDESA, UNCTAD, and other UN entities will be doing in the future to build on the success of this project, and how they can access this type of support in the future. Further support is still required in line with the types of support already provided, including: relevant advisory services to policy makers, including responding to the findings of Impact Assessments and Vulnerability Profiles; Graduation support via iGRAD; enacting and monitoring implementation of smooth transition strategies; and staying abreast of changing international trade requirements through ePING.</w:t>
            </w:r>
          </w:p>
        </w:tc>
        <w:tc>
          <w:tcPr>
            <w:tcW w:w="2400" w:type="dxa"/>
          </w:tcPr>
          <w:p>
            <w:r>
              <w:t xml:space="preserve">- A coordinated, integrated approach ensures less burden on beneficiary countries and better leverages additional resources for enhancing the impact of planned actions. / - Preparation of smooth transition strategies (STS) required clear guidelines; developing and updating an STS Guidance Note, translated into multiple languages, was effective. / - Analytical work highlighted long-term structural challenges; embedding these findings into national development plans increased impact. / - The framework for vulnerability profiles needed to be revised and broadened to include issues such as gender and social inequalities. / - Piloting consolidated Graduation Assessments, synthesizing impact assessments and vulnerability profiles, helped policy makers quickly digest key findings and recommendations. / - South-South cooperation and peer-to-peer learning enhanced beneficiary countries' learning and ability to address graduation challenges. / - Remote training was successful, but follow-up is needed to ensure capacity building is effective. / - COVID-19 led to innovation in capacity-building modalities, such as interactive and translated training materials and adjusted delivery pace. / - Establishing a dedicated facility like iGRAD supports graduating and graduated LDCs and improves coordination among UN agencies. / - The digital divide, highlighted by the pandemic, limited engagement with local governments; future projects should address technology access to ensure inclusiveness.</w:t>
            </w:r>
          </w:p>
        </w:tc>
        <w:tc>
          <w:tcPr>
            <w:tcW w:w="2400" w:type="dxa"/>
          </w:tcPr>
          <w:p>
            <w:r>
              <w:t xml:space="preserve">https://unitednations.sharepoint.com/sites/DESA-CDPMO/Shared Documents/General/3. Finance Management/5 - DEVELOPMENT ACCOUNT/DA - DESA/03 PROJECTS - CLOSED/EAPD/1819F SB-009659 Helping LDCs progress towards graduation/Evaluation/DA11-Final Evaluation Report-11-11-2022.pdf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'row:8': Country text 'Czechoslovakia' could not be matched; no country assignment was inferred.</w:t>
            </w:r>
          </w:p>
        </w:tc>
      </w:tr>
      <w:tr>
        <w:tc>
          <w:tcPr>
            <w:tcW w:w="2400" w:type="dxa"/>
          </w:tcPr>
          <w:p>
            <w:r>
              <w:t xml:space="preserve">2</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3</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4</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5</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32</w:t>
            </w:r>
          </w:p>
        </w:tc>
        <w:tc>
          <w:tcPr>
            <w:tcW w:w="2400" w:type="dxa"/>
          </w:tcPr>
          <w:p>
            <w:r>
              <w:t xml:space="preserve">Resolved - Action: duplicate evaluation at evaluations.xlsx row 306 removed; retained row 297 ().</w:t>
            </w:r>
          </w:p>
        </w:tc>
      </w:tr>
      <w:tr>
        <w:tc>
          <w:tcPr>
            <w:tcW w:w="2400" w:type="dxa"/>
          </w:tcPr>
          <w:p>
            <w:r>
              <w:t xml:space="preserve">33</w:t>
            </w:r>
          </w:p>
        </w:tc>
        <w:tc>
          <w:tcPr>
            <w:tcW w:w="2400" w:type="dxa"/>
          </w:tcPr>
          <w:p>
            <w:r>
              <w:t xml:space="preserve">Resolved - Action: duplicate evaluation at evaluations.xlsx row 332 removed; retained row 302 ().</w:t>
            </w:r>
          </w:p>
        </w:tc>
      </w:tr>
      <w:tr>
        <w:tc>
          <w:tcPr>
            <w:tcW w:w="2400" w:type="dxa"/>
          </w:tcPr>
          <w:p>
            <w:r>
              <w:t xml:space="preserve">34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