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Malawi</w:t>
      </w:r>
    </w:p>
    <w:p>
      <w:r>
        <w:rPr>
          <w:sz w:val="20"/>
          <w:color w:val="4B5563"/>
        </w:rPr>
        <w:t xml:space="preserve">Africa | LDC | LLDC</w:t>
      </w:r>
    </w:p>
    <w:p>
      <w:r>
        <w:rPr>
          <w:sz w:val="20"/>
          <w:color w:val="4B5563"/>
        </w:rPr>
        <w:t xml:space="preserve">Exported 05 Oct 2026, 14:20 | Snapshot 03 Oct 2026, 21:47 GMT-4</w:t>
      </w:r>
    </w:p>
    <w:p>
      <w:r>
        <w:rPr>
          <w:b/>
          <w:sz w:val="28"/>
          <w:color w:val="174A7C"/>
        </w:rPr>
        <w:t xml:space="preserve">Summary</w:t>
      </w:r>
    </w:p>
    <w:p>
      <w:r>
        <w:t xml:space="preserve">Malawi is presented in this country card as part of Africa, with Malawi also associated with an unspecified subregion and the LDC, LLDC grouping. The filtered data for Malawi highlights 5 projects for Malawi, including 3 active or planned projects for Malawi and 1 completed or closed projects for Malawi.</w:t>
      </w:r>
    </w:p>
    <w:p>
      <w:r>
        <w:t xml:space="preserve">For Malawi, the report includes 23 requests for Malawi, 6 RPTC proposals for Malawi, 3 RPTC activities for Malawi, and 2 travel records for Malawi. Financially, Malawi shows USD 3,306,800 in project budget, $399,493 in proposal planned budget, and $316,554 in consumed RPTC activity budget for Malawi.</w:t>
      </w:r>
    </w:p>
    <w:p>
      <w:r>
        <w:t xml:space="preserve">The main organizational coverage for Malawi points to Division for Inclusive Social Development, Division for Public Institutions and Digital Government, Economic Analysis and Policy Division, Financing for Sustainable Development Office. Activity records for Malawi list 3,407 participants, including 761 women participants, the current quality review for Malawi includes 72 data quality notes. Current highlights for Malawi include a request focus for Malawi: Request #5575 ? Artificial intelligence (AI) is becoming a primary channel through which users access information. Yet many AI systems rely on secondary sources and cannot directly interact with structured official data and metadata, increasing the risk of omission, misinterpretation or insufficient citation of authoritative public information. Strengthening the AI-readiness of official data and statistics - ensuring they are discoverable, machine-readable, interoperable and correctly interpretable - is therefore essential for safeguarding accuracy, visibility and trust. </w:t>
      </w:r>
      <w:r>
        <w:br/>
        <w:t xml:space="preserve"/>
      </w:r>
      <w:r>
        <w:br/>
        <w:t xml:space="preserve"/>
      </w:r>
      <w:r>
        <w:br/>
        <w:t xml:space="preserve"/>
      </w:r>
      <w:r>
        <w:br/>
        <w:t xml:space="preserve">This activity is proposed in response to demand of the Member States for capacity building in the area of Artificial Intelligence readiness for Official Statistics. The biennial World Data Forum provides a unique platform for countries to exchange experiences, learn about innovative applications and the latest advancements in AI for official statistics, and explore new opportunities for collaboration and future development. It is proposed that the countries attend the World Data Forum on 9-12 November 2026 as well as a side event on Artificial Intelligence to be held on 8 November 2026.; an RPTC proposal focus for Malawi: Capacity building workshop for developing countries presenting voluntary national reviews at the 2026 HLPF ; an activity focus for Malawi: Capacity building workshop for developing countries presenting voluntary national reviews at the 2026 HLPF.</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5</w:t>
            </w:r>
          </w:p>
        </w:tc>
      </w:tr>
      <w:tr>
        <w:tc>
          <w:tcPr>
            <w:tcW w:w="2400" w:type="dxa"/>
          </w:tcPr>
          <w:p>
            <w:r>
              <w:t xml:space="preserve">Project budget</w:t>
            </w:r>
          </w:p>
        </w:tc>
        <w:tc>
          <w:tcPr>
            <w:tcW w:w="2400" w:type="dxa"/>
          </w:tcPr>
          <w:p>
            <w:r>
              <w:t xml:space="preserve">USD 3,306,800</w:t>
            </w:r>
          </w:p>
        </w:tc>
      </w:tr>
      <w:tr>
        <w:tc>
          <w:tcPr>
            <w:tcW w:w="2400" w:type="dxa"/>
          </w:tcPr>
          <w:p>
            <w:r>
              <w:t xml:space="preserve">Requests</w:t>
            </w:r>
          </w:p>
        </w:tc>
        <w:tc>
          <w:tcPr>
            <w:tcW w:w="2400" w:type="dxa"/>
          </w:tcPr>
          <w:p>
            <w:r>
              <w:t xml:space="preserve">23</w:t>
            </w:r>
          </w:p>
        </w:tc>
      </w:tr>
      <w:tr>
        <w:tc>
          <w:tcPr>
            <w:tcW w:w="2400" w:type="dxa"/>
          </w:tcPr>
          <w:p>
            <w:r>
              <w:t xml:space="preserve">RPTC proposals</w:t>
            </w:r>
          </w:p>
        </w:tc>
        <w:tc>
          <w:tcPr>
            <w:tcW w:w="2400" w:type="dxa"/>
          </w:tcPr>
          <w:p>
            <w:r>
              <w:t xml:space="preserve">6</w:t>
            </w:r>
          </w:p>
        </w:tc>
      </w:tr>
      <w:tr>
        <w:tc>
          <w:tcPr>
            <w:tcW w:w="2400" w:type="dxa"/>
          </w:tcPr>
          <w:p>
            <w:r>
              <w:t xml:space="preserve">Proposal planned budget</w:t>
            </w:r>
          </w:p>
        </w:tc>
        <w:tc>
          <w:tcPr>
            <w:tcW w:w="2400" w:type="dxa"/>
          </w:tcPr>
          <w:p>
            <w:r>
              <w:t xml:space="preserve">$399,493</w:t>
            </w:r>
          </w:p>
        </w:tc>
      </w:tr>
      <w:tr>
        <w:tc>
          <w:tcPr>
            <w:tcW w:w="2400" w:type="dxa"/>
          </w:tcPr>
          <w:p>
            <w:r>
              <w:t xml:space="preserve">RPTC activities</w:t>
            </w:r>
          </w:p>
        </w:tc>
        <w:tc>
          <w:tcPr>
            <w:tcW w:w="2400" w:type="dxa"/>
          </w:tcPr>
          <w:p>
            <w:r>
              <w:t xml:space="preserve">3</w:t>
            </w:r>
          </w:p>
        </w:tc>
      </w:tr>
      <w:tr>
        <w:tc>
          <w:tcPr>
            <w:tcW w:w="2400" w:type="dxa"/>
          </w:tcPr>
          <w:p>
            <w:r>
              <w:t xml:space="preserve">Consumed RPTC budget</w:t>
            </w:r>
          </w:p>
        </w:tc>
        <w:tc>
          <w:tcPr>
            <w:tcW w:w="2400" w:type="dxa"/>
          </w:tcPr>
          <w:p>
            <w:r>
              <w:t xml:space="preserve">$316,554</w:t>
            </w:r>
          </w:p>
        </w:tc>
      </w:tr>
      <w:tr>
        <w:tc>
          <w:tcPr>
            <w:tcW w:w="2400" w:type="dxa"/>
          </w:tcPr>
          <w:p>
            <w:r>
              <w:t xml:space="preserve">Activity participants</w:t>
            </w:r>
          </w:p>
        </w:tc>
        <w:tc>
          <w:tcPr>
            <w:tcW w:w="2400" w:type="dxa"/>
          </w:tcPr>
          <w:p>
            <w:r>
              <w:t xml:space="preserve">3,407</w:t>
            </w:r>
          </w:p>
        </w:tc>
      </w:tr>
      <w:tr>
        <w:tc>
          <w:tcPr>
            <w:tcW w:w="2400" w:type="dxa"/>
          </w:tcPr>
          <w:p>
            <w:r>
              <w:t xml:space="preserve">Women participants</w:t>
            </w:r>
          </w:p>
        </w:tc>
        <w:tc>
          <w:tcPr>
            <w:tcW w:w="2400" w:type="dxa"/>
          </w:tcPr>
          <w:p>
            <w:r>
              <w:t xml:space="preserve">761</w:t>
            </w:r>
          </w:p>
        </w:tc>
      </w:tr>
      <w:tr>
        <w:tc>
          <w:tcPr>
            <w:tcW w:w="2400" w:type="dxa"/>
          </w:tcPr>
          <w:p>
            <w:r>
              <w:t xml:space="preserve">Travel records</w:t>
            </w:r>
          </w:p>
        </w:tc>
        <w:tc>
          <w:tcPr>
            <w:tcW w:w="2400" w:type="dxa"/>
          </w:tcPr>
          <w:p>
            <w:r>
              <w:t xml:space="preserve">2</w:t>
            </w:r>
          </w:p>
        </w:tc>
      </w:tr>
      <w:tr>
        <w:tc>
          <w:tcPr>
            <w:tcW w:w="2400" w:type="dxa"/>
          </w:tcPr>
          <w:p>
            <w:r>
              <w:t xml:space="preserve">Evaluations</w:t>
            </w:r>
          </w:p>
        </w:tc>
        <w:tc>
          <w:tcPr>
            <w:tcW w:w="2400" w:type="dxa"/>
          </w:tcPr>
          <w:p>
            <w:r>
              <w:t xml:space="preserve">9</w:t>
            </w:r>
          </w:p>
        </w:tc>
      </w:tr>
      <w:tr>
        <w:tc>
          <w:tcPr>
            <w:tcW w:w="2400" w:type="dxa"/>
          </w:tcPr>
          <w:p>
            <w:r>
              <w:t xml:space="preserve">Data quality notes</w:t>
            </w:r>
          </w:p>
        </w:tc>
        <w:tc>
          <w:tcPr>
            <w:tcW w:w="2400" w:type="dxa"/>
          </w:tcPr>
          <w:p>
            <w:r>
              <w:t xml:space="preserve">72</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r>
        <w:tc>
          <w:tcPr>
            <w:tcW w:w="2400" w:type="dxa"/>
          </w:tcPr>
          <w:p>
            <w:r>
              <w:t xml:space="preserve">Data collection methodology and tools for supporting the formulation of evidence-based policies in response to the challenge of population ageing in sub-Saharan Africa</w:t>
            </w:r>
          </w:p>
        </w:tc>
        <w:tc>
          <w:tcPr>
            <w:tcW w:w="2400" w:type="dxa"/>
          </w:tcPr>
          <w:p>
            <w:r>
              <w:t xml:space="preserve">1415G</w:t>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01 Nov 2015</w:t>
            </w:r>
          </w:p>
        </w:tc>
        <w:tc>
          <w:tcPr>
            <w:tcW w:w="2400" w:type="dxa"/>
          </w:tcPr>
          <w:p>
            <w:r>
              <w:t xml:space="preserve">31 Dec 2017</w:t>
            </w:r>
          </w:p>
        </w:tc>
        <w:tc>
          <w:tcPr>
            <w:tcW w:w="2400" w:type="dxa"/>
          </w:tcPr>
          <w:p>
            <w:r>
              <w:t xml:space="preserve">USD 395,800</w:t>
            </w:r>
          </w:p>
        </w:tc>
        <w:tc>
          <w:tcPr>
            <w:tcW w:w="2400" w:type="dxa"/>
          </w:tcPr>
          <w:p>
            <w:r>
              <w:t xml:space="preserve">Kenya, Malawi, Uganda</w:t>
            </w:r>
          </w:p>
        </w:tc>
      </w:tr>
      <w:tr>
        <w:tc>
          <w:tcPr>
            <w:tcW w:w="2400" w:type="dxa"/>
          </w:tcPr>
          <w:p>
            <w:r>
              <w:t xml:space="preserve">Identifying and addressing vulnerabilities to aggressive tax avoidance in developing countries</w:t>
            </w:r>
          </w:p>
        </w:tc>
        <w:tc>
          <w:tcPr>
            <w:tcW w:w="2400" w:type="dxa"/>
          </w:tcPr>
          <w:p>
            <w:r>
              <w:t xml:space="preserve">2427H</w:t>
            </w:r>
          </w:p>
        </w:tc>
        <w:tc>
          <w:tcPr>
            <w:tcW w:w="2400" w:type="dxa"/>
          </w:tcPr>
          <w:p>
            <w:r>
              <w:t xml:space="preserve">country</w:t>
            </w:r>
          </w:p>
        </w:tc>
        <w:tc>
          <w:tcPr>
            <w:tcW w:w="2400" w:type="dxa"/>
          </w:tcPr>
          <w:p>
            <w:r>
              <w:t xml:space="preserve">Financing for Sustainable Development Office</w:t>
            </w:r>
          </w:p>
        </w:tc>
        <w:tc>
          <w:tcPr>
            <w:tcW w:w="2400" w:type="dxa"/>
          </w:tcPr>
          <w:p>
            <w:r>
              <w:t xml:space="preserve">Active</w:t>
            </w:r>
          </w:p>
        </w:tc>
        <w:tc>
          <w:tcPr>
            <w:tcW w:w="2400" w:type="dxa"/>
          </w:tcPr>
          <w:p>
            <w:r>
              <w:t xml:space="preserve">01 Feb 2024</w:t>
            </w:r>
          </w:p>
        </w:tc>
        <w:tc>
          <w:tcPr>
            <w:tcW w:w="2400" w:type="dxa"/>
          </w:tcPr>
          <w:p>
            <w:r>
              <w:t xml:space="preserve">01 Dec 2027</w:t>
            </w:r>
          </w:p>
        </w:tc>
        <w:tc>
          <w:tcPr>
            <w:tcW w:w="2400" w:type="dxa"/>
          </w:tcPr>
          <w:p>
            <w:r>
              <w:t xml:space="preserve">USD 750,000</w:t>
            </w:r>
          </w:p>
        </w:tc>
        <w:tc>
          <w:tcPr>
            <w:tcW w:w="2400" w:type="dxa"/>
          </w:tcPr>
          <w:p>
            <w:r>
              <w:t xml:space="preserve">Jamaica, Malawi, Zambia</w:t>
            </w:r>
          </w:p>
        </w:tc>
      </w:tr>
      <w:tr>
        <w:tc>
          <w:tcPr>
            <w:tcW w:w="2400" w:type="dxa"/>
          </w:tcPr>
          <w:p>
            <w:r>
              <w:t xml:space="preserve">Enhancing migration data to support evidence-based policymaking and the achievement of the 2030 Agenda for Sustainable Development in Africa and Latin America and the Caribbean</w:t>
            </w:r>
          </w:p>
        </w:tc>
        <w:tc>
          <w:tcPr>
            <w:tcW w:w="2400" w:type="dxa"/>
          </w:tcPr>
          <w:p>
            <w:r>
              <w:t xml:space="preserve"/>
            </w:r>
          </w:p>
        </w:tc>
        <w:tc>
          <w:tcPr>
            <w:tcW w:w="2400" w:type="dxa"/>
          </w:tcPr>
          <w:p>
            <w:r>
              <w:t xml:space="preserve">country</w:t>
            </w:r>
          </w:p>
        </w:tc>
        <w:tc>
          <w:tcPr>
            <w:tcW w:w="2400" w:type="dxa"/>
          </w:tcPr>
          <w:p>
            <w:r>
              <w:t xml:space="preserve">Population Division</w:t>
            </w:r>
          </w:p>
        </w:tc>
        <w:tc>
          <w:tcPr>
            <w:tcW w:w="2400" w:type="dxa"/>
          </w:tcPr>
          <w:p>
            <w:r>
              <w:t xml:space="preserve">Under development</w:t>
            </w:r>
          </w:p>
        </w:tc>
        <w:tc>
          <w:tcPr>
            <w:tcW w:w="2400" w:type="dxa"/>
          </w:tcPr>
          <w:p>
            <w:r>
              <w:t xml:space="preserve">01 Jan 2027</w:t>
            </w:r>
          </w:p>
        </w:tc>
        <w:tc>
          <w:tcPr>
            <w:tcW w:w="2400" w:type="dxa"/>
          </w:tcPr>
          <w:p>
            <w:r>
              <w:t xml:space="preserve">31 Dec 2030</w:t>
            </w:r>
          </w:p>
        </w:tc>
        <w:tc>
          <w:tcPr>
            <w:tcW w:w="2400" w:type="dxa"/>
          </w:tcPr>
          <w:p>
            <w:r>
              <w:t xml:space="preserve">USD 911,000</w:t>
            </w:r>
          </w:p>
        </w:tc>
        <w:tc>
          <w:tcPr>
            <w:tcW w:w="2400" w:type="dxa"/>
          </w:tcPr>
          <w:p>
            <w:r>
              <w:t xml:space="preserve">Jamaica, Kenya, Malawi, Mexico, Mozambique, Peru</w:t>
            </w:r>
          </w:p>
        </w:tc>
      </w:tr>
      <w:tr>
        <w:tc>
          <w:tcPr>
            <w:tcW w:w="2400" w:type="dxa"/>
          </w:tcPr>
          <w:p>
            <w:r>
              <w:t xml:space="preserve">Strengthening capacity for evidence-informed policymaking: from inclusive data to inclusive policy for responding to national and global crises</w:t>
            </w:r>
          </w:p>
        </w:tc>
        <w:tc>
          <w:tcPr>
            <w:tcW w:w="2400" w:type="dxa"/>
          </w:tcPr>
          <w:p>
            <w:r>
              <w:t xml:space="preserve">2427I</w:t>
            </w:r>
          </w:p>
        </w:tc>
        <w:tc>
          <w:tcPr>
            <w:tcW w:w="2400" w:type="dxa"/>
          </w:tcPr>
          <w:p>
            <w:r>
              <w:t xml:space="preserve">country</w:t>
            </w:r>
          </w:p>
        </w:tc>
        <w:tc>
          <w:tcPr>
            <w:tcW w:w="2400" w:type="dxa"/>
          </w:tcPr>
          <w:p>
            <w:r>
              <w:t xml:space="preserve">Economic Analysis and Policy Division</w:t>
            </w:r>
          </w:p>
        </w:tc>
        <w:tc>
          <w:tcPr>
            <w:tcW w:w="2400" w:type="dxa"/>
          </w:tcPr>
          <w:p>
            <w:r>
              <w:t xml:space="preserve">Active</w:t>
            </w:r>
          </w:p>
        </w:tc>
        <w:tc>
          <w:tcPr>
            <w:tcW w:w="2400" w:type="dxa"/>
          </w:tcPr>
          <w:p>
            <w:r>
              <w:t xml:space="preserve">01 Feb 2024</w:t>
            </w:r>
          </w:p>
        </w:tc>
        <w:tc>
          <w:tcPr>
            <w:tcW w:w="2400" w:type="dxa"/>
          </w:tcPr>
          <w:p>
            <w:r>
              <w:t xml:space="preserve">01 Dec 2027</w:t>
            </w:r>
          </w:p>
        </w:tc>
        <w:tc>
          <w:tcPr>
            <w:tcW w:w="2400" w:type="dxa"/>
          </w:tcPr>
          <w:p>
            <w:r>
              <w:t xml:space="preserve">USD 650,000</w:t>
            </w:r>
          </w:p>
        </w:tc>
        <w:tc>
          <w:tcPr>
            <w:tcW w:w="2400" w:type="dxa"/>
          </w:tcPr>
          <w:p>
            <w:r>
              <w:t xml:space="preserve">Colombia, Malawi, Nepal</w:t>
            </w:r>
          </w:p>
        </w:tc>
      </w:tr>
      <w:tr>
        <w:tc>
          <w:tcPr>
            <w:tcW w:w="2400" w:type="dxa"/>
          </w:tcPr>
          <w:p>
            <w:r>
              <w:t xml:space="preserve">Turning the tide on deforestation-Building partnerships to combat intensifying impacts of climate change, forest fires and zoonotic diseases</w:t>
            </w:r>
          </w:p>
        </w:tc>
        <w:tc>
          <w:tcPr>
            <w:tcW w:w="2400" w:type="dxa"/>
          </w:tcPr>
          <w:p>
            <w:r>
              <w:t xml:space="preserve">2326C</w:t>
            </w:r>
          </w:p>
        </w:tc>
        <w:tc>
          <w:tcPr>
            <w:tcW w:w="2400" w:type="dxa"/>
          </w:tcPr>
          <w:p>
            <w:r>
              <w:t xml:space="preserve">country</w:t>
            </w:r>
          </w:p>
        </w:tc>
        <w:tc>
          <w:tcPr>
            <w:tcW w:w="2400" w:type="dxa"/>
          </w:tcPr>
          <w:p>
            <w:r>
              <w:t xml:space="preserve">United Nations Forum on Forest</w:t>
            </w:r>
          </w:p>
        </w:tc>
        <w:tc>
          <w:tcPr>
            <w:tcW w:w="2400" w:type="dxa"/>
          </w:tcPr>
          <w:p>
            <w:r>
              <w:t xml:space="preserve">Active</w:t>
            </w:r>
          </w:p>
        </w:tc>
        <w:tc>
          <w:tcPr>
            <w:tcW w:w="2400" w:type="dxa"/>
          </w:tcPr>
          <w:p>
            <w:r>
              <w:t xml:space="preserve">01 Feb 2024</w:t>
            </w:r>
          </w:p>
        </w:tc>
        <w:tc>
          <w:tcPr>
            <w:tcW w:w="2400" w:type="dxa"/>
          </w:tcPr>
          <w:p>
            <w:r>
              <w:t xml:space="preserve">31 Dec 2024</w:t>
            </w:r>
          </w:p>
        </w:tc>
        <w:tc>
          <w:tcPr>
            <w:tcW w:w="2400" w:type="dxa"/>
          </w:tcPr>
          <w:p>
            <w:r>
              <w:t xml:space="preserve">USD 600,000</w:t>
            </w:r>
          </w:p>
        </w:tc>
        <w:tc>
          <w:tcPr>
            <w:tcW w:w="2400" w:type="dxa"/>
          </w:tcPr>
          <w:p>
            <w:r>
              <w:t xml:space="preserve">Fiji, Malawi, Uganda, Viet Nam</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5575</w:t>
            </w:r>
          </w:p>
        </w:tc>
        <w:tc>
          <w:tcPr>
            <w:tcW w:w="2400" w:type="dxa"/>
          </w:tcPr>
          <w:p>
            <w:r>
              <w:t xml:space="preserve">Request #5575 ? Artificial intelligence (AI) is becoming a primary channel through which users access information. Yet many AI systems rely on secondary sources and cannot directly interact with structured official data and metadata, increasing the risk of omission, misinterpretation or insufficient citation of authoritative public information. Strengthening the AI-readiness of official data and statistics - ensuring they are discoverable, machine-readable, interoperable and correctly interpretable - is therefore essential for safeguarding accuracy, visibility and trust.  / This activity is proposed in response to demand of the Member States for capacity building in the area of Artificial Intelligence readiness for Official Statistics. The biennial World Data Forum provides a unique platform for countries to exchange experiences, learn about innovative applications and the latest advancements in AI for official statistics, and explore new opportunities for collaboration and future development. It is proposed that the countries attend the World Data Forum on 9-12 November 2026 as well as a side event on Artificial Intelligence to be held on 8 November 2026.</w:t>
            </w:r>
          </w:p>
        </w:tc>
        <w:tc>
          <w:tcPr>
            <w:tcW w:w="2400" w:type="dxa"/>
          </w:tcPr>
          <w:p>
            <w:r>
              <w:t xml:space="preserve">Under consideration</w:t>
            </w:r>
          </w:p>
        </w:tc>
        <w:tc>
          <w:tcPr>
            <w:tcW w:w="2400" w:type="dxa"/>
          </w:tcPr>
          <w:p>
            <w:r>
              <w:t xml:space="preserve">Statistics Division</w:t>
            </w:r>
          </w:p>
        </w:tc>
        <w:tc>
          <w:tcPr>
            <w:tcW w:w="2400" w:type="dxa"/>
          </w:tcPr>
          <w:p>
            <w:r>
              <w:t xml:space="preserve">04 Sept 2026</w:t>
            </w:r>
          </w:p>
        </w:tc>
        <w:tc>
          <w:tcPr>
            <w:tcW w:w="2400" w:type="dxa"/>
          </w:tcPr>
          <w:p>
            <w:r>
              <w:t xml:space="preserve">08 Nov 2026</w:t>
            </w:r>
          </w:p>
        </w:tc>
        <w:tc>
          <w:tcPr>
            <w:tcW w:w="2400" w:type="dxa"/>
          </w:tcPr>
          <w:p>
            <w:r>
              <w:t xml:space="preserve">12 Sept 2026</w:t>
            </w:r>
          </w:p>
        </w:tc>
        <w:tc>
          <w:tcPr>
            <w:tcW w:w="2400" w:type="dxa"/>
          </w:tcPr>
          <w:p>
            <w:r>
              <w:t xml:space="preserve">Abdulla Gozalov | gozalov@un.org</w:t>
            </w:r>
          </w:p>
        </w:tc>
        <w:tc>
          <w:tcPr>
            <w:tcW w:w="2400" w:type="dxa"/>
          </w:tcPr>
          <w:p>
            <w:r>
              <w:t xml:space="preserve">Artificial intelligence (AI) is becoming a primary channel through which users access information. Yet many AI systems rely on secondary sources and cannot directly interact with structured official data and metadata, increasing the risk of omission, misinterpretation or insufficient citation of authoritative public information. Strengthening the AI-readiness of official data and statistics - ensuring they are discoverable, machine-readable, interoperable and correctly interpretable - is therefore essential for safeguarding accuracy, visibility and trust.  / This activity is proposed in response to demand of the Member States for capacity building in the area of Artificial Intelligence readiness for Official Statistics. The biennial World Data Forum provides a unique platform for countries to exchange experiences, learn about innovative applications and the latest advancements in AI for official statistics, and explore new opportunities for collaboration and future development. It is proposed that the countries attend the World Data Forum on 9-12 November 2026 as well as a side event on Artificial Intelligence to be held on 8 November 2026.</w:t>
            </w:r>
          </w:p>
        </w:tc>
        <w:tc>
          <w:tcPr>
            <w:tcW w:w="2400" w:type="dxa"/>
          </w:tcPr>
          <w:p>
            <w:r>
              <w:t xml:space="preserve"/>
            </w:r>
          </w:p>
        </w:tc>
        <w:tc>
          <w:tcPr>
            <w:tcW w:w="2400" w:type="dxa"/>
          </w:tcPr>
          <w:p>
            <w:r>
              <w:t xml:space="preserve">requests.xlsx record '5575': Dates End date 2026-09-12 is before start date 2026-11-08. / requests.xlsx record '5575': End date 2026-09-12 is before start date 2026-11-08.</w:t>
            </w:r>
          </w:p>
        </w:tc>
      </w:tr>
      <w:tr>
        <w:tc>
          <w:tcPr>
            <w:tcW w:w="2400" w:type="dxa"/>
          </w:tcPr>
          <w:p>
            <w:r>
              <w:t xml:space="preserve">5572</w:t>
            </w:r>
          </w:p>
        </w:tc>
        <w:tc>
          <w:tcPr>
            <w:tcW w:w="2400" w:type="dxa"/>
          </w:tcPr>
          <w:p>
            <w:r>
              <w:t xml:space="preserve">Request #5572 ? In early 2025, the Demographic and Health Survey (DHS) programme was terminated, disrupting ongoing surveys and threatening continuity of access to a data platform with more than 20 million data points and 4,000 indicators. For four decades, DHS supported health, nutrition, demographic and gender data production in more than 90 countries, and 39 SDG indicators rely to some degree on DHS data. / This project will support implementation of the Inter-Secretariat Working Group on Household Surveys (ISWGHS) work programme for a sustainable health and demographic data through two mutually reinforcing components. Component 1 will build capacity of 15 countries to identify priority health and population indicators, map data gaps and sources, assess technical, institutional and financial capacity, and develop sequenced national roadmaps. Component 2 will develop a Blueprint for Sustainable, Country-Led Demographic and Health Data Systems through Surveys, covering standards and indicators, innovation and harmonization, and capacity building strategies and financing. / The project will include a consultancy service to support the coordination of activities undertaken under Component 1 and 2; while the technical meeting in Nairobi, Kenya, on 2-3 November 2026, will bring countries together to finalise the Blueprint.</w:t>
            </w:r>
          </w:p>
        </w:tc>
        <w:tc>
          <w:tcPr>
            <w:tcW w:w="2400" w:type="dxa"/>
          </w:tcPr>
          <w:p>
            <w:r>
              <w:t xml:space="preserve">Under consideration</w:t>
            </w:r>
          </w:p>
        </w:tc>
        <w:tc>
          <w:tcPr>
            <w:tcW w:w="2400" w:type="dxa"/>
          </w:tcPr>
          <w:p>
            <w:r>
              <w:t xml:space="preserve">Statistics Division</w:t>
            </w:r>
          </w:p>
        </w:tc>
        <w:tc>
          <w:tcPr>
            <w:tcW w:w="2400" w:type="dxa"/>
          </w:tcPr>
          <w:p>
            <w:r>
              <w:t xml:space="preserve">06 Mar 2026</w:t>
            </w:r>
          </w:p>
        </w:tc>
        <w:tc>
          <w:tcPr>
            <w:tcW w:w="2400" w:type="dxa"/>
          </w:tcPr>
          <w:p>
            <w:r>
              <w:t xml:space="preserve">06 Mar 2026</w:t>
            </w:r>
          </w:p>
        </w:tc>
        <w:tc>
          <w:tcPr>
            <w:tcW w:w="2400" w:type="dxa"/>
          </w:tcPr>
          <w:p>
            <w:r>
              <w:t xml:space="preserve">31 Mar 2027</w:t>
            </w:r>
          </w:p>
        </w:tc>
        <w:tc>
          <w:tcPr>
            <w:tcW w:w="2400" w:type="dxa"/>
          </w:tcPr>
          <w:p>
            <w:r>
              <w:t xml:space="preserve">Omar Seidu | omar.seidu@statsghana.gov.gh</w:t>
            </w:r>
          </w:p>
        </w:tc>
        <w:tc>
          <w:tcPr>
            <w:tcW w:w="2400" w:type="dxa"/>
          </w:tcPr>
          <w:p>
            <w:r>
              <w:t xml:space="preserve">In early 2025, the Demographic and Health Survey (DHS) programme was terminated, disrupting ongoing surveys and threatening continuity of access to a data platform with more than 20 million data points and 4,000 indicators. For four decades, DHS supported health, nutrition, demographic and gender data production in more than 90 countries, and 39 SDG indicators rely to some degree on DHS data. / This project will support implementation of the Inter-Secretariat Working Group on Household Surveys (ISWGHS) work programme for a sustainable health and demographic data through two mutually reinforcing components. Component 1 will build capacity of 15 countries to identify priority health and population indicators, map data gaps and sources, assess technical, institutional and financial capacity, and develop sequenced national roadmaps. Component 2 will develop a Blueprint for Sustainable, Country-Led Demographic and Health Data Systems through Surveys, covering standards and indicators, innovation and harmonization, and capacity building strategies and financing. / The project will include a consultancy service to support the coordination of activities undertaken under Component 1 and 2; while the technical meeting in Nairobi, Kenya, on 2-3 November 2026, will bring countries together to finalise the Blueprint.</w:t>
            </w:r>
          </w:p>
        </w:tc>
        <w:tc>
          <w:tcPr>
            <w:tcW w:w="2400" w:type="dxa"/>
          </w:tcPr>
          <w:p>
            <w:r>
              <w:t xml:space="preserve"/>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5361</w:t>
            </w:r>
          </w:p>
        </w:tc>
        <w:tc>
          <w:tcPr>
            <w:tcW w:w="2400" w:type="dxa"/>
          </w:tcPr>
          <w:p>
            <w:r>
              <w:t xml:space="preserve">Request #5361 ? The Partnership in Statistics for Development in the 21st Century (PARIS21) aims to improve the production, quality, availability and use of statistics for informed decision-making and sustainable development. Established in 1999 by the United Nations, the European Commission, the Organisation for Economic Co-operation and Development (OECD), the International Monetary Fund and the World Bank, PARIS21 works with governments, international organizations, civil society and other stakeholders to strengthen national statistical systems, particularly in low- and middle-income countries. / The 2025 PARIS21 Annual Board and Partnership Meetings, to be held in Paris on 5â€“6 November 2025, - preparatory meetings are taking place on 4 November 2025 - will provide a platform to discuss coordinated and sustainable support for statistical capacity development, with a focus on Least Developed Countries (LDCs), Landlocked Developing Countries (LLDCs) and Small Island Developing States (SIDS). / Participation by the United Nations Statistics Division (UNSD) will ensure the Department of Economic and Social Affairsâ€™ (DESA) continued engagement in aligning international cooperation, strengthening partnerships and advancing coherence across global capacity building initiatives.  / PARIS21 partner countries, who will participate in the meetings, are: / 1.	Rwanda / 2.	Bhutan / 3.	Colombia / 4.	Ghana / 5.	Honduras / 6.	Jamaica / 7.	Kenya / 8.	Kyrgyz Republic / 9.	Lao PDR / 10.	Malawi / 11.	Mongolia / 12.	Niger / 13.	Palestine / 14.	Paraguay / 15.	Philippines / 16.	Tunisia</w:t>
            </w:r>
          </w:p>
        </w:tc>
        <w:tc>
          <w:tcPr>
            <w:tcW w:w="2400" w:type="dxa"/>
          </w:tcPr>
          <w:p>
            <w:r>
              <w:t xml:space="preserve">Completed</w:t>
            </w:r>
          </w:p>
        </w:tc>
        <w:tc>
          <w:tcPr>
            <w:tcW w:w="2400" w:type="dxa"/>
          </w:tcPr>
          <w:p>
            <w:r>
              <w:t xml:space="preserve">Statistics Division</w:t>
            </w:r>
          </w:p>
        </w:tc>
        <w:tc>
          <w:tcPr>
            <w:tcW w:w="2400" w:type="dxa"/>
          </w:tcPr>
          <w:p>
            <w:r>
              <w:t xml:space="preserve">13 Oct 2025</w:t>
            </w:r>
          </w:p>
        </w:tc>
        <w:tc>
          <w:tcPr>
            <w:tcW w:w="2400" w:type="dxa"/>
          </w:tcPr>
          <w:p>
            <w:r>
              <w:t xml:space="preserve">05 Nov 2025</w:t>
            </w:r>
          </w:p>
        </w:tc>
        <w:tc>
          <w:tcPr>
            <w:tcW w:w="2400" w:type="dxa"/>
          </w:tcPr>
          <w:p>
            <w:r>
              <w:t xml:space="preserve">06 Nov 2025</w:t>
            </w:r>
          </w:p>
        </w:tc>
        <w:tc>
          <w:tcPr>
            <w:tcW w:w="2400" w:type="dxa"/>
          </w:tcPr>
          <w:p>
            <w:r>
              <w:t xml:space="preserve">Abdulla Gozalov | gozalov@un.org</w:t>
            </w:r>
          </w:p>
        </w:tc>
        <w:tc>
          <w:tcPr>
            <w:tcW w:w="2400" w:type="dxa"/>
          </w:tcPr>
          <w:p>
            <w:r>
              <w:t xml:space="preserve">The Partnership in Statistics for Development in the 21st Century (PARIS21) aims to improve the production, quality, availability and use of statistics for informed decision-making and sustainable development. Established in 1999 by the United Nations, the European Commission, the Organisation for Economic Co-operation and Development (OECD), the International Monetary Fund and the World Bank, PARIS21 works with governments, international organizations, civil society and other stakeholders to strengthen national statistical systems, particularly in low- and middle-income countries. / The 2025 PARIS21 Annual Board and Partnership Meetings, to be held in Paris on 5â€“6 November 2025, - preparatory meetings are taking place on 4 November 2025 - will provide a platform to discuss coordinated and sustainable support for statistical capacity development, with a focus on Least Developed Countries (LDCs), Landlocked Developing Countries (LLDCs) and Small Island Developing States (SIDS). / Participation by the United Nations Statistics Division (UNSD) will ensure the Department of Economic and Social Affairsâ€™ (DESA) continued engagement in aligning international cooperation, strengthening partnerships and advancing coherence across global capacity building initiatives.  / PARIS21 partner countries, who will participate in the meetings, are: / 1.	Rwanda / 2.	Bhutan / 3.	Colombia / 4.	Ghana / 5.	Honduras / 6.	Jamaica / 7.	Kenya / 8.	Kyrgyz Republic / 9.	Lao PDR / 10.	Malawi / 11.	Mongolia / 12.	Niger / 13.	Palestine / 14.	Paraguay / 15.	Philippines / 16.	Tunisia</w:t>
            </w:r>
          </w:p>
        </w:tc>
        <w:tc>
          <w:tcPr>
            <w:tcW w:w="2400" w:type="dxa"/>
          </w:tcPr>
          <w:p>
            <w:r>
              <w:t xml:space="preserve"/>
            </w:r>
          </w:p>
        </w:tc>
        <w:tc>
          <w:tcPr>
            <w:tcW w:w="2400" w:type="dxa"/>
          </w:tcPr>
          <w:p>
            <w:r>
              <w:t xml:space="preserve"/>
            </w:r>
          </w:p>
        </w:tc>
      </w:tr>
      <w:tr>
        <w:tc>
          <w:tcPr>
            <w:tcW w:w="2400" w:type="dxa"/>
          </w:tcPr>
          <w:p>
            <w:r>
              <w:t xml:space="preserve">5335</w:t>
            </w:r>
          </w:p>
        </w:tc>
        <w:tc>
          <w:tcPr>
            <w:tcW w:w="2400" w:type="dxa"/>
          </w:tcPr>
          <w:p>
            <w:r>
              <w:t xml:space="preserve">Request #5335 ? In the context of DA15 project "Turning the tide on deforestation: Building partnerships to combat intensifying impacts of climate change, forest fires and zoonotic diseases", the UNFF Secretariat  held a multi- stakeholder workshop in Malawi with the purpose of i) building the skills of national stakeholders on integrated forest landscape restoration (IFLR) concepts and practices, and ii) finalize and validate the draft national IFLR strategy</w:t>
            </w:r>
          </w:p>
        </w:tc>
        <w:tc>
          <w:tcPr>
            <w:tcW w:w="2400" w:type="dxa"/>
          </w:tcPr>
          <w:p>
            <w:r>
              <w:t xml:space="preserve">Completed</w:t>
            </w:r>
          </w:p>
        </w:tc>
        <w:tc>
          <w:tcPr>
            <w:tcW w:w="2400" w:type="dxa"/>
          </w:tcPr>
          <w:p>
            <w:r>
              <w:t xml:space="preserve">United Nations Forum on Forest</w:t>
            </w:r>
          </w:p>
        </w:tc>
        <w:tc>
          <w:tcPr>
            <w:tcW w:w="2400" w:type="dxa"/>
          </w:tcPr>
          <w:p>
            <w:r>
              <w:t xml:space="preserve">14 Aug 2025</w:t>
            </w:r>
          </w:p>
        </w:tc>
        <w:tc>
          <w:tcPr>
            <w:tcW w:w="2400" w:type="dxa"/>
          </w:tcPr>
          <w:p>
            <w:r>
              <w:t xml:space="preserve">01 Oct 2025</w:t>
            </w:r>
          </w:p>
        </w:tc>
        <w:tc>
          <w:tcPr>
            <w:tcW w:w="2400" w:type="dxa"/>
          </w:tcPr>
          <w:p>
            <w:r>
              <w:t xml:space="preserve">01 Dec 2025</w:t>
            </w:r>
          </w:p>
        </w:tc>
        <w:tc>
          <w:tcPr>
            <w:tcW w:w="2400" w:type="dxa"/>
          </w:tcPr>
          <w:p>
            <w:r>
              <w:t xml:space="preserve">Ms. Patricia Masupayi | pchidyera@gmail.com</w:t>
            </w:r>
          </w:p>
        </w:tc>
        <w:tc>
          <w:tcPr>
            <w:tcW w:w="2400" w:type="dxa"/>
          </w:tcPr>
          <w:p>
            <w:r>
              <w:t xml:space="preserve">In the context of DA15 project "Turning the tide on deforestation: Building partnerships to combat intensifying impacts of climate change, forest fires and zoonotic diseases", the UNFF Secretariat  held a multi- stakeholder workshop in Malawi with the purpose of i) building the skills of national stakeholders on integrated forest landscape restoration (IFLR) concepts and practices, and ii) finalize and validate the draft national IFLR strategy</w:t>
            </w:r>
          </w:p>
        </w:tc>
        <w:tc>
          <w:tcPr>
            <w:tcW w:w="2400" w:type="dxa"/>
          </w:tcPr>
          <w:p>
            <w:r>
              <w:t xml:space="preserve"/>
            </w:r>
          </w:p>
        </w:tc>
        <w:tc>
          <w:tcPr>
            <w:tcW w:w="2400" w:type="dxa"/>
          </w:tcPr>
          <w:p>
            <w:r>
              <w:t xml:space="preserve"/>
            </w:r>
          </w:p>
        </w:tc>
      </w:tr>
      <w:tr>
        <w:tc>
          <w:tcPr>
            <w:tcW w:w="2400" w:type="dxa"/>
          </w:tcPr>
          <w:p>
            <w:r>
              <w:t xml:space="preserve">5214</w:t>
            </w:r>
          </w:p>
        </w:tc>
        <w:tc>
          <w:tcPr>
            <w:tcW w:w="2400" w:type="dxa"/>
          </w:tcPr>
          <w:p>
            <w:r>
              <w:t xml:space="preserve">Request #5214 ? Support the Government of Malawi, through the Malawi Investment and Trade Centre (MITC), in mobilizing private financing for SDG-aligned projects and benefiting from participation in the SDG Investment Fair.</w:t>
            </w:r>
          </w:p>
        </w:tc>
        <w:tc>
          <w:tcPr>
            <w:tcW w:w="2400" w:type="dxa"/>
          </w:tcPr>
          <w:p>
            <w:r>
              <w:t xml:space="preserve">Ongoing</w:t>
            </w:r>
          </w:p>
        </w:tc>
        <w:tc>
          <w:tcPr>
            <w:tcW w:w="2400" w:type="dxa"/>
          </w:tcPr>
          <w:p>
            <w:r>
              <w:t xml:space="preserve">Financing for Sustainable Development Office</w:t>
            </w:r>
          </w:p>
        </w:tc>
        <w:tc>
          <w:tcPr>
            <w:tcW w:w="2400" w:type="dxa"/>
          </w:tcPr>
          <w:p>
            <w:r>
              <w:t xml:space="preserve">13 Feb 2025</w:t>
            </w:r>
          </w:p>
        </w:tc>
        <w:tc>
          <w:tcPr>
            <w:tcW w:w="2400" w:type="dxa"/>
          </w:tcPr>
          <w:p>
            <w:r>
              <w:t xml:space="preserve">17 Feb 2025</w:t>
            </w:r>
          </w:p>
        </w:tc>
        <w:tc>
          <w:tcPr>
            <w:tcW w:w="2400" w:type="dxa"/>
          </w:tcPr>
          <w:p>
            <w:r>
              <w:t xml:space="preserve">04 Nov 2025</w:t>
            </w:r>
          </w:p>
        </w:tc>
        <w:tc>
          <w:tcPr>
            <w:tcW w:w="2400" w:type="dxa"/>
          </w:tcPr>
          <w:p>
            <w:r>
              <w:t xml:space="preserve">Stella Ngâ€™oma | sngoma@mitc.mw</w:t>
            </w:r>
          </w:p>
        </w:tc>
        <w:tc>
          <w:tcPr>
            <w:tcW w:w="2400" w:type="dxa"/>
          </w:tcPr>
          <w:p>
            <w:r>
              <w:t xml:space="preserve">Support the Government of Malawi, through the Malawi Investment and Trade Centre (MITC), in mobilizing private financing for SDG-aligned projects and benefiting from participation in the SDG Investment Fair.</w:t>
            </w:r>
          </w:p>
        </w:tc>
        <w:tc>
          <w:tcPr>
            <w:tcW w:w="2400" w:type="dxa"/>
          </w:tcPr>
          <w:p>
            <w:r>
              <w:t xml:space="preserve"/>
            </w:r>
          </w:p>
        </w:tc>
        <w:tc>
          <w:tcPr>
            <w:tcW w:w="2400" w:type="dxa"/>
          </w:tcPr>
          <w:p>
            <w:r>
              <w:t xml:space="preserve"/>
            </w:r>
          </w:p>
        </w:tc>
      </w:tr>
      <w:tr>
        <w:tc>
          <w:tcPr>
            <w:tcW w:w="2400" w:type="dxa"/>
          </w:tcPr>
          <w:p>
            <w:r>
              <w:t xml:space="preserve">5208</w:t>
            </w:r>
          </w:p>
        </w:tc>
        <w:tc>
          <w:tcPr>
            <w:tcW w:w="2400" w:type="dxa"/>
          </w:tcPr>
          <w:p>
            <w:r>
              <w:t xml:space="preserve">Request #5208 ? 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12 May 2025</w:t>
            </w:r>
          </w:p>
        </w:tc>
        <w:tc>
          <w:tcPr>
            <w:tcW w:w="2400" w:type="dxa"/>
          </w:tcPr>
          <w:p>
            <w:r>
              <w:t xml:space="preserve">04 Aug 2025</w:t>
            </w:r>
          </w:p>
        </w:tc>
        <w:tc>
          <w:tcPr>
            <w:tcW w:w="2400" w:type="dxa"/>
          </w:tcPr>
          <w:p>
            <w:r>
              <w:t xml:space="preserve">08 Aug 2025</w:t>
            </w:r>
          </w:p>
        </w:tc>
        <w:tc>
          <w:tcPr>
            <w:tcW w:w="2400" w:type="dxa"/>
          </w:tcPr>
          <w:p>
            <w:r>
              <w:t xml:space="preserve">Seiffe Tadesse | tadesse5@un.org</w:t>
            </w:r>
          </w:p>
        </w:tc>
        <w:tc>
          <w:tcPr>
            <w:tcW w:w="2400" w:type="dxa"/>
          </w:tcPr>
          <w:p>
            <w:r>
              <w:t xml:space="preserve">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
            </w:r>
          </w:p>
        </w:tc>
      </w:tr>
      <w:tr>
        <w:tc>
          <w:tcPr>
            <w:tcW w:w="2400" w:type="dxa"/>
          </w:tcPr>
          <w:p>
            <w:r>
              <w:t xml:space="preserve">5168</w:t>
            </w:r>
          </w:p>
        </w:tc>
        <w:tc>
          <w:tcPr>
            <w:tcW w:w="2400" w:type="dxa"/>
          </w:tcPr>
          <w:p>
            <w:r>
              <w:t xml:space="preserve">Request #5168 ? Background / The increasing complexity of international migration presents significant challenges for statistical measurement and policy formulation. Recognizing the importance of robust data for evidence-based policies, the United Nations Statistical Commission has, over recent years, undertaken several decisions to strengthen statistical standards and frameworks related to international migration and temporary mobility. / The Statistical Commission, in its Decision 49/101 (2018) welcomed the recognition of the importance of data for evidence-based policies in the Global Compact for Safe, Orderly and Regular migration (GCM) and established the Expert Group on Migration Statistics. Furthermore, the Statistical Commission, in its Decisions 52/109 (2021) and 54/104 (2023), endorsed the revised conceptual framework, statistical concepts and definitions, and the set of core and additional indicators on international migration and mobility statistics, as integral parts of the upcoming revision of the Recommendations on Statistics for International Migration. / The Statistical Commission also recognized the urgent need for statistical capacity-building and resources to support countries in their efforts to strengthen their migration data, in the context of the 2030 Agenda for Sustainable Development and the Global Compact for Safe, Orderly and Regular Migration (Decision 50/117, 2019). / The development of a harmonized migration database system to provide migration flows and profiles within the SADC region is a medium-term objective of the SADC Secretariat.  / The regional workshop responds to the above mandates as well as the direct request from SADC secretariat and several requests received from countries and regions, notably during the International Forum on Migration Statistics 2023, and the 54th session of the Statistical Commission.  The regional workshop will be implemented with technical support from the Collaborative on Administrative Data (CAD) and the United Nations Statistics Division, Social and Gender Statistics Section. / Objectives / â€¢	Increased awareness of target group of standards and methods related to migration statistics: Participants will gain enhanced knowledge of the revised framework, statistical concepts, and definitions endorsed by the United Nations Statistical Commission to improve the quality and comparability of migration data across countries. / â€¢	Enhanced data integration skills and improved implementation practices among target group: The workshop will provide guidance on the practical aspects of implementing new statistical methodologies and indicators on international migration, focusing on overcoming operational challenges, and integrating these into national systems. Emphasis will be on developing skills for understanding and managing administrative migration data, which is essential for producing relevant, high-quality, and disaggregated statistics that can inform policymaking and monitoring. / â€¢	Reinforcement of a community of practice: Participants will benefit from access to a network of experts and a pool of best practices that can assist in continuous improvement post-workshop, ensuring long-term capacity enhancement.</w:t>
            </w:r>
          </w:p>
        </w:tc>
        <w:tc>
          <w:tcPr>
            <w:tcW w:w="2400" w:type="dxa"/>
          </w:tcPr>
          <w:p>
            <w:r>
              <w:t xml:space="preserve">Completed</w:t>
            </w:r>
          </w:p>
        </w:tc>
        <w:tc>
          <w:tcPr>
            <w:tcW w:w="2400" w:type="dxa"/>
          </w:tcPr>
          <w:p>
            <w:r>
              <w:t xml:space="preserve">Statistics Division</w:t>
            </w:r>
          </w:p>
        </w:tc>
        <w:tc>
          <w:tcPr>
            <w:tcW w:w="2400" w:type="dxa"/>
          </w:tcPr>
          <w:p>
            <w:r>
              <w:t xml:space="preserve">17 Jan 2025</w:t>
            </w:r>
          </w:p>
        </w:tc>
        <w:tc>
          <w:tcPr>
            <w:tcW w:w="2400" w:type="dxa"/>
          </w:tcPr>
          <w:p>
            <w:r>
              <w:t xml:space="preserve">1</w:t>
            </w:r>
          </w:p>
        </w:tc>
        <w:tc>
          <w:tcPr>
            <w:tcW w:w="2400" w:type="dxa"/>
          </w:tcPr>
          <w:p>
            <w:r>
              <w:t xml:space="preserve">1</w:t>
            </w:r>
          </w:p>
        </w:tc>
        <w:tc>
          <w:tcPr>
            <w:tcW w:w="2400" w:type="dxa"/>
          </w:tcPr>
          <w:p>
            <w:r>
              <w:t xml:space="preserve">Deepchandsingh Jagai | djagai@sadc.int</w:t>
            </w:r>
          </w:p>
        </w:tc>
        <w:tc>
          <w:tcPr>
            <w:tcW w:w="2400" w:type="dxa"/>
          </w:tcPr>
          <w:p>
            <w:r>
              <w:t xml:space="preserve">Background / The increasing complexity of international migration presents significant challenges for statistical measurement and policy formulation. Recognizing the importance of robust data for evidence-based policies, the United Nations Statistical Commission has, over recent years, undertaken several decisions to strengthen statistical standards and frameworks related to international migration and temporary mobility. / The Statistical Commission, in its Decision 49/101 (2018) welcomed the recognition of the importance of data for evidence-based policies in the Global Compact for Safe, Orderly and Regular migration (GCM) and established the Expert Group on Migration Statistics. Furthermore, the Statistical Commission, in its Decisions 52/109 (2021) and 54/104 (2023), endorsed the revised conceptual framework, statistical concepts and definitions, and the set of core and additional indicators on international migration and mobility statistics, as integral parts of the upcoming revision of the Recommendations on Statistics for International Migration. / The Statistical Commission also recognized the urgent need for statistical capacity-building and resources to support countries in their efforts to strengthen their migration data, in the context of the 2030 Agenda for Sustainable Development and the Global Compact for Safe, Orderly and Regular Migration (Decision 50/117, 2019). / The development of a harmonized migration database system to provide migration flows and profiles within the SADC region is a medium-term objective of the SADC Secretariat.  / The regional workshop responds to the above mandates as well as the direct request from SADC secretariat and several requests received from countries and regions, notably during the International Forum on Migration Statistics 2023, and the 54th session of the Statistical Commission.  The regional workshop will be implemented with technical support from the Collaborative on Administrative Data (CAD) and the United Nations Statistics Division, Social and Gender Statistics Section. / Objectives / â€¢	Increased awareness of target group of standards and methods related to migration statistics: Participants will gain enhanced knowledge of the revised framework, statistical concepts, and definitions endorsed by the United Nations Statistical Commission to improve the quality and comparability of migration data across countries. / â€¢	Enhanced data integration skills and improved implementation practices among target group: The workshop will provide guidance on the practical aspects of implementing new statistical methodologies and indicators on international migration, focusing on overcoming operational challenges, and integrating these into national systems. Emphasis will be on developing skills for understanding and managing administrative migration data, which is essential for producing relevant, high-quality, and disaggregated statistics that can inform policymaking and monitoring. / â€¢	Reinforcement of a community of practice: Participants will benefit from access to a network of experts and a pool of best practices that can assist in continuous improvement post-workshop, ensuring long-term capacity enhancement.</w:t>
            </w:r>
          </w:p>
        </w:tc>
        <w:tc>
          <w:tcPr>
            <w:tcW w:w="2400" w:type="dxa"/>
          </w:tcPr>
          <w:p>
            <w:r>
              <w:t xml:space="preserve"/>
            </w:r>
          </w:p>
        </w:tc>
        <w:tc>
          <w:tcPr>
            <w:tcW w:w="2400" w:type="dxa"/>
          </w:tcPr>
          <w:p>
            <w:r>
              <w:t xml:space="preserve"/>
            </w:r>
          </w:p>
        </w:tc>
      </w:tr>
      <w:tr>
        <w:tc>
          <w:tcPr>
            <w:tcW w:w="2400" w:type="dxa"/>
          </w:tcPr>
          <w:p>
            <w:r>
              <w:t xml:space="preserve">5001</w:t>
            </w:r>
          </w:p>
        </w:tc>
        <w:tc>
          <w:tcPr>
            <w:tcW w:w="2400" w:type="dxa"/>
          </w:tcPr>
          <w:p>
            <w:r>
              <w:t xml:space="preserve">Request #5001 ? Support the Malawi Government, through the Malawi Investment and Trade Center (MITC), to mobilize private financing for SDG-aligned projects and benefit from participation in a future SDG Investment Fair. Additionally, assist in the digitization of trade and investment programs, development of an SDG Investor Map, feasibility studies for bankable projects, and technical support for Special Economic Zones (SEZ) implementation and regulatory development.</w:t>
            </w:r>
          </w:p>
        </w:tc>
        <w:tc>
          <w:tcPr>
            <w:tcW w:w="2400" w:type="dxa"/>
          </w:tcPr>
          <w:p>
            <w:r>
              <w:t xml:space="preserve">Ongoing</w:t>
            </w:r>
          </w:p>
        </w:tc>
        <w:tc>
          <w:tcPr>
            <w:tcW w:w="2400" w:type="dxa"/>
          </w:tcPr>
          <w:p>
            <w:r>
              <w:t xml:space="preserve">Financing for Sustainable Development Office</w:t>
            </w:r>
          </w:p>
        </w:tc>
        <w:tc>
          <w:tcPr>
            <w:tcW w:w="2400" w:type="dxa"/>
          </w:tcPr>
          <w:p>
            <w:r>
              <w:t xml:space="preserve">22 May 2024</w:t>
            </w:r>
          </w:p>
        </w:tc>
        <w:tc>
          <w:tcPr>
            <w:tcW w:w="2400" w:type="dxa"/>
          </w:tcPr>
          <w:p>
            <w:r>
              <w:t xml:space="preserve">01 Jun 2024</w:t>
            </w:r>
          </w:p>
        </w:tc>
        <w:tc>
          <w:tcPr>
            <w:tcW w:w="2400" w:type="dxa"/>
          </w:tcPr>
          <w:p>
            <w:r>
              <w:t xml:space="preserve">31 May 2026</w:t>
            </w:r>
          </w:p>
        </w:tc>
        <w:tc>
          <w:tcPr>
            <w:tcW w:w="2400" w:type="dxa"/>
          </w:tcPr>
          <w:p>
            <w:r>
              <w:t xml:space="preserve">Paul Kwengwere | pkwengwere@mitc.mw</w:t>
            </w:r>
          </w:p>
        </w:tc>
        <w:tc>
          <w:tcPr>
            <w:tcW w:w="2400" w:type="dxa"/>
          </w:tcPr>
          <w:p>
            <w:r>
              <w:t xml:space="preserve">Support the Malawi Government, through the Malawi Investment and Trade Center (MITC), to mobilize private financing for SDG-aligned projects and benefit from participation in a future SDG Investment Fair. Additionally, assist in the digitization of trade and investment programs, development of an SDG Investor Map, feasibility studies for bankable projects, and technical support for Special Economic Zones (SEZ) implementation and regulatory development.</w:t>
            </w:r>
          </w:p>
        </w:tc>
        <w:tc>
          <w:tcPr>
            <w:tcW w:w="2400" w:type="dxa"/>
          </w:tcPr>
          <w:p>
            <w:r>
              <w:t xml:space="preserve"/>
            </w:r>
          </w:p>
        </w:tc>
        <w:tc>
          <w:tcPr>
            <w:tcW w:w="2400" w:type="dxa"/>
          </w:tcPr>
          <w:p>
            <w:r>
              <w:t xml:space="preserve"/>
            </w:r>
          </w:p>
        </w:tc>
      </w:tr>
      <w:tr>
        <w:tc>
          <w:tcPr>
            <w:tcW w:w="2400" w:type="dxa"/>
          </w:tcPr>
          <w:p>
            <w:r>
              <w:t xml:space="preserve">4825</w:t>
            </w:r>
          </w:p>
        </w:tc>
        <w:tc>
          <w:tcPr>
            <w:tcW w:w="2400" w:type="dxa"/>
          </w:tcPr>
          <w:p>
            <w:r>
              <w:t xml:space="preserve">Request #4825 ? Supporting through hand holding and technical backstopping local government authorities including intermediary and emerging cities to prepare voluntary reviews and reports on SDGs; and Undertaking national mechanism to consolidate voluntary local reviews and reports on SDGs including creation and management of a national dashboard.</w:t>
            </w:r>
          </w:p>
        </w:tc>
        <w:tc>
          <w:tcPr>
            <w:tcW w:w="2400" w:type="dxa"/>
          </w:tcPr>
          <w:p>
            <w:r>
              <w:t xml:space="preserve">Completed</w:t>
            </w:r>
          </w:p>
        </w:tc>
        <w:tc>
          <w:tcPr>
            <w:tcW w:w="2400" w:type="dxa"/>
          </w:tcPr>
          <w:p>
            <w:r>
              <w:t xml:space="preserve">Division for Sustainable Development Goals</w:t>
            </w:r>
          </w:p>
        </w:tc>
        <w:tc>
          <w:tcPr>
            <w:tcW w:w="2400" w:type="dxa"/>
          </w:tcPr>
          <w:p>
            <w:r>
              <w:t xml:space="preserve">14 May 2023</w:t>
            </w:r>
          </w:p>
        </w:tc>
        <w:tc>
          <w:tcPr>
            <w:tcW w:w="2400" w:type="dxa"/>
          </w:tcPr>
          <w:p>
            <w:r>
              <w:t xml:space="preserve">01 Jan 2024</w:t>
            </w:r>
          </w:p>
        </w:tc>
        <w:tc>
          <w:tcPr>
            <w:tcW w:w="2400" w:type="dxa"/>
          </w:tcPr>
          <w:p>
            <w:r>
              <w:t xml:space="preserve">31 Dec 2024</w:t>
            </w:r>
          </w:p>
        </w:tc>
        <w:tc>
          <w:tcPr>
            <w:tcW w:w="2400" w:type="dxa"/>
          </w:tcPr>
          <w:p>
            <w:r>
              <w:t xml:space="preserve">Hadrod Zeru Mkandawire | malga@malgamw.org</w:t>
            </w:r>
          </w:p>
        </w:tc>
        <w:tc>
          <w:tcPr>
            <w:tcW w:w="2400" w:type="dxa"/>
          </w:tcPr>
          <w:p>
            <w:r>
              <w:t xml:space="preserve">Supporting through hand holding and technical backstopping local government authorities including intermediary and emerging cities to prepare voluntary reviews and reports on SDGs; and Undertaking national mechanism to consolidate voluntary local reviews and reports on SDGs including creation and management of a national dashboard.</w:t>
            </w:r>
          </w:p>
        </w:tc>
        <w:tc>
          <w:tcPr>
            <w:tcW w:w="2400" w:type="dxa"/>
          </w:tcPr>
          <w:p>
            <w:r>
              <w:t xml:space="preserve"/>
            </w:r>
          </w:p>
        </w:tc>
        <w:tc>
          <w:tcPr>
            <w:tcW w:w="2400" w:type="dxa"/>
          </w:tcPr>
          <w:p>
            <w:r>
              <w:t xml:space="preserve"/>
            </w:r>
          </w:p>
        </w:tc>
      </w:tr>
      <w:tr>
        <w:tc>
          <w:tcPr>
            <w:tcW w:w="2400" w:type="dxa"/>
          </w:tcPr>
          <w:p>
            <w:r>
              <w:t xml:space="preserve">4775</w:t>
            </w:r>
          </w:p>
        </w:tc>
        <w:tc>
          <w:tcPr>
            <w:tcW w:w="2400" w:type="dxa"/>
          </w:tcPr>
          <w:p>
            <w:r>
              <w:t xml:space="preserve">Request #4775 ? The Government has expressed the importance of building the capacity of its tax officials in tax treaties and other international taxation aspects related to BEPS. Within this context, the Government made a specific request to FSDO to provide technical assistance in the areas describe earlier (negotiation of tax treaties and international taxation issues in general). The Ministry expects to enhance the negotiation skills of the core government negotiating team and the International Taxation Section of the Ministry to enable them to effectively negotiate with other contracting states.</w:t>
            </w:r>
          </w:p>
        </w:tc>
        <w:tc>
          <w:tcPr>
            <w:tcW w:w="2400" w:type="dxa"/>
          </w:tcPr>
          <w:p>
            <w:r>
              <w:t xml:space="preserve">Ongoing</w:t>
            </w:r>
          </w:p>
        </w:tc>
        <w:tc>
          <w:tcPr>
            <w:tcW w:w="2400" w:type="dxa"/>
          </w:tcPr>
          <w:p>
            <w:r>
              <w:t xml:space="preserve">Financing for Sustainable Development Office</w:t>
            </w:r>
          </w:p>
        </w:tc>
        <w:tc>
          <w:tcPr>
            <w:tcW w:w="2400" w:type="dxa"/>
          </w:tcPr>
          <w:p>
            <w:r>
              <w:t xml:space="preserve">15 Aug 2023</w:t>
            </w:r>
          </w:p>
        </w:tc>
        <w:tc>
          <w:tcPr>
            <w:tcW w:w="2400" w:type="dxa"/>
          </w:tcPr>
          <w:p>
            <w:r>
              <w:t xml:space="preserve">01 Jan 2024</w:t>
            </w:r>
          </w:p>
        </w:tc>
        <w:tc>
          <w:tcPr>
            <w:tcW w:w="2400" w:type="dxa"/>
          </w:tcPr>
          <w:p>
            <w:r>
              <w:t xml:space="preserve">31 Dec 2027</w:t>
            </w:r>
          </w:p>
        </w:tc>
        <w:tc>
          <w:tcPr>
            <w:tcW w:w="2400" w:type="dxa"/>
          </w:tcPr>
          <w:p>
            <w:r>
              <w:t xml:space="preserve">Sosten Alfred Gwengwe, MP | wligomeka@gmail.com</w:t>
            </w:r>
          </w:p>
        </w:tc>
        <w:tc>
          <w:tcPr>
            <w:tcW w:w="2400" w:type="dxa"/>
          </w:tcPr>
          <w:p>
            <w:r>
              <w:t xml:space="preserve">The Government has expressed the importance of building the capacity of its tax officials in tax treaties and other international taxation aspects related to BEPS. Within this context, the Government made a specific request to FSDO to provide technical assistance in the areas describe earlier (negotiation of tax treaties and international taxation issues in general). The Ministry expects to enhance the negotiation skills of the core government negotiating team and the International Taxation Section of the Ministry to enable them to effectively negotiate with other contracting states.</w:t>
            </w:r>
          </w:p>
        </w:tc>
        <w:tc>
          <w:tcPr>
            <w:tcW w:w="2400" w:type="dxa"/>
          </w:tcPr>
          <w:p>
            <w:r>
              <w:t xml:space="preserve"/>
            </w:r>
          </w:p>
        </w:tc>
        <w:tc>
          <w:tcPr>
            <w:tcW w:w="2400" w:type="dxa"/>
          </w:tcPr>
          <w:p>
            <w:r>
              <w:t xml:space="preserve"/>
            </w:r>
          </w:p>
        </w:tc>
      </w:tr>
      <w:tr>
        <w:tc>
          <w:tcPr>
            <w:tcW w:w="2400" w:type="dxa"/>
          </w:tcPr>
          <w:p>
            <w:r>
              <w:t xml:space="preserve">4682</w:t>
            </w:r>
          </w:p>
        </w:tc>
        <w:tc>
          <w:tcPr>
            <w:tcW w:w="2400" w:type="dxa"/>
          </w:tcPr>
          <w:p>
            <w:r>
              <w:t xml:space="preserve">Request #4682 ? Strengthening support for capacity for evidence-based policy making: inclusive global crisis in fuel, food, and finance and strengthening capacity for evidence-based policy making: from inclusive data to inclusive policy for responding to global crises in fuel, food, and finance.</w:t>
            </w:r>
          </w:p>
        </w:tc>
        <w:tc>
          <w:tcPr>
            <w:tcW w:w="2400" w:type="dxa"/>
          </w:tcPr>
          <w:p>
            <w:r>
              <w:t xml:space="preserve">Ongoing</w:t>
            </w:r>
          </w:p>
        </w:tc>
        <w:tc>
          <w:tcPr>
            <w:tcW w:w="2400" w:type="dxa"/>
          </w:tcPr>
          <w:p>
            <w:r>
              <w:t xml:space="preserve">Economic Analysis and Policy Division</w:t>
            </w:r>
          </w:p>
        </w:tc>
        <w:tc>
          <w:tcPr>
            <w:tcW w:w="2400" w:type="dxa"/>
          </w:tcPr>
          <w:p>
            <w:r>
              <w:t xml:space="preserve">02 Jun 2023</w:t>
            </w:r>
          </w:p>
        </w:tc>
        <w:tc>
          <w:tcPr>
            <w:tcW w:w="2400" w:type="dxa"/>
          </w:tcPr>
          <w:p>
            <w:r>
              <w:t xml:space="preserve"/>
            </w:r>
          </w:p>
        </w:tc>
        <w:tc>
          <w:tcPr>
            <w:tcW w:w="2400" w:type="dxa"/>
          </w:tcPr>
          <w:p>
            <w:r>
              <w:t xml:space="preserve"/>
            </w:r>
          </w:p>
        </w:tc>
        <w:tc>
          <w:tcPr>
            <w:tcW w:w="2400" w:type="dxa"/>
          </w:tcPr>
          <w:p>
            <w:r>
              <w:t xml:space="preserve">MacDonald Mwale | finance@malawi.net</w:t>
            </w:r>
          </w:p>
        </w:tc>
        <w:tc>
          <w:tcPr>
            <w:tcW w:w="2400" w:type="dxa"/>
          </w:tcPr>
          <w:p>
            <w:r>
              <w:t xml:space="preserve">Strengthening support for capacity for evidence-based policy making: inclusive global crisis in fuel, food, and finance and strengthening capacity for evidence-based policy making: from inclusive data to inclusive policy for responding to global crises in fuel, food, and finance.</w:t>
            </w:r>
          </w:p>
        </w:tc>
        <w:tc>
          <w:tcPr>
            <w:tcW w:w="2400" w:type="dxa"/>
          </w:tcPr>
          <w:p>
            <w:r>
              <w:t xml:space="preserve"/>
            </w:r>
          </w:p>
        </w:tc>
        <w:tc>
          <w:tcPr>
            <w:tcW w:w="2400" w:type="dxa"/>
          </w:tcPr>
          <w:p>
            <w:r>
              <w:t xml:space="preserve"/>
            </w:r>
          </w:p>
        </w:tc>
      </w:tr>
      <w:tr>
        <w:tc>
          <w:tcPr>
            <w:tcW w:w="2400" w:type="dxa"/>
          </w:tcPr>
          <w:p>
            <w:r>
              <w:t xml:space="preserve">4731</w:t>
            </w:r>
          </w:p>
        </w:tc>
        <w:tc>
          <w:tcPr>
            <w:tcW w:w="2400" w:type="dxa"/>
          </w:tcPr>
          <w:p>
            <w:r>
              <w:t xml:space="preserve">Request #4731 ? 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Completed</w:t>
            </w:r>
          </w:p>
        </w:tc>
        <w:tc>
          <w:tcPr>
            <w:tcW w:w="2400" w:type="dxa"/>
          </w:tcPr>
          <w:p>
            <w:r>
              <w:t xml:space="preserve">Financing for Sustainable Development Office</w:t>
            </w:r>
          </w:p>
        </w:tc>
        <w:tc>
          <w:tcPr>
            <w:tcW w:w="2400" w:type="dxa"/>
          </w:tcPr>
          <w:p>
            <w:r>
              <w:t xml:space="preserve">31 Jan 2022</w:t>
            </w:r>
          </w:p>
        </w:tc>
        <w:tc>
          <w:tcPr>
            <w:tcW w:w="2400" w:type="dxa"/>
          </w:tcPr>
          <w:p>
            <w:r>
              <w:t xml:space="preserve">01 Jun 2022</w:t>
            </w:r>
          </w:p>
        </w:tc>
        <w:tc>
          <w:tcPr>
            <w:tcW w:w="2400" w:type="dxa"/>
          </w:tcPr>
          <w:p>
            <w:r>
              <w:t xml:space="preserve">12 Jan 2022</w:t>
            </w:r>
          </w:p>
        </w:tc>
        <w:tc>
          <w:tcPr>
            <w:tcW w:w="2400" w:type="dxa"/>
          </w:tcPr>
          <w:p>
            <w:r>
              <w:t xml:space="preserve">Daniel Platz | platz@un.org</w:t>
            </w:r>
          </w:p>
        </w:tc>
        <w:tc>
          <w:tcPr>
            <w:tcW w:w="2400" w:type="dxa"/>
          </w:tcPr>
          <w:p>
            <w:r>
              <w:t xml:space="preserve">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
            </w:r>
          </w:p>
        </w:tc>
        <w:tc>
          <w:tcPr>
            <w:tcW w:w="2400" w:type="dxa"/>
          </w:tcPr>
          <w:p>
            <w:r>
              <w:t xml:space="preserve">requests.xlsx record '4731': Dates End date 2022-01-12 is before start date 2022-06-01. / requests.xlsx record '4731': End date 2022-01-12 is before start date 2022-06-01.</w:t>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4234</w:t>
            </w:r>
          </w:p>
        </w:tc>
        <w:tc>
          <w:tcPr>
            <w:tcW w:w="2400" w:type="dxa"/>
          </w:tcPr>
          <w:p>
            <w:r>
              <w:t xml:space="preserve">Request #4234 ? 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Completed</w:t>
            </w:r>
          </w:p>
        </w:tc>
        <w:tc>
          <w:tcPr>
            <w:tcW w:w="2400" w:type="dxa"/>
          </w:tcPr>
          <w:p>
            <w:r>
              <w:t xml:space="preserve">Statistics Division</w:t>
            </w:r>
          </w:p>
        </w:tc>
        <w:tc>
          <w:tcPr>
            <w:tcW w:w="2400" w:type="dxa"/>
          </w:tcPr>
          <w:p>
            <w:r>
              <w:t xml:space="preserve">05 Jul 2022</w:t>
            </w:r>
          </w:p>
        </w:tc>
        <w:tc>
          <w:tcPr>
            <w:tcW w:w="2400" w:type="dxa"/>
          </w:tcPr>
          <w:p>
            <w:r>
              <w:t xml:space="preserve">08 Jan 2022</w:t>
            </w:r>
          </w:p>
        </w:tc>
        <w:tc>
          <w:tcPr>
            <w:tcW w:w="2400" w:type="dxa"/>
          </w:tcPr>
          <w:p>
            <w:r>
              <w:t xml:space="preserve">30 Dec 2022</w:t>
            </w:r>
          </w:p>
        </w:tc>
        <w:tc>
          <w:tcPr>
            <w:tcW w:w="2400" w:type="dxa"/>
          </w:tcPr>
          <w:p>
            <w:r>
              <w:t xml:space="preserve">UN Statistical Commission | vibeke.nielsen@un.org</w:t>
            </w:r>
          </w:p>
        </w:tc>
        <w:tc>
          <w:tcPr>
            <w:tcW w:w="2400" w:type="dxa"/>
          </w:tcPr>
          <w:p>
            <w:r>
              <w:t xml:space="preserve">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4097</w:t>
            </w:r>
          </w:p>
        </w:tc>
        <w:tc>
          <w:tcPr>
            <w:tcW w:w="2400" w:type="dxa"/>
          </w:tcPr>
          <w:p>
            <w:r>
              <w:t xml:space="preserve">Request #4097 ? 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Completed</w:t>
            </w:r>
          </w:p>
        </w:tc>
        <w:tc>
          <w:tcPr>
            <w:tcW w:w="2400" w:type="dxa"/>
          </w:tcPr>
          <w:p>
            <w:r>
              <w:t xml:space="preserve">Division for Public Institutions and Digital Government, Division for Sustainable Development Goals</w:t>
            </w:r>
          </w:p>
        </w:tc>
        <w:tc>
          <w:tcPr>
            <w:tcW w:w="2400" w:type="dxa"/>
          </w:tcPr>
          <w:p>
            <w:r>
              <w:t xml:space="preserve">15 Feb 2022</w:t>
            </w:r>
          </w:p>
        </w:tc>
        <w:tc>
          <w:tcPr>
            <w:tcW w:w="2400" w:type="dxa"/>
          </w:tcPr>
          <w:p>
            <w:r>
              <w:t xml:space="preserve">28 Mar 2022</w:t>
            </w:r>
          </w:p>
        </w:tc>
        <w:tc>
          <w:tcPr>
            <w:tcW w:w="2400" w:type="dxa"/>
          </w:tcPr>
          <w:p>
            <w:r>
              <w:t xml:space="preserve">29 Mar 2022</w:t>
            </w:r>
          </w:p>
        </w:tc>
        <w:tc>
          <w:tcPr>
            <w:tcW w:w="2400" w:type="dxa"/>
          </w:tcPr>
          <w:p>
            <w:r>
              <w:t xml:space="preserve">Eddy Maloka | eddy.maloka@aprm-au.org</w:t>
            </w:r>
          </w:p>
        </w:tc>
        <w:tc>
          <w:tcPr>
            <w:tcW w:w="2400" w:type="dxa"/>
          </w:tcPr>
          <w:p>
            <w:r>
              <w:t xml:space="preserve">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3841</w:t>
            </w:r>
          </w:p>
        </w:tc>
        <w:tc>
          <w:tcPr>
            <w:tcW w:w="2400" w:type="dxa"/>
          </w:tcPr>
          <w:p>
            <w:r>
              <w:t xml:space="preserve">Request #3841 ? The request is to conduct an assessment on the impact of COVID-19 on the sustainable management on forests in Africa.</w:t>
            </w:r>
          </w:p>
        </w:tc>
        <w:tc>
          <w:tcPr>
            <w:tcW w:w="2400" w:type="dxa"/>
          </w:tcPr>
          <w:p>
            <w:r>
              <w:t xml:space="preserve">Completed</w:t>
            </w:r>
          </w:p>
        </w:tc>
        <w:tc>
          <w:tcPr>
            <w:tcW w:w="2400" w:type="dxa"/>
          </w:tcPr>
          <w:p>
            <w:r>
              <w:t xml:space="preserve">United Nations Forum on Forest</w:t>
            </w:r>
          </w:p>
        </w:tc>
        <w:tc>
          <w:tcPr>
            <w:tcW w:w="2400" w:type="dxa"/>
          </w:tcPr>
          <w:p>
            <w:r>
              <w:t xml:space="preserve">25 Apr 2020</w:t>
            </w:r>
          </w:p>
        </w:tc>
        <w:tc>
          <w:tcPr>
            <w:tcW w:w="2400" w:type="dxa"/>
          </w:tcPr>
          <w:p>
            <w:r>
              <w:t xml:space="preserve">01 Jul 2020</w:t>
            </w:r>
          </w:p>
        </w:tc>
        <w:tc>
          <w:tcPr>
            <w:tcW w:w="2400" w:type="dxa"/>
          </w:tcPr>
          <w:p>
            <w:r>
              <w:t xml:space="preserve">31 Dec 2021</w:t>
            </w:r>
          </w:p>
        </w:tc>
        <w:tc>
          <w:tcPr>
            <w:tcW w:w="2400" w:type="dxa"/>
          </w:tcPr>
          <w:p>
            <w:r>
              <w:t xml:space="preserve">Almami Dampha | DamphaA@africa-union.org</w:t>
            </w:r>
          </w:p>
        </w:tc>
        <w:tc>
          <w:tcPr>
            <w:tcW w:w="2400" w:type="dxa"/>
          </w:tcPr>
          <w:p>
            <w:r>
              <w:t xml:space="preserve">The request is to conduct an assessment on the impact of COVID-19 on the sustainable management on forests in Africa.</w:t>
            </w:r>
          </w:p>
        </w:tc>
        <w:tc>
          <w:tcPr>
            <w:tcW w:w="2400" w:type="dxa"/>
          </w:tcPr>
          <w:p>
            <w:r>
              <w:t xml:space="preserve"/>
            </w:r>
          </w:p>
        </w:tc>
        <w:tc>
          <w:tcPr>
            <w:tcW w:w="2400" w:type="dxa"/>
          </w:tcPr>
          <w:p>
            <w:r>
              <w:t xml:space="preserve"/>
            </w:r>
          </w:p>
        </w:tc>
      </w:tr>
      <w:tr>
        <w:tc>
          <w:tcPr>
            <w:tcW w:w="2400" w:type="dxa"/>
          </w:tcPr>
          <w:p>
            <w:r>
              <w:t xml:space="preserve">3663</w:t>
            </w:r>
          </w:p>
        </w:tc>
        <w:tc>
          <w:tcPr>
            <w:tcW w:w="2400" w:type="dxa"/>
          </w:tcPr>
          <w:p>
            <w:r>
              <w:t xml:space="preserve">Request #3663 ? DPIDG/UNPOG was requested by the Government of Malawi to provide support in strengthening capacities for effective public governance to achieve  the SDGs and Agenda 2063 and to promote ethics in government. / The office of the ombudsman was given the responsibility by the office of the President and cabinet to champion the institutionalization of ethics and integrity in public service in line with the country's public sector reforms.  (sent through UNPOG)</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28 Mar 2021</w:t>
            </w:r>
          </w:p>
        </w:tc>
        <w:tc>
          <w:tcPr>
            <w:tcW w:w="2400" w:type="dxa"/>
          </w:tcPr>
          <w:p>
            <w:r>
              <w:t xml:space="preserve">02 Aug 2022</w:t>
            </w:r>
          </w:p>
        </w:tc>
        <w:tc>
          <w:tcPr>
            <w:tcW w:w="2400" w:type="dxa"/>
          </w:tcPr>
          <w:p>
            <w:r>
              <w:t xml:space="preserve">04 Aug 2022</w:t>
            </w:r>
          </w:p>
        </w:tc>
        <w:tc>
          <w:tcPr>
            <w:tcW w:w="2400" w:type="dxa"/>
          </w:tcPr>
          <w:p>
            <w:r>
              <w:t xml:space="preserve">Guy Kawanga | guykawanga@gmail.com</w:t>
            </w:r>
          </w:p>
        </w:tc>
        <w:tc>
          <w:tcPr>
            <w:tcW w:w="2400" w:type="dxa"/>
          </w:tcPr>
          <w:p>
            <w:r>
              <w:t xml:space="preserve">DPIDG/UNPOG was requested by the Government of Malawi to provide support in strengthening capacities for effective public governance to achieve  the SDGs and Agenda 2063 and to promote ethics in government. / The office of the ombudsman was given the responsibility by the office of the President and cabinet to champion the institutionalization of ethics and integrity in public service in line with the country's public sector reforms.  (sent through UNPOG)</w:t>
            </w:r>
          </w:p>
        </w:tc>
        <w:tc>
          <w:tcPr>
            <w:tcW w:w="2400" w:type="dxa"/>
          </w:tcPr>
          <w:p>
            <w:r>
              <w:t xml:space="preserve"/>
            </w:r>
          </w:p>
        </w:tc>
        <w:tc>
          <w:tcPr>
            <w:tcW w:w="2400" w:type="dxa"/>
          </w:tcPr>
          <w:p>
            <w:r>
              <w:t xml:space="preserve"/>
            </w:r>
          </w:p>
        </w:tc>
      </w:tr>
      <w:tr>
        <w:tc>
          <w:tcPr>
            <w:tcW w:w="2400" w:type="dxa"/>
          </w:tcPr>
          <w:p>
            <w:r>
              <w:t xml:space="preserve">2745</w:t>
            </w:r>
          </w:p>
        </w:tc>
        <w:tc>
          <w:tcPr>
            <w:tcW w:w="2400" w:type="dxa"/>
          </w:tcPr>
          <w:p>
            <w:r>
              <w:t xml:space="preserve">Request #2745 ? Capacity Building in the development of a national forest action plan and in designing a project proposal on sustainable forest managment</w:t>
            </w:r>
          </w:p>
        </w:tc>
        <w:tc>
          <w:tcPr>
            <w:tcW w:w="2400" w:type="dxa"/>
          </w:tcPr>
          <w:p>
            <w:r>
              <w:t xml:space="preserve">Completed</w:t>
            </w:r>
          </w:p>
        </w:tc>
        <w:tc>
          <w:tcPr>
            <w:tcW w:w="2400" w:type="dxa"/>
          </w:tcPr>
          <w:p>
            <w:r>
              <w:t xml:space="preserve">United Nations Forum on Forest</w:t>
            </w:r>
          </w:p>
        </w:tc>
        <w:tc>
          <w:tcPr>
            <w:tcW w:w="2400" w:type="dxa"/>
          </w:tcPr>
          <w:p>
            <w:r>
              <w:t xml:space="preserve">02 Mar 2018</w:t>
            </w:r>
          </w:p>
        </w:tc>
        <w:tc>
          <w:tcPr>
            <w:tcW w:w="2400" w:type="dxa"/>
          </w:tcPr>
          <w:p>
            <w:r>
              <w:t xml:space="preserve"/>
            </w:r>
          </w:p>
        </w:tc>
        <w:tc>
          <w:tcPr>
            <w:tcW w:w="2400" w:type="dxa"/>
          </w:tcPr>
          <w:p>
            <w:r>
              <w:t xml:space="preserve"/>
            </w:r>
          </w:p>
        </w:tc>
        <w:tc>
          <w:tcPr>
            <w:tcW w:w="2400" w:type="dxa"/>
          </w:tcPr>
          <w:p>
            <w:r>
              <w:t xml:space="preserve">Aggrey Charles Masi | pmasupayi@yahoo.co.uk</w:t>
            </w:r>
          </w:p>
        </w:tc>
        <w:tc>
          <w:tcPr>
            <w:tcW w:w="2400" w:type="dxa"/>
          </w:tcPr>
          <w:p>
            <w:r>
              <w:t xml:space="preserve">Capacity Building in the development of a national forest action plan and in designing a project proposal on sustainable forest managment</w:t>
            </w:r>
          </w:p>
        </w:tc>
        <w:tc>
          <w:tcPr>
            <w:tcW w:w="2400" w:type="dxa"/>
          </w:tcPr>
          <w:p>
            <w:r>
              <w:t xml:space="preserve"/>
            </w:r>
          </w:p>
        </w:tc>
        <w:tc>
          <w:tcPr>
            <w:tcW w:w="2400" w:type="dxa"/>
          </w:tcPr>
          <w:p>
            <w:r>
              <w:t xml:space="preserve"/>
            </w:r>
          </w:p>
        </w:tc>
      </w:tr>
      <w:tr>
        <w:tc>
          <w:tcPr>
            <w:tcW w:w="2400" w:type="dxa"/>
          </w:tcPr>
          <w:p>
            <w:r>
              <w:t xml:space="preserve">2729</w:t>
            </w:r>
          </w:p>
        </w:tc>
        <w:tc>
          <w:tcPr>
            <w:tcW w:w="2400" w:type="dxa"/>
          </w:tcPr>
          <w:p>
            <w:r>
              <w:t xml:space="preserve">Request #2729 ? Train staff at national statistics office in how to do population projections.</w:t>
            </w:r>
          </w:p>
        </w:tc>
        <w:tc>
          <w:tcPr>
            <w:tcW w:w="2400" w:type="dxa"/>
          </w:tcPr>
          <w:p>
            <w:r>
              <w:t xml:space="preserve">Completed</w:t>
            </w:r>
          </w:p>
        </w:tc>
        <w:tc>
          <w:tcPr>
            <w:tcW w:w="2400" w:type="dxa"/>
          </w:tcPr>
          <w:p>
            <w:r>
              <w:t xml:space="preserve">Population Division</w:t>
            </w:r>
          </w:p>
        </w:tc>
        <w:tc>
          <w:tcPr>
            <w:tcW w:w="2400" w:type="dxa"/>
          </w:tcPr>
          <w:p>
            <w:r>
              <w:t xml:space="preserve">17 Sept 2019</w:t>
            </w:r>
          </w:p>
        </w:tc>
        <w:tc>
          <w:tcPr>
            <w:tcW w:w="2400" w:type="dxa"/>
          </w:tcPr>
          <w:p>
            <w:r>
              <w:t xml:space="preserve"/>
            </w:r>
          </w:p>
        </w:tc>
        <w:tc>
          <w:tcPr>
            <w:tcW w:w="2400" w:type="dxa"/>
          </w:tcPr>
          <w:p>
            <w:r>
              <w:t xml:space="preserve"/>
            </w:r>
          </w:p>
        </w:tc>
        <w:tc>
          <w:tcPr>
            <w:tcW w:w="2400" w:type="dxa"/>
          </w:tcPr>
          <w:p>
            <w:r>
              <w:t xml:space="preserve">Mercy Kanyuka | commissioner@statistics.gov.mw</w:t>
            </w:r>
          </w:p>
        </w:tc>
        <w:tc>
          <w:tcPr>
            <w:tcW w:w="2400" w:type="dxa"/>
          </w:tcPr>
          <w:p>
            <w:r>
              <w:t xml:space="preserve">Train staff at national statistics office in how to do population projections.</w:t>
            </w:r>
          </w:p>
        </w:tc>
        <w:tc>
          <w:tcPr>
            <w:tcW w:w="2400" w:type="dxa"/>
          </w:tcPr>
          <w:p>
            <w:r>
              <w:t xml:space="preserve"/>
            </w:r>
          </w:p>
        </w:tc>
        <w:tc>
          <w:tcPr>
            <w:tcW w:w="2400" w:type="dxa"/>
          </w:tcPr>
          <w:p>
            <w:r>
              <w:t xml:space="preserve"/>
            </w:r>
          </w:p>
        </w:tc>
      </w:tr>
      <w:tr>
        <w:tc>
          <w:tcPr>
            <w:tcW w:w="2400" w:type="dxa"/>
          </w:tcPr>
          <w:p>
            <w:r>
              <w:t xml:space="preserve">2651</w:t>
            </w:r>
          </w:p>
        </w:tc>
        <w:tc>
          <w:tcPr>
            <w:tcW w:w="2400" w:type="dxa"/>
          </w:tcPr>
          <w:p>
            <w:r>
              <w:t xml:space="preserve">Request #2651 ? During UNOSDâ€™s 2017 Mayors Forum held in Vientiane, Lao PDR, Mayor of Lilongwe, Mr. Desmond W. Bikoko requested for the 2018 Mayors Forum to be held in Lilongwe, Malawi.</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01 Feb 2018</w:t>
            </w:r>
          </w:p>
        </w:tc>
        <w:tc>
          <w:tcPr>
            <w:tcW w:w="2400" w:type="dxa"/>
          </w:tcPr>
          <w:p>
            <w:r>
              <w:t xml:space="preserve">16 May 2018</w:t>
            </w:r>
          </w:p>
        </w:tc>
        <w:tc>
          <w:tcPr>
            <w:tcW w:w="2400" w:type="dxa"/>
          </w:tcPr>
          <w:p>
            <w:r>
              <w:t xml:space="preserve">18 May 2018</w:t>
            </w:r>
          </w:p>
        </w:tc>
        <w:tc>
          <w:tcPr>
            <w:tcW w:w="2400" w:type="dxa"/>
          </w:tcPr>
          <w:p>
            <w:r>
              <w:t xml:space="preserve">Desmond W. Bikoko | na@na</w:t>
            </w:r>
          </w:p>
        </w:tc>
        <w:tc>
          <w:tcPr>
            <w:tcW w:w="2400" w:type="dxa"/>
          </w:tcPr>
          <w:p>
            <w:r>
              <w:t xml:space="preserve">During UNOSDâ€™s 2017 Mayors Forum held in Vientiane, Lao PDR, Mayor of Lilongwe, Mr. Desmond W. Bikoko requested for the 2018 Mayors Forum to be held in Lilongwe, Malawi.</w:t>
            </w:r>
          </w:p>
        </w:tc>
        <w:tc>
          <w:tcPr>
            <w:tcW w:w="2400" w:type="dxa"/>
          </w:tcPr>
          <w:p>
            <w:r>
              <w:t xml:space="preserve"/>
            </w:r>
          </w:p>
        </w:tc>
        <w:tc>
          <w:tcPr>
            <w:tcW w:w="2400" w:type="dxa"/>
          </w:tcPr>
          <w:p>
            <w:r>
              <w:t xml:space="preserve"/>
            </w:r>
          </w:p>
        </w:tc>
      </w:tr>
      <w:tr>
        <w:tc>
          <w:tcPr>
            <w:tcW w:w="2400" w:type="dxa"/>
          </w:tcPr>
          <w:p>
            <w:r>
              <w:t xml:space="preserve">2649</w:t>
            </w:r>
          </w:p>
        </w:tc>
        <w:tc>
          <w:tcPr>
            <w:tcW w:w="2400" w:type="dxa"/>
          </w:tcPr>
          <w:p>
            <w:r>
              <w:t xml:space="preserve">Request #2649 ? DPIDG was requested to provide support in strengthening policy coherence and institutional coordination.</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01 Jan 2019</w:t>
            </w:r>
          </w:p>
        </w:tc>
        <w:tc>
          <w:tcPr>
            <w:tcW w:w="2400" w:type="dxa"/>
          </w:tcPr>
          <w:p>
            <w:r>
              <w:t xml:space="preserve"/>
            </w:r>
          </w:p>
        </w:tc>
        <w:tc>
          <w:tcPr>
            <w:tcW w:w="2400" w:type="dxa"/>
          </w:tcPr>
          <w:p>
            <w:r>
              <w:t xml:space="preserve"/>
            </w:r>
          </w:p>
        </w:tc>
        <w:tc>
          <w:tcPr>
            <w:tcW w:w="2400" w:type="dxa"/>
          </w:tcPr>
          <w:p>
            <w:r>
              <w:t xml:space="preserve">na | na@na</w:t>
            </w:r>
          </w:p>
        </w:tc>
        <w:tc>
          <w:tcPr>
            <w:tcW w:w="2400" w:type="dxa"/>
          </w:tcPr>
          <w:p>
            <w:r>
              <w:t xml:space="preserve">DPIDG was requested to provide support in strengthening policy coherence and institutional coordination.</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SB-001375.99.40</w:t>
            </w:r>
          </w:p>
        </w:tc>
        <w:tc>
          <w:tcPr>
            <w:tcW w:w="2400" w:type="dxa"/>
          </w:tcPr>
          <w:p>
            <w:r>
              <w:t xml:space="preserve">Capacity building workshop for developing countries presenting voluntary national reviews at the 2026 HLPF </w:t>
            </w:r>
          </w:p>
        </w:tc>
        <w:tc>
          <w:tcPr>
            <w:tcW w:w="2400" w:type="dxa"/>
          </w:tcPr>
          <w:p>
            <w:r>
              <w:t xml:space="preserve">OISC</w:t>
            </w:r>
          </w:p>
        </w:tc>
        <w:tc>
          <w:tcPr>
            <w:tcW w:w="2400" w:type="dxa"/>
          </w:tcPr>
          <w:p>
            <w:r>
              <w:t xml:space="preserve">30 Jun 2026</w:t>
            </w:r>
          </w:p>
        </w:tc>
        <w:tc>
          <w:tcPr>
            <w:tcW w:w="2400" w:type="dxa"/>
          </w:tcPr>
          <w:p>
            <w:r>
              <w:t xml:space="preserve">30 Jun 2026</w:t>
            </w:r>
          </w:p>
        </w:tc>
        <w:tc>
          <w:tcPr>
            <w:tcW w:w="2400" w:type="dxa"/>
          </w:tcPr>
          <w:p>
            <w:r>
              <w:t xml:space="preserve">$114,966</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SB-001376.99.99.14</w:t>
            </w:r>
          </w:p>
        </w:tc>
        <w:tc>
          <w:tcPr>
            <w:tcW w:w="2400" w:type="dxa"/>
          </w:tcPr>
          <w:p>
            <w:r>
              <w:t xml:space="preserve">Regional Workshop on International Statistical Classifications, Addis Ababa, Ethiopia, 5-7 May 2026.||Regional Workshop on International Statistical Classifications, Addis Ababa, Ethiopia, 5-7 May 2026.</w:t>
            </w:r>
          </w:p>
        </w:tc>
        <w:tc>
          <w:tcPr>
            <w:tcW w:w="2400" w:type="dxa"/>
          </w:tcPr>
          <w:p>
            <w:r>
              <w:t xml:space="preserve">SD</w:t>
            </w:r>
          </w:p>
        </w:tc>
        <w:tc>
          <w:tcPr>
            <w:tcW w:w="2400" w:type="dxa"/>
          </w:tcPr>
          <w:p>
            <w:r>
              <w:t xml:space="preserve">30 Jun 2026</w:t>
            </w:r>
          </w:p>
        </w:tc>
        <w:tc>
          <w:tcPr>
            <w:tcW w:w="2400" w:type="dxa"/>
          </w:tcPr>
          <w:p>
            <w:r>
              <w:t xml:space="preserve">31 Dec 2026</w:t>
            </w:r>
          </w:p>
        </w:tc>
        <w:tc>
          <w:tcPr>
            <w:tcW w:w="2400" w:type="dxa"/>
          </w:tcPr>
          <w:p>
            <w:r>
              <w:t xml:space="preserve">$67,832</w:t>
            </w:r>
          </w:p>
        </w:tc>
        <w:tc>
          <w:tcPr>
            <w:tcW w:w="2400" w:type="dxa"/>
          </w:tcPr>
          <w:p>
            <w:r>
              <w:t xml:space="preserve">Burkina Faso, Cameroon, Chad, Eritrea, Ghana, Liberia, Malawi, Mali, Mauritius, Niger, Sao Tome and Principe, Senegal</w:t>
            </w:r>
          </w:p>
        </w:tc>
        <w:tc>
          <w:tcPr>
            <w:tcW w:w="2400" w:type="dxa"/>
          </w:tcPr>
          <w:p>
            <w:r>
              <w:t xml:space="preserve"/>
            </w:r>
          </w:p>
        </w:tc>
        <w:tc>
          <w:tcPr>
            <w:tcW w:w="2400" w:type="dxa"/>
          </w:tcPr>
          <w:p>
            <w:r>
              <w:t xml:space="preserve"/>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c>
          <w:tcPr>
            <w:tcW w:w="2400" w:type="dxa"/>
          </w:tcPr>
          <w:p>
            <w:r>
              <w:t xml:space="preserve"/>
            </w:r>
          </w:p>
        </w:tc>
      </w:tr>
      <w:tr>
        <w:tc>
          <w:tcPr>
            <w:tcW w:w="2400" w:type="dxa"/>
          </w:tcPr>
          <w:p>
            <w:r>
              <w:t xml:space="preserve">SB-001376.99.99.33</w:t>
            </w:r>
          </w:p>
        </w:tc>
        <w:tc>
          <w:tcPr>
            <w:tcW w:w="2400" w:type="dxa"/>
          </w:tcPr>
          <w:p>
            <w:r>
              <w:t xml:space="preserve">World Data Forum and Side Event on Artificial Intelligence</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$98,403</w:t>
            </w:r>
          </w:p>
        </w:tc>
        <w:tc>
          <w:tcPr>
            <w:tcW w:w="2400" w:type="dxa"/>
          </w:tcPr>
          <w:p>
            <w:r>
              <w:t xml:space="preserve">Argentina, Burundi, Dominican Republic, Ecuador, Egypt, Estonia, Gambia, India, Indonesia, Kenya, Malawi, Mexico, Morocco, Namibia, Rwanda, South Africa</w:t>
            </w:r>
          </w:p>
        </w:tc>
        <w:tc>
          <w:tcPr>
            <w:tcW w:w="2400" w:type="dxa"/>
          </w:tcPr>
          <w:p>
            <w:r>
              <w:t xml:space="preserve">Region standardized: 'global' -&gt; 'Global'.</w:t>
            </w:r>
          </w:p>
        </w:tc>
        <w:tc>
          <w:tcPr>
            <w:tcW w:w="2400" w:type="dxa"/>
          </w:tcPr>
          <w:p>
            <w:r>
              <w:t xml:space="preserve"/>
            </w:r>
          </w:p>
        </w:tc>
      </w:tr>
      <w:tr>
        <w:tc>
          <w:tcPr>
            <w:tcW w:w="2400" w:type="dxa"/>
          </w:tcPr>
          <w:p>
            <w:r>
              <w:t xml:space="preserve">SB-001376.99.99.31</w:t>
            </w:r>
          </w:p>
        </w:tc>
        <w:tc>
          <w:tcPr>
            <w:tcW w:w="2400" w:type="dxa"/>
          </w:tcPr>
          <w:p>
            <w:r>
              <w:t xml:space="preserve">Securing the Future of Demographic and Health Data: Country Pathways and a Global Blueprint / </w:t>
            </w:r>
          </w:p>
        </w:tc>
        <w:tc>
          <w:tcPr>
            <w:tcW w:w="2400" w:type="dxa"/>
          </w:tcPr>
          <w:p>
            <w:r>
              <w:t xml:space="preserve">SD</w:t>
            </w:r>
          </w:p>
        </w:tc>
        <w:tc>
          <w:tcPr>
            <w:tcW w:w="2400" w:type="dxa"/>
          </w:tcPr>
          <w:p>
            <w:r>
              <w:t xml:space="preserve">30 Sept 2026</w:t>
            </w:r>
          </w:p>
        </w:tc>
        <w:tc>
          <w:tcPr>
            <w:tcW w:w="2400" w:type="dxa"/>
          </w:tcPr>
          <w:p>
            <w:r>
              <w:t xml:space="preserve">31 Dec 2026</w:t>
            </w:r>
          </w:p>
        </w:tc>
        <w:tc>
          <w:tcPr>
            <w:tcW w:w="2400" w:type="dxa"/>
          </w:tcPr>
          <w:p>
            <w:r>
              <w:t xml:space="preserve">$86,714</w:t>
            </w:r>
          </w:p>
        </w:tc>
        <w:tc>
          <w:tcPr>
            <w:tcW w:w="2400" w:type="dxa"/>
          </w:tcPr>
          <w:p>
            <w:r>
              <w:t xml:space="preserve">Bangladesh, Cambodia, Democratic Republic of the Congo, Ethiopia, Ghana, Jordan, Kenya, Malawi, Mozambique, Nepal, Nigeria, Pakistan, Papua New Guinea, Senegal, Tajikistan</w:t>
            </w:r>
          </w:p>
        </w:tc>
        <w:tc>
          <w:tcPr>
            <w:tcW w:w="2400" w:type="dxa"/>
          </w:tcPr>
          <w:p>
            <w:r>
              <w:t xml:space="preserve">Region standardized: 'global' -&gt; 'Global'.</w:t>
            </w:r>
          </w:p>
        </w:tc>
        <w:tc>
          <w:tcPr>
            <w:tcW w:w="2400" w:type="dxa"/>
          </w:tcPr>
          <w:p>
            <w:r>
              <w:t xml:space="preserve"/>
            </w:r>
          </w:p>
        </w:tc>
      </w:tr>
      <w:tr>
        <w:tc>
          <w:tcPr>
            <w:tcW w:w="2400" w:type="dxa"/>
          </w:tcPr>
          <w:p>
            <w:r>
              <w:t xml:space="preserve">SB-001376.99.99.16</w:t>
            </w:r>
          </w:p>
        </w:tc>
        <w:tc>
          <w:tcPr>
            <w:tcW w:w="2400" w:type="dxa"/>
          </w:tcPr>
          <w:p>
            <w:r>
              <w:t xml:space="preserve">Capacity building workshop for developing countries presenting voluntary national reviews at the 2026 HLPF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$6,578</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SB-001375.99.31</w:t>
            </w:r>
          </w:p>
        </w:tc>
        <w:tc>
          <w:tcPr>
            <w:tcW w:w="2400" w:type="dxa"/>
          </w:tcPr>
          <w:p>
            <w:r>
              <w:t xml:space="preserve">Capacity building workshop for developing countries presenting voluntary national reviews at the 2026 HLPF</w:t>
            </w:r>
          </w:p>
        </w:tc>
        <w:tc>
          <w:tcPr>
            <w:tcW w:w="2400" w:type="dxa"/>
          </w:tcPr>
          <w:p>
            <w:r>
              <w:t xml:space="preserve">Unspecified</w:t>
            </w:r>
          </w:p>
        </w:tc>
        <w:tc>
          <w:tcPr>
            <w:tcW w:w="2400" w:type="dxa"/>
          </w:tcPr>
          <w:p>
            <w:r>
              <w:t xml:space="preserve">08 Apr 2026</w:t>
            </w:r>
          </w:p>
        </w:tc>
        <w:tc>
          <w:tcPr>
            <w:tcW w:w="2400" w:type="dxa"/>
          </w:tcPr>
          <w:p>
            <w:r>
              <w:t xml:space="preserve">10 Apr 2026</w:t>
            </w:r>
          </w:p>
        </w:tc>
        <w:tc>
          <w:tcPr>
            <w:tcW w:w="2400" w:type="dxa"/>
          </w:tcPr>
          <w:p>
            <w:r>
              <w:t xml:space="preserve">$114,966</w:t>
            </w:r>
          </w:p>
        </w:tc>
        <w:tc>
          <w:tcPr>
            <w:tcW w:w="2400" w:type="dxa"/>
          </w:tcPr>
          <w:p>
            <w:r>
              <w:t xml:space="preserve">2,026</w:t>
            </w:r>
          </w:p>
        </w:tc>
        <w:tc>
          <w:tcPr>
            <w:tcW w:w="2400" w:type="dxa"/>
          </w:tcPr>
          <w:p>
            <w:r>
              <w:t xml:space="preserve">52</w:t>
            </w:r>
          </w:p>
        </w:tc>
        <w:tc>
          <w:tcPr>
            <w:tcW w:w="2400" w:type="dxa"/>
          </w:tcPr>
          <w:p>
            <w:r>
              <w:t xml:space="preserve">Country standardized: 'Saint Kitts and Nevis' -&gt; 'Federation of Saint Kitts and Nevis'. / Region standardized: 'global' -&gt; 'Global'.</w:t>
            </w:r>
          </w:p>
        </w:tc>
        <w:tc>
          <w:tcPr>
            <w:tcW w:w="2400" w:type="dxa"/>
          </w:tcPr>
          <w:p>
            <w:r>
              <w:t xml:space="preserve">activity.xlsx record 'SB-001375.99.31|row:4': '#Conventions' has non-numeric value 'no'. / activity.xlsx record 'SB-001375.99.31|row:4': '#Laws' has non-numeric value 'yes'. / activity.xlsx record 'SB-001375.99.31|row:4': '#National Plans' has non-numeric value 'yes'. / activity.xlsx record 'SB-001375.99.31|row:4': '#Policies' has non-numeric value 'yes'. / activity.xlsx record 'SB-001375.99.31|row:4': '#Reporting Obligations' has non-numeric value 'yes'. / activity.xlsx record 'SB-001375.99.31|row:4': '#Strategies' has non-numeric value 'yes'. / No matching proposal</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0002272581 - Malawi</w:t>
            </w:r>
          </w:p>
        </w:tc>
        <w:tc>
          <w:tcPr>
            <w:tcW w:w="2400" w:type="dxa"/>
          </w:tcPr>
          <w:p>
            <w:r>
              <w:t xml:space="preserve">0002272581</w:t>
            </w:r>
          </w:p>
        </w:tc>
        <w:tc>
          <w:tcPr>
            <w:tcW w:w="2400" w:type="dxa"/>
          </w:tcPr>
          <w:p>
            <w:r>
              <w:t xml:space="preserve">Past</w:t>
            </w:r>
          </w:p>
        </w:tc>
        <w:tc>
          <w:tcPr>
            <w:tcW w:w="2400" w:type="dxa"/>
          </w:tcPr>
          <w:p>
            <w:r>
              <w:t xml:space="preserve">Malawi</w:t>
            </w:r>
          </w:p>
        </w:tc>
        <w:tc>
          <w:tcPr>
            <w:tcW w:w="2400" w:type="dxa"/>
          </w:tcPr>
          <w:p>
            <w:r>
              <w:t xml:space="preserve"/>
            </w:r>
          </w:p>
        </w:tc>
        <w:tc>
          <w:tcPr>
            <w:tcW w:w="2400" w:type="dxa"/>
          </w:tcPr>
          <w:p>
            <w:r>
              <w:t xml:space="preserve">FINANCING FOR SUSTAINABLE DEVELOPMENT OFFICE</w:t>
            </w:r>
          </w:p>
        </w:tc>
        <w:tc>
          <w:tcPr>
            <w:tcW w:w="2400" w:type="dxa"/>
          </w:tcPr>
          <w:p>
            <w:r>
              <w:t xml:space="preserve">FACILITATE COUNTRY MISSIONS IN MALAWI AND ZAMBIA</w:t>
            </w:r>
          </w:p>
        </w:tc>
        <w:tc>
          <w:tcPr>
            <w:tcW w:w="2400" w:type="dxa"/>
          </w:tcPr>
          <w:p>
            <w:r>
              <w:t xml:space="preserve"/>
            </w:r>
          </w:p>
        </w:tc>
        <w:tc>
          <w:tcPr>
            <w:tcW w:w="2400" w:type="dxa"/>
          </w:tcPr>
          <w:p>
            <w:r>
              <w:t xml:space="preserve">08 Jun 2026</w:t>
            </w:r>
          </w:p>
        </w:tc>
        <w:tc>
          <w:tcPr>
            <w:tcW w:w="2400" w:type="dxa"/>
          </w:tcPr>
          <w:p>
            <w:r>
              <w:t xml:space="preserve">20 Jun 2026</w:t>
            </w:r>
          </w:p>
        </w:tc>
      </w:tr>
      <w:tr>
        <w:tc>
          <w:tcPr>
            <w:tcW w:w="2400" w:type="dxa"/>
          </w:tcPr>
          <w:p>
            <w:r>
              <w:t xml:space="preserve">0002285173 - Malawi</w:t>
            </w:r>
          </w:p>
        </w:tc>
        <w:tc>
          <w:tcPr>
            <w:tcW w:w="2400" w:type="dxa"/>
          </w:tcPr>
          <w:p>
            <w:r>
              <w:t xml:space="preserve">0002285173</w:t>
            </w:r>
          </w:p>
        </w:tc>
        <w:tc>
          <w:tcPr>
            <w:tcW w:w="2400" w:type="dxa"/>
          </w:tcPr>
          <w:p>
            <w:r>
              <w:t xml:space="preserve">Past</w:t>
            </w:r>
          </w:p>
        </w:tc>
        <w:tc>
          <w:tcPr>
            <w:tcW w:w="2400" w:type="dxa"/>
          </w:tcPr>
          <w:p>
            <w:r>
              <w:t xml:space="preserve">Malawi</w:t>
            </w:r>
          </w:p>
        </w:tc>
        <w:tc>
          <w:tcPr>
            <w:tcW w:w="2400" w:type="dxa"/>
          </w:tcPr>
          <w:p>
            <w:r>
              <w:t xml:space="preserve"/>
            </w:r>
          </w:p>
        </w:tc>
        <w:tc>
          <w:tcPr>
            <w:tcW w:w="2400" w:type="dxa"/>
          </w:tcPr>
          <w:p>
            <w:r>
              <w:t xml:space="preserve">FINANCING FOR SUSTAINABLE DEVELOPMENT OFFICE</w:t>
            </w:r>
          </w:p>
        </w:tc>
        <w:tc>
          <w:tcPr>
            <w:tcW w:w="2400" w:type="dxa"/>
          </w:tcPr>
          <w:p>
            <w:r>
              <w:t xml:space="preserve">DA 16TH PROJECT  INTERNATIONAL TAXATION</w:t>
            </w:r>
          </w:p>
        </w:tc>
        <w:tc>
          <w:tcPr>
            <w:tcW w:w="2400" w:type="dxa"/>
          </w:tcPr>
          <w:p>
            <w:r>
              <w:t xml:space="preserve"/>
            </w:r>
          </w:p>
        </w:tc>
        <w:tc>
          <w:tcPr>
            <w:tcW w:w="2400" w:type="dxa"/>
          </w:tcPr>
          <w:p>
            <w:r>
              <w:t xml:space="preserve">08 Jun 2026</w:t>
            </w:r>
          </w:p>
        </w:tc>
        <w:tc>
          <w:tcPr>
            <w:tcW w:w="2400" w:type="dxa"/>
          </w:tcPr>
          <w:p>
            <w:r>
              <w:t xml:space="preserve">19 Jun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r>
        <w:tc>
          <w:tcPr>
            <w:tcW w:w="2400" w:type="dxa"/>
          </w:tcPr>
          <w:p>
            <w:r>
              <w:t xml:space="preserve">Inclusive Development for Indigenous Peoples in Africa</w:t>
            </w:r>
          </w:p>
        </w:tc>
        <w:tc>
          <w:tcPr>
            <w:tcW w:w="2400" w:type="dxa"/>
          </w:tcPr>
          <w:p>
            <w:r>
              <w:t xml:space="preserve">2024</w:t>
            </w:r>
          </w:p>
        </w:tc>
        <w:tc>
          <w:tcPr>
            <w:tcW w:w="2400" w:type="dxa"/>
          </w:tcPr>
          <w:p>
            <w:r>
              <w:t xml:space="preserve">DISD; CDPMO</w:t>
            </w:r>
          </w:p>
        </w:tc>
        <w:tc>
          <w:tcPr>
            <w:tcW w:w="2400" w:type="dxa"/>
          </w:tcPr>
          <w:p>
            <w:r>
              <w:t xml:space="preserve">Angola, Botswana, Burundi, Kenya, Malawi, Mozambique, Namibia, South Africa, Uganda, United Republic of Tanzania, Zambia, Zimbabwe</w:t>
            </w:r>
          </w:p>
        </w:tc>
        <w:tc>
          <w:tcPr>
            <w:tcW w:w="2400" w:type="dxa"/>
          </w:tcPr>
          <w:p>
            <w:r>
              <w:t xml:space="preserve">- Design and implement, with the participation of target governments and Indigenous Peoples, a second phase of the project to continue processes initiated in target countries, including developing Free, Prior and Informed Consent (FPIC) mechanisms, Indigenous Peoples' Analysis (IPA) per country/region, and supporting institutional capacity. / - Engage other bilateral and multilateral donors such as USAID, European Union, World Bank, and African Development Bank to mobilize technical and financial support, ensuring meaningful participation of Indigenous Peoples. / - Increase engagement with Indigenous Peoples in target countries by setting mechanisms to increase diversity and reach Indigenous Peoples in remote areas, supporting their participation in project activities and political processes. / - Increase the incorporation of United Nations Resident Coordinators and Country Teams into the project to enable conversations and support Indigenous Peoples' rights, engaging them in the development of Development Assistance Frameworks and country program action plans. / - Expand dialogue and training on Indigenous women, youth, and other groups in society that remain invisible, implementing the project through intersectional lenses and ensuring sufficient financial and technical capacity. / - Improve data collection, monitoring and evaluation, and database management, developing indicators in cooperation with Indigenous Peoples and target governments, and ensuring relevant qualitative indicators are set from the beginning of the project.</w:t>
            </w:r>
          </w:p>
        </w:tc>
        <w:tc>
          <w:tcPr>
            <w:tcW w:w="2400" w:type="dxa"/>
          </w:tcPr>
          <w:p>
            <w:r>
              <w:t xml:space="preserve">- Development approaches that respect Indigenous Peoples’ rights and engage them as partners in design, implementation, management, administration, monitoring, and evaluation are vital to achieving the 2030 Sustainable Development Goals. / - Flexibility and adaptability are essential in project implementation to respond to emerging needs and local contexts, as demonstrated by the development of a conservation toolkit and COVID-19 materials. / - Ownership of the process by Indigenous Peoples and stakeholders at different levels is key to sustainability and success. / - Capacity development and participatory approaches are effective in strengthening national capacities and advancing policy drafts, but institutionalization and political support are necessary for long-term impact. / - Ensuring diversity and inclusion, particularly of Indigenous women and youth, requires targeted activities and proactive engagement strategies. / - Improved monitoring mechanisms, data collection, and systematic evaluation are needed to better assess project outcomes and inform future efforts.</w:t>
            </w:r>
          </w:p>
        </w:tc>
        <w:tc>
          <w:tcPr>
            <w:tcW w:w="2400" w:type="dxa"/>
          </w:tcPr>
          <w:p>
            <w:r>
              <w:t xml:space="preserve">https://unitednations.sharepoint.com/sites/DESA-CDPMO/Shared Documents/General/3. Finance Management/5 - DEVELOPMENT ACCOUNT/DA - DESA/03 PROJECTS - CLOSED/DISD/2023C SB-014517 Indigenous in Africa/Evaluation/DESA_2023C_Evaluation report_Mngt response.pdf</w:t>
            </w:r>
          </w:p>
        </w:tc>
        <w:tc>
          <w:tcPr>
            <w:tcW w:w="2400" w:type="dxa"/>
          </w:tcPr>
          <w:p>
            <w:r>
              <w:t xml:space="preserve">Country standardized: 'Tanzania' -&gt; 'United Republic of Tanzania'.</w:t>
            </w:r>
          </w:p>
        </w:tc>
        <w:tc>
          <w:tcPr>
            <w:tcW w:w="2400" w:type="dxa"/>
          </w:tcPr>
          <w:p>
            <w:r>
              <w:t xml:space="preserve"/>
            </w:r>
          </w:p>
        </w:tc>
      </w:tr>
      <w:tr>
        <w:tc>
          <w:tcPr>
            <w:tcW w:w="2400" w:type="dxa"/>
          </w:tcPr>
          <w:p>
            <w:r>
              <w:t xml:space="preserve">Data collection methodology and tools for supporting the formulation of evidence-based policies in response to the challenge of population ageing in sub-Saharan Africa</w:t>
            </w:r>
          </w:p>
        </w:tc>
        <w:tc>
          <w:tcPr>
            <w:tcW w:w="2400" w:type="dxa"/>
          </w:tcPr>
          <w:p>
            <w:r>
              <w:t xml:space="preserve">2018</w:t>
            </w:r>
          </w:p>
        </w:tc>
        <w:tc>
          <w:tcPr>
            <w:tcW w:w="2400" w:type="dxa"/>
          </w:tcPr>
          <w:p>
            <w:r>
              <w:t xml:space="preserve">DISD; PD; UNSD</w:t>
            </w:r>
          </w:p>
        </w:tc>
        <w:tc>
          <w:tcPr>
            <w:tcW w:w="2400" w:type="dxa"/>
          </w:tcPr>
          <w:p>
            <w:r>
              <w:t xml:space="preserve">Kenya, Malawi, Uganda</w:t>
            </w:r>
          </w:p>
        </w:tc>
        <w:tc>
          <w:tcPr>
            <w:tcW w:w="2400" w:type="dxa"/>
          </w:tcPr>
          <w:p>
            <w:r>
              <w:t xml:space="preserve">- Publicity about and promotion of the survey tool, both as a standalone instrument and one to be used in conjunction with other regular surveys, is needed throughout the UN system and with governments and civil society. / - Advocacy and awareness raising is needed by all stakeholders to promote concerns regarding ageing and older persons so that they become a priority and are not left behind. / - Human and financial resources will need to be mobilised to support Malawi in the first instance to act on its stated good intentions to collect data on ageing through regular surveys. / - The survey tool, and the findings of the pilot, will need to be systematically shared and promoted. / - UNDESA can encourage sharing and promotion through its Capacity Development and Partnership Coordination Section, the UN Programme Unit on Ageing and ongoing work on ageing with governments, UN Agencies, and civil society. / - Further discussions should be held with UNECA and the Africa Statistical Commission regarding the use of the survey instrument. / - UNDESA and other participants need energetically to promote the MISA experience in other countries and work with the Titchfield group on statistics on ageing. / - UNDESA, international partners, and civil society organisations need to do more to promote concerns regarding ageing and older persons so that they become a priority for governments. / - UNDESA together with donors need to provide the resources to enable the Malawi government to act on its stated good intentions regarding ageing and systematically collecting data on ageing.</w:t>
            </w:r>
          </w:p>
        </w:tc>
        <w:tc>
          <w:tcPr>
            <w:tcW w:w="2400" w:type="dxa"/>
          </w:tcPr>
          <w:p>
            <w:r>
              <w:t xml:space="preserve">- General opinion among people interviewed by evaluators was that MISA was 'pretty good'; a 97% response rate was excellent. / - Other countries wanting to use the survey instrument would have to adapt it to take local circumstances into account, such as questions about education, social protection, retirement, and occupation. / - Questions about cognitive health are a challenge. / - MISA was conducted with the minimum resources necessary; more substantial obstacles could have led to less positive outcomes. / - The use of CAPI was positive but it is essential that a CAPI expert be available for the entire life of the project, from the design stage to end of the field work. / - Thorough training in the use of CAPI is essential. / - It is important to test the programmes thoroughly in advance. / - Since internet connectivity may be a problem, back-up including having pen and paper questionnaires available should also be considered.</w:t>
            </w:r>
          </w:p>
        </w:tc>
        <w:tc>
          <w:tcPr>
            <w:tcW w:w="2400" w:type="dxa"/>
          </w:tcPr>
          <w:p>
            <w:r>
              <w:t xml:space="preserve">https://unitednations.sharepoint.com/sites/DESA-CDPMO/Shared Documents/General/3. Finance Management/5 - DEVELOPMENT ACCOUNT/DA - DESA/03 PROJECTS - CLOSED/DISD/ROA 263 SB-004363 Population Ageing/8. Evaluation/Final report/EVALUATION REPORT FINAL SF CLEAN.docx</w:t>
            </w:r>
          </w:p>
        </w:tc>
        <w:tc>
          <w:tcPr>
            <w:tcW w:w="2400" w:type="dxa"/>
          </w:tcPr>
          <w:p>
            <w:r>
              <w:t xml:space="preserve"/>
            </w:r>
          </w:p>
        </w:tc>
        <w:tc>
          <w:tcPr>
            <w:tcW w:w="2400" w:type="dxa"/>
          </w:tcPr>
          <w:p>
            <w:r>
              <w:t xml:space="preserve"/>
            </w:r>
          </w:p>
        </w:tc>
      </w:tr>
      <w:tr>
        <w:tc>
          <w:tcPr>
            <w:tcW w:w="2400" w:type="dxa"/>
          </w:tcPr>
          <w:p>
            <w:r>
              <w:t xml:space="preserve">Accelerating the achievement of SDG7: Enhancing capacities and South-South cooperation in support of SDG7 review, follow up and implementation</w:t>
            </w:r>
          </w:p>
        </w:tc>
        <w:tc>
          <w:tcPr>
            <w:tcW w:w="2400" w:type="dxa"/>
          </w:tcPr>
          <w:p>
            <w:r>
              <w:t xml:space="preserve">2021</w:t>
            </w:r>
          </w:p>
        </w:tc>
        <w:tc>
          <w:tcPr>
            <w:tcW w:w="2400" w:type="dxa"/>
          </w:tcPr>
          <w:p>
            <w:r>
              <w:t xml:space="preserve">DSDG</w:t>
            </w:r>
          </w:p>
        </w:tc>
        <w:tc>
          <w:tcPr>
            <w:tcW w:w="2400" w:type="dxa"/>
          </w:tcPr>
          <w:p>
            <w:r>
              <w:t xml:space="preserve">Algeria, Argentina, Austria, Bolivia (Plurinational State of), Bosnia and Herzegovina, Bulgaria, Colombia, Ecuador, Ethiopia, Georgia, Ghana, Guyana, Honduras, India, Italy, Kenya, Lebanon, Malawi, Morocco, Nauru, Niger, North Macedonia, Pakistan, Papua New Guinea, Poland, Portugal, Samoa, Seychelles, United Arab Emirates, United Kingdom of Great Britain and Northern Ireland, Zambia</w:t>
            </w:r>
          </w:p>
        </w:tc>
        <w:tc>
          <w:tcPr>
            <w:tcW w:w="2400" w:type="dxa"/>
          </w:tcPr>
          <w:p>
            <w:r>
              <w:t xml:space="preserve">- Future similar projects should apply a Results-Based Management approach, developing an M&amp;E framework, plan, and data collection tools that articulate instrumental and transformational changes rather than processes. / - Additional resources should be mobilized to ensure follow-up and implementation of the commitments secured in the global roadmap and in the Energy Compacts, starting with pilot projects to determine their viability and scalability. / - Future similar projects should include studies on Cost-Benefit Analysis to determine the viability and scalability of policy changes, ranking options in the Energy Compacts according to their costs and benefits to society. / - More staff wholly dedicated to the project should be planned for at the conceptualization stage, including roles for communications and project management assistance, and a project steering committee to ensure recommendations for course corrections are followed. / - Future projects should develop a clear partnership strategy to guide implementers on where to invest in collaboration for the greatest value to the organization. / - The composition of the global Technical Advisory Group (TAG) should be replicated and cascaded to regional and national levels to ensure continuity and nuanced specificities beyond the project’s shelf life. / - Future projects should leverage United Nations Information Centers (UNICs) to develop and implement coordinated communications strategies for Member States, amplifying project achievements at the local level.</w:t>
            </w:r>
          </w:p>
        </w:tc>
        <w:tc>
          <w:tcPr>
            <w:tcW w:w="2400" w:type="dxa"/>
          </w:tcPr>
          <w:p>
            <w:r>
              <w:t xml:space="preserve">- The joint production and dissemination of knowledge products laid a strong foundation for sustainability, scaling up, replication, and future programming, increasing knowledge and capacities for accountability. / - Synergistic partnerships and multi-stakeholder participation facilitated ownership, sustainability, and coherence between national planning processes, enhancing coordination among line ministries for timely VNR production. / - Upstream activities allowed the project to adapt to challenges such as Covid-19, and partnering with the public sector leveraged government influence for mainstreaming SDG7 implementation. / - Engagement with the private sector was strategic, as private sector input and financial commitments in the Energy Compacts are essential for accelerating SDG7 implementation. / - The project was initially thinly staffed, but hiring a dedicated Project Officer after commencement improved implementation; future projects should plan for adequate dedicated staffing from the outset.</w:t>
            </w:r>
          </w:p>
        </w:tc>
        <w:tc>
          <w:tcPr>
            <w:tcW w:w="2400" w:type="dxa"/>
          </w:tcPr>
          <w:p>
            <w:r>
              <w:t xml:space="preserve">https://unitednations.sharepoint.com/sites/DESA-CDPMO/Shared Documents/General/6. Peace and Development TF/8. Funded projects/2017/2017-02 DSD SDG7/Reports/Evaluation/Final_Dec 18th_UNDESA_Final Evaluation Report.pdf</w:t>
            </w:r>
          </w:p>
        </w:tc>
        <w:tc>
          <w:tcPr>
            <w:tcW w:w="2400" w:type="dxa"/>
          </w:tcPr>
          <w:p>
            <w:r>
              <w:t xml:space="preserve">Country standardized: 'Bolivia' -&gt; 'Bolivia (Plurinational State of)'. / Country standardized: 'United Kingdom' -&gt; 'United Kingdom of Great Britain and Northern Ireland'.</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Strengthening statistical capacity-building in support of progress towards the Internationally Agreed Development Goals in the Southern African Development Community (SADC) region</w:t>
            </w:r>
          </w:p>
        </w:tc>
        <w:tc>
          <w:tcPr>
            <w:tcW w:w="2400" w:type="dxa"/>
          </w:tcPr>
          <w:p>
            <w:r>
              <w:t xml:space="preserve">2011</w:t>
            </w:r>
          </w:p>
        </w:tc>
        <w:tc>
          <w:tcPr>
            <w:tcW w:w="2400" w:type="dxa"/>
          </w:tcPr>
          <w:p>
            <w:r>
              <w:t xml:space="preserve">UNSD</w:t>
            </w:r>
          </w:p>
        </w:tc>
        <w:tc>
          <w:tcPr>
            <w:tcW w:w="2400" w:type="dxa"/>
          </w:tcPr>
          <w:p>
            <w:r>
              <w:t xml:space="preserve">Angola, Botswana, Democratic Republic of the Congo, Eswatini, Lesotho, Madagascar, Malawi, Mauritius, Mozambique, Namibia, Seychelles, South Africa, United Republic of Tanzania, Zambia, Zimbabwe</w:t>
            </w:r>
          </w:p>
        </w:tc>
        <w:tc>
          <w:tcPr>
            <w:tcW w:w="2400" w:type="dxa"/>
          </w:tcPr>
          <w:p>
            <w:r>
              <w:t xml:space="preserve"/>
            </w:r>
          </w:p>
        </w:tc>
        <w:tc>
          <w:tcPr>
            <w:tcW w:w="2400" w:type="dxa"/>
          </w:tcPr>
          <w:p>
            <w:r>
              <w:t xml:space="preserve">- Focus on a single objective to make project planning and evaluation more manageable and effective. / - Put more effort into developing indicators that encompass quantity, quality, and time, and that can be reliably calculated with minimal resources. / - Build production of monitoring and evaluation indicators into the project by providing appropriate budget, staffing, data sources, and procedures in project planning.</w:t>
            </w:r>
          </w:p>
        </w:tc>
        <w:tc>
          <w:tcPr>
            <w:tcW w:w="2400" w:type="dxa"/>
          </w:tcPr>
          <w:p>
            <w:r>
              <w:t xml:space="preserve">https://unitednations.sharepoint.com/sites/DESA-CDPMO/Shared Documents/General/3. Finance Management/5 - DEVELOPMENT ACCOUNT/DA - DESA/03 PROJECTS - CLOSED/SD/ROA 86 - Support to MDGs in SADC/Eval Report Feeney/UNSD-SADC Final Evaluation Report.pdf</w:t>
            </w:r>
          </w:p>
        </w:tc>
        <w:tc>
          <w:tcPr>
            <w:tcW w:w="2400" w:type="dxa"/>
          </w:tcPr>
          <w:p>
            <w:r>
              <w:t xml:space="preserve">Country standardized: 'DR Congo' -&gt; 'Democratic Republic of the Congo'. / Country standardized: 'Swaziland' -&gt; 'Eswatini'. / Country standardized: 'Tanzania' -&gt; 'United Republic of Tanzania'.</w:t>
            </w:r>
          </w:p>
        </w:tc>
        <w:tc>
          <w:tcPr>
            <w:tcW w:w="2400" w:type="dxa"/>
          </w:tcPr>
          <w:p>
            <w:r>
              <w:t xml:space="preserve"/>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Post-Facto Evaluation of Completed Projects under the 2030 Agenda for Sustainable Development Sub-Fund of the UN Peace and Development Fund (UNPDF)</w:t>
            </w:r>
          </w:p>
        </w:tc>
        <w:tc>
          <w:tcPr>
            <w:tcW w:w="2400" w:type="dxa"/>
          </w:tcPr>
          <w:p>
            <w:r>
              <w:t xml:space="preserve">2021</w:t>
            </w:r>
          </w:p>
        </w:tc>
        <w:tc>
          <w:tcPr>
            <w:tcW w:w="2400" w:type="dxa"/>
          </w:tcPr>
          <w:p>
            <w:r>
              <w:t xml:space="preserve">CDPMO; UNSD</w:t>
            </w:r>
          </w:p>
        </w:tc>
        <w:tc>
          <w:tcPr>
            <w:tcW w:w="2400" w:type="dxa"/>
          </w:tcPr>
          <w:p>
            <w:r>
              <w:t xml:space="preserve">Botswana, Ethiopia, Fiji, Ghana, Iran (Islamic Republic of), Kenya, Lao People's Democratic Republic, Lesotho, Malawi, Namibia, Pakistan, Samoa, Uganda, Vanuatu, Viet Nam, Zambia, Zimbabwe</w:t>
            </w:r>
          </w:p>
        </w:tc>
        <w:tc>
          <w:tcPr>
            <w:tcW w:w="2400" w:type="dxa"/>
          </w:tcPr>
          <w:p>
            <w:r>
              <w:t xml:space="preserve">- Continue ensuring that project proposals clearly state the suggested project management arrangements with clearly defined roles and responsibilities. / - For the assessment of new project proposals, include a new criterion titled 'virtual meetings' as an efficiency measure to enhance projects’ cost efficiency and reduce the environmental footprint of the projects with significant components concerning meetings and workshops. / - For the approval of final reports, contact lists of beneficiaries should be mandatory as attachments to the final reports for accountability purposes. This requirement should be clearly communicated in the funding guidelines. / - Use the factors identified for effective project performance, i.e. gender and equity and capacity building, when assessing the quality of new project proposals. For projects with a significant knowledge management or capacity building component it is recommended to demand from grantees the design and use of event and training feedback mechanisms to monitor project results. For projects with a focus on the community level, grantees should specify how to reach women, girls, and youth in general. The latter seems particularly relevant in the migration context, as well as access to education and health services.</w:t>
            </w:r>
          </w:p>
        </w:tc>
        <w:tc>
          <w:tcPr>
            <w:tcW w:w="2400" w:type="dxa"/>
          </w:tcPr>
          <w:p>
            <w:r>
              <w:t xml:space="preserve">- Bringing the SDGs to sub-national level is important, including preparing integrated financing frameworks, strengthening evaluative capacities, and accelerating progress at the sub-national level. Stakeholder engagement should be further strengthened in all steps of the implementation of 2030 Agenda at the sub-national level. / - Regular fortnightly field monitoring visits to all training institutes proved useful for checking teaching ability, availability of training aids, and ensuring attendance of trainees and teaching staff. / - Providing a nominal monthly allowance to trainees helped prevent dropout and non-attendance by addressing needs such as refreshments and transportation, without creating dependency. / - Training Afghan and Pakistani females in and near their refugee villages allowed the most vulnerable females, even in very conservative communities, to participate in vocational training. / - School club activities are essential for the quality of education, strengthening the relationship between teachers and students and providing thematic activities such as on the environment, HIV, or gender-based violence. / - Intensive consultation and capacity-building activities with government counterparts at the beginning of the project are important to ensure buy-in and ownership, increasing the likelihood of sustainability. / - Capacity building and sensitization interventions and the institutionalization of training are most effective when top managers or participants are involved, enabling swift decision-making and progress. / - Capacity building interventions are most effective when needs-based and contextualized.</w:t>
            </w:r>
          </w:p>
        </w:tc>
        <w:tc>
          <w:tcPr>
            <w:tcW w:w="2400" w:type="dxa"/>
          </w:tcPr>
          <w:p>
            <w:r>
              <w:t xml:space="preserve">https://unitednations.sharepoint.com/sites/DESA-CDPMO/Shared Documents/General/6. Peace and Development TF/8. Funded projects/Evaluations_Fin. Rep/2021_Post-Facto 8 Completed Projects_Eval.pdf</w:t>
            </w:r>
          </w:p>
        </w:tc>
        <w:tc>
          <w:tcPr>
            <w:tcW w:w="2400" w:type="dxa"/>
          </w:tcPr>
          <w:p>
            <w:r>
              <w:t xml:space="preserve">Country standardized: 'Iran' -&gt; 'Iran (Islamic Republic of)'. / Country standardized: 'Vietnam' -&gt; 'Viet Nam'.</w:t>
            </w:r>
          </w:p>
        </w:tc>
        <w:tc>
          <w:tcPr>
            <w:tcW w:w="2400" w:type="dxa"/>
          </w:tcPr>
          <w:p>
            <w:r>
              <w:t xml:space="preserve"/>
            </w:r>
          </w:p>
        </w:tc>
      </w:tr>
      <w:tr>
        <w:tc>
          <w:tcPr>
            <w:tcW w:w="2400" w:type="dxa"/>
          </w:tcPr>
          <w:p>
            <w:r>
              <w:t xml:space="preserve">Strengthening national capacity for the implementation of the Global HIV Prevention Coalition Roadmap</w:t>
            </w:r>
          </w:p>
        </w:tc>
        <w:tc>
          <w:tcPr>
            <w:tcW w:w="2400" w:type="dxa"/>
          </w:tcPr>
          <w:p>
            <w:r>
              <w:t xml:space="preserve">2020</w:t>
            </w:r>
          </w:p>
        </w:tc>
        <w:tc>
          <w:tcPr>
            <w:tcW w:w="2400" w:type="dxa"/>
          </w:tcPr>
          <w:p>
            <w:r>
              <w:t xml:space="preserve"/>
            </w:r>
          </w:p>
        </w:tc>
        <w:tc>
          <w:tcPr>
            <w:tcW w:w="2400" w:type="dxa"/>
          </w:tcPr>
          <w:p>
            <w:r>
              <w:t xml:space="preserve">Botswana, Kenya, Lesotho, Malawi, Namibia, Uganda, Zambia, Zimbabwe</w:t>
            </w:r>
          </w:p>
        </w:tc>
        <w:tc>
          <w:tcPr>
            <w:tcW w:w="2400" w:type="dxa"/>
          </w:tcPr>
          <w:p>
            <w:r>
              <w:t xml:space="preserve">- Consider a no-cost extension to enable utilisation of the unexpended funds to contribute to the impact and sustainability of results and, as part of this, consider funding a coordination post within country prevention coalitions. / - Reduce the reporting burden required for accountability of budget expenditures in order to reduce the level of effort required for compliance. / - Increase justified flexibility between budget lines to ensure optimal impact of expenditures according to emerging needs. / - Ensure effective project oversight and management with contingency planning and consolidated hand-over when staff change. / - Once the above is in place, and with redesigned costed work plans, apply for a no-cost extension to the end of 2021, based on specific priorities in the project countries. / - If feasible, consider contributing project funding for a full-time staff coordination post for prevention within country coalitions, either within the NAC or UNAIDS country office (this also aligns with a recommendation from the GPC review), e.g. UNV, and/or long-term consultancy positions; and seek to mobilise additional funding from other sources for dedicated prevention staff. / - Consider again sub-contracting/engaging ATHENA Initiative to augment further the capacity development among young women leaders in the focal countries to consolidate their impact. / - Consider whether to widen the focus to additional countries should any remain significantly behind regarding building leadership capacity among adolescent girls and young women. Weigh this against the benefit of consolidating gains in the existing countries and providing robust lessons for south to south learning to feed into existing GPC initiatives (such as the NAC community of practice and the South to South Learning Network). / - To improve efficiencies, should there be a no-cost extension, designate a staff member to oversee project implementation and put in place a robust hand-over mechanism in the event of staff changes. / - Identify funding needs to address gaps in capacity development, particularly among adolescent girls and young women, and develop a related capacity development and technical assistance plan. / - Continue to engage capacitated networks of adolescent and young women and implement mechanisms to provide them with small grants for specific events and activities.</w:t>
            </w:r>
          </w:p>
        </w:tc>
        <w:tc>
          <w:tcPr>
            <w:tcW w:w="2400" w:type="dxa"/>
          </w:tcPr>
          <w:p>
            <w:r>
              <w:t xml:space="preserve">- Even relatively small, short-term grants can be catalytic in impact and sustainability of results if timely, strategic and appropriately focused. / - Networks can be greatly strengthened by small, targeted grants for specific activities that build experience and credibility for effective management, and hence eligibility for other funding sources. / - The flexibility in use of project funds, while aligned to the original project objectives, was important in facilitating justified expenditures against changing work plans, and this should continue as good practice. / - Sufficient attention needs to be given to project oversight at both global and country levels, with sufficient hand over when staffing changes. / - Without first ensuring conformity with organisational rules and regulations and adequate oversight, available funds may not be efficiently utilised despite their high relevance to country needs. / - Care is needed to ensure that the mechanisms for utilisation of funds, e.g. for short-term consultancies, are not unduly burdensome, with respect to both initial budget lines and to opportunities for expenditure.</w:t>
            </w:r>
          </w:p>
        </w:tc>
        <w:tc>
          <w:tcPr>
            <w:tcW w:w="2400" w:type="dxa"/>
          </w:tcPr>
          <w:p>
            <w:r>
              <w:t xml:space="preserve">https://unitednations.sharepoint.com/sites/DESA-CDPMO/Shared Documents/General/6. Peace and Development TF/8. Funded projects/Evaluations_Fin. Rep/2020_PDF-SDG-2017-06_Eval_UNAIDS.pdf</w:t>
            </w:r>
          </w:p>
        </w:tc>
        <w:tc>
          <w:tcPr>
            <w:tcW w:w="2400" w:type="dxa"/>
          </w:tcPr>
          <w:p>
            <w:r>
              <w:t xml:space="preserve"/>
            </w:r>
          </w:p>
        </w:tc>
        <w:tc>
          <w:tcPr>
            <w:tcW w:w="2400" w:type="dxa"/>
          </w:tcPr>
          <w:p>
            <w:r>
              <w:t xml:space="preserve">evaluations.xlsx row 253: Divisions not provided.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'SB-001375.99.31|row:4': '#Conventions' has non-numeric value 'no'.</w:t>
            </w:r>
          </w:p>
        </w:tc>
      </w:tr>
      <w:tr>
        <w:tc>
          <w:tcPr>
            <w:tcW w:w="2400" w:type="dxa"/>
          </w:tcPr>
          <w:p>
            <w:r>
              <w:t xml:space="preserve">2</w:t>
            </w:r>
          </w:p>
        </w:tc>
        <w:tc>
          <w:tcPr>
            <w:tcW w:w="2400" w:type="dxa"/>
          </w:tcPr>
          <w:p>
            <w:r>
              <w:t xml:space="preserve">activity.xlsx record 'SB-001375.99.31|row:4': '#Laws' has non-numeric value 'yes'.</w:t>
            </w:r>
          </w:p>
        </w:tc>
      </w:tr>
      <w:tr>
        <w:tc>
          <w:tcPr>
            <w:tcW w:w="2400" w:type="dxa"/>
          </w:tcPr>
          <w:p>
            <w:r>
              <w:t xml:space="preserve">3</w:t>
            </w:r>
          </w:p>
        </w:tc>
        <w:tc>
          <w:tcPr>
            <w:tcW w:w="2400" w:type="dxa"/>
          </w:tcPr>
          <w:p>
            <w:r>
              <w:t xml:space="preserve">activity.xlsx record 'SB-001375.99.31|row:4': '#National Plans' has non-numeric value 'yes'.</w:t>
            </w:r>
          </w:p>
        </w:tc>
      </w:tr>
      <w:tr>
        <w:tc>
          <w:tcPr>
            <w:tcW w:w="2400" w:type="dxa"/>
          </w:tcPr>
          <w:p>
            <w:r>
              <w:t xml:space="preserve">4</w:t>
            </w:r>
          </w:p>
        </w:tc>
        <w:tc>
          <w:tcPr>
            <w:tcW w:w="2400" w:type="dxa"/>
          </w:tcPr>
          <w:p>
            <w:r>
              <w:t xml:space="preserve">activity.xlsx record 'SB-001375.99.31|row:4': '#Policies' has non-numeric value 'yes'.</w:t>
            </w:r>
          </w:p>
        </w:tc>
      </w:tr>
      <w:tr>
        <w:tc>
          <w:tcPr>
            <w:tcW w:w="2400" w:type="dxa"/>
          </w:tcPr>
          <w:p>
            <w:r>
              <w:t xml:space="preserve">5</w:t>
            </w:r>
          </w:p>
        </w:tc>
        <w:tc>
          <w:tcPr>
            <w:tcW w:w="2400" w:type="dxa"/>
          </w:tcPr>
          <w:p>
            <w:r>
              <w:t xml:space="preserve">activity.xlsx record 'SB-001375.99.31|row:4': '#Reporting Obligations' has non-numeric value 'yes'.</w:t>
            </w:r>
          </w:p>
        </w:tc>
      </w:tr>
      <w:tr>
        <w:tc>
          <w:tcPr>
            <w:tcW w:w="2400" w:type="dxa"/>
          </w:tcPr>
          <w:p>
            <w:r>
              <w:t xml:space="preserve">6</w:t>
            </w:r>
          </w:p>
        </w:tc>
        <w:tc>
          <w:tcPr>
            <w:tcW w:w="2400" w:type="dxa"/>
          </w:tcPr>
          <w:p>
            <w:r>
              <w:t xml:space="preserve">activity.xlsx record 'SB-001375.99.31|row:4': '#Strategies' has non-numeric value 'yes'.</w:t>
            </w:r>
          </w:p>
        </w:tc>
      </w:tr>
      <w:tr>
        <w:tc>
          <w:tcPr>
            <w:tcW w:w="2400" w:type="dxa"/>
          </w:tcPr>
          <w:p>
            <w:r>
              <w:t xml:space="preserve">7</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8</w:t>
            </w:r>
          </w:p>
        </w:tc>
        <w:tc>
          <w:tcPr>
            <w:tcW w:w="2400" w:type="dxa"/>
          </w:tcPr>
          <w:p>
            <w:r>
              <w:t xml:space="preserve">evaluations.xlsx record 'row:206': Country text 'French Guiana' could not be matched; no country assignment was inferred.</w:t>
            </w:r>
          </w:p>
        </w:tc>
      </w:tr>
      <w:tr>
        <w:tc>
          <w:tcPr>
            <w:tcW w:w="2400" w:type="dxa"/>
          </w:tcPr>
          <w:p>
            <w:r>
              <w:t xml:space="preserve">9</w:t>
            </w:r>
          </w:p>
        </w:tc>
        <w:tc>
          <w:tcPr>
            <w:tcW w:w="2400" w:type="dxa"/>
          </w:tcPr>
          <w:p>
            <w:r>
              <w:t xml:space="preserve">evaluations.xlsx row 253: Divisions not provided.</w:t>
            </w:r>
          </w:p>
        </w:tc>
      </w:tr>
      <w:tr>
        <w:tc>
          <w:tcPr>
            <w:tcW w:w="2400" w:type="dxa"/>
          </w:tcPr>
          <w:p>
            <w:r>
              <w:t xml:space="preserve">10</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11</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12</w:t>
            </w:r>
          </w:p>
        </w:tc>
        <w:tc>
          <w:tcPr>
            <w:tcW w:w="2400" w:type="dxa"/>
          </w:tcPr>
          <w:p>
            <w:r>
              <w:t xml:space="preserve">GeoData_with_ISO3166_alpha3.xlsx: last modified 2026-05-22, more than 30 days before ingestion (134 days).</w:t>
            </w:r>
          </w:p>
        </w:tc>
      </w:tr>
      <w:tr>
        <w:tc>
          <w:tcPr>
            <w:tcW w:w="2400" w:type="dxa"/>
          </w:tcPr>
          <w:p>
            <w:r>
              <w:t xml:space="preserve">13</w:t>
            </w:r>
          </w:p>
        </w:tc>
        <w:tc>
          <w:tcPr>
            <w:tcW w:w="2400" w:type="dxa"/>
          </w:tcPr>
          <w:p>
            <w:r>
              <w:t xml:space="preserve">requests.xlsx record '4731': Dates End date 2022-01-12 is before start date 2022-06-01.</w:t>
            </w:r>
          </w:p>
        </w:tc>
      </w:tr>
      <w:tr>
        <w:tc>
          <w:tcPr>
            <w:tcW w:w="2400" w:type="dxa"/>
          </w:tcPr>
          <w:p>
            <w:r>
              <w:t xml:space="preserve">14</w:t>
            </w:r>
          </w:p>
        </w:tc>
        <w:tc>
          <w:tcPr>
            <w:tcW w:w="2400" w:type="dxa"/>
          </w:tcPr>
          <w:p>
            <w:r>
              <w:t xml:space="preserve">requests.xlsx record '4731': End date 2022-01-12 is before start date 2022-06-01.</w:t>
            </w:r>
          </w:p>
        </w:tc>
      </w:tr>
      <w:tr>
        <w:tc>
          <w:tcPr>
            <w:tcW w:w="2400" w:type="dxa"/>
          </w:tcPr>
          <w:p>
            <w:r>
              <w:t xml:space="preserve">15</w:t>
            </w:r>
          </w:p>
        </w:tc>
        <w:tc>
          <w:tcPr>
            <w:tcW w:w="2400" w:type="dxa"/>
          </w:tcPr>
          <w:p>
            <w:r>
              <w:t xml:space="preserve">requests.xlsx record '4741': Countries Country text 'Mayotte' could not be matched; no country assignment was inferred.</w:t>
            </w:r>
          </w:p>
        </w:tc>
      </w:tr>
      <w:tr>
        <w:tc>
          <w:tcPr>
            <w:tcW w:w="2400" w:type="dxa"/>
          </w:tcPr>
          <w:p>
            <w:r>
              <w:t xml:space="preserve">16</w:t>
            </w:r>
          </w:p>
        </w:tc>
        <w:tc>
          <w:tcPr>
            <w:tcW w:w="2400" w:type="dxa"/>
          </w:tcPr>
          <w:p>
            <w:r>
              <w:t xml:space="preserve">requests.xlsx record '4741': Countries Country text 'Reunion' could not be matched; no country assignment was inferred.</w:t>
            </w:r>
          </w:p>
        </w:tc>
      </w:tr>
      <w:tr>
        <w:tc>
          <w:tcPr>
            <w:tcW w:w="2400" w:type="dxa"/>
          </w:tcPr>
          <w:p>
            <w:r>
              <w:t xml:space="preserve">17</w:t>
            </w:r>
          </w:p>
        </w:tc>
        <w:tc>
          <w:tcPr>
            <w:tcW w:w="2400" w:type="dxa"/>
          </w:tcPr>
          <w:p>
            <w:r>
              <w:t xml:space="preserve">requests.xlsx record '4741': Countries Country text 'Saint Helena' could not be matched; no country assignment was inferred.</w:t>
            </w:r>
          </w:p>
        </w:tc>
      </w:tr>
      <w:tr>
        <w:tc>
          <w:tcPr>
            <w:tcW w:w="2400" w:type="dxa"/>
          </w:tcPr>
          <w:p>
            <w:r>
              <w:t xml:space="preserve">18</w:t>
            </w:r>
          </w:p>
        </w:tc>
        <w:tc>
          <w:tcPr>
            <w:tcW w:w="2400" w:type="dxa"/>
          </w:tcPr>
          <w:p>
            <w:r>
              <w:t xml:space="preserve">requests.xlsx record '4741': Country 'Mayotte' could not be matched to an ISO3 value.</w:t>
            </w:r>
          </w:p>
        </w:tc>
      </w:tr>
      <w:tr>
        <w:tc>
          <w:tcPr>
            <w:tcW w:w="2400" w:type="dxa"/>
          </w:tcPr>
          <w:p>
            <w:r>
              <w:t xml:space="preserve">19</w:t>
            </w:r>
          </w:p>
        </w:tc>
        <w:tc>
          <w:tcPr>
            <w:tcW w:w="2400" w:type="dxa"/>
          </w:tcPr>
          <w:p>
            <w:r>
              <w:t xml:space="preserve">requests.xlsx record '4741': Country 'Reunion' could not be matched to an ISO3 value.</w:t>
            </w:r>
          </w:p>
        </w:tc>
      </w:tr>
      <w:tr>
        <w:tc>
          <w:tcPr>
            <w:tcW w:w="2400" w:type="dxa"/>
          </w:tcPr>
          <w:p>
            <w:r>
              <w:t xml:space="preserve">20</w:t>
            </w:r>
          </w:p>
        </w:tc>
        <w:tc>
          <w:tcPr>
            <w:tcW w:w="2400" w:type="dxa"/>
          </w:tcPr>
          <w:p>
            <w:r>
              <w:t xml:space="preserve">requests.xlsx record '4741': Country 'Saint Helena' could not be matched to an ISO3 value.</w:t>
            </w:r>
          </w:p>
        </w:tc>
      </w:tr>
      <w:tr>
        <w:tc>
          <w:tcPr>
            <w:tcW w:w="2400" w:type="dxa"/>
          </w:tcPr>
          <w:p>
            <w:r>
              <w:t xml:space="preserve">21</w:t>
            </w:r>
          </w:p>
        </w:tc>
        <w:tc>
          <w:tcPr>
            <w:tcW w:w="2400" w:type="dxa"/>
          </w:tcPr>
          <w:p>
            <w:r>
              <w:t xml:space="preserve">requests.xlsx record '4741': Country text 'Mayotte' could not be matched; no country assignment was inferred.</w:t>
            </w:r>
          </w:p>
        </w:tc>
      </w:tr>
      <w:tr>
        <w:tc>
          <w:tcPr>
            <w:tcW w:w="2400" w:type="dxa"/>
          </w:tcPr>
          <w:p>
            <w:r>
              <w:t xml:space="preserve">22</w:t>
            </w:r>
          </w:p>
        </w:tc>
        <w:tc>
          <w:tcPr>
            <w:tcW w:w="2400" w:type="dxa"/>
          </w:tcPr>
          <w:p>
            <w:r>
              <w:t xml:space="preserve">requests.xlsx record '4741': Country text 'Reunion' could not be matched; no country assignment was inferred.</w:t>
            </w:r>
          </w:p>
        </w:tc>
      </w:tr>
      <w:tr>
        <w:tc>
          <w:tcPr>
            <w:tcW w:w="2400" w:type="dxa"/>
          </w:tcPr>
          <w:p>
            <w:r>
              <w:t xml:space="preserve">23</w:t>
            </w:r>
          </w:p>
        </w:tc>
        <w:tc>
          <w:tcPr>
            <w:tcW w:w="2400" w:type="dxa"/>
          </w:tcPr>
          <w:p>
            <w:r>
              <w:t xml:space="preserve">requests.xlsx record '4741': Country text 'Saint Helena' could not be matched; no country assignment was inferred.</w:t>
            </w:r>
          </w:p>
        </w:tc>
      </w:tr>
      <w:tr>
        <w:tc>
          <w:tcPr>
            <w:tcW w:w="2400" w:type="dxa"/>
          </w:tcPr>
          <w:p>
            <w:r>
              <w:t xml:space="preserve">24</w:t>
            </w:r>
          </w:p>
        </w:tc>
        <w:tc>
          <w:tcPr>
            <w:tcW w:w="2400" w:type="dxa"/>
          </w:tcPr>
          <w:p>
            <w:r>
              <w:t xml:space="preserve">requests.xlsx record '5575': Dates End date 2026-09-12 is before start date 2026-11-08.</w:t>
            </w:r>
          </w:p>
        </w:tc>
      </w:tr>
      <w:tr>
        <w:tc>
          <w:tcPr>
            <w:tcW w:w="2400" w:type="dxa"/>
          </w:tcPr>
          <w:p>
            <w:r>
              <w:t xml:space="preserve">25</w:t>
            </w:r>
          </w:p>
        </w:tc>
        <w:tc>
          <w:tcPr>
            <w:tcW w:w="2400" w:type="dxa"/>
          </w:tcPr>
          <w:p>
            <w:r>
              <w:t xml:space="preserve">requests.xlsx record '5575': End date 2026-09-12 is before start date 2026-11-08.</w:t>
            </w:r>
          </w:p>
        </w:tc>
      </w:tr>
      <w:tr>
        <w:tc>
          <w:tcPr>
            <w:tcW w:w="2400" w:type="dxa"/>
          </w:tcPr>
          <w:p>
            <w:r>
              <w:t xml:space="preserve">26</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27</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28</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29</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30</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31</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32</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33</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34</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35</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36</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37</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38</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39</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40</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41</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42</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43</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44</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45</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46</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47</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48</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49</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50</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51</w:t>
            </w:r>
          </w:p>
        </w:tc>
        <w:tc>
          <w:tcPr>
            <w:tcW w:w="2400" w:type="dxa"/>
          </w:tcPr>
          <w:p>
            <w:r>
              <w:t xml:space="preserve">Resolved - Action: duplicate evaluation at evaluations.xlsx row 306 removed; retained row 297 ().</w:t>
            </w:r>
          </w:p>
        </w:tc>
      </w:tr>
      <w:tr>
        <w:tc>
          <w:tcPr>
            <w:tcW w:w="2400" w:type="dxa"/>
          </w:tcPr>
          <w:p>
            <w:r>
              <w:t xml:space="preserve">52</w:t>
            </w:r>
          </w:p>
        </w:tc>
        <w:tc>
          <w:tcPr>
            <w:tcW w:w="2400" w:type="dxa"/>
          </w:tcPr>
          <w:p>
            <w:r>
              <w:t xml:space="preserve">Resolved - Action: duplicate evaluation at evaluations.xlsx row 332 removed; retained row 302 ().</w:t>
            </w:r>
          </w:p>
        </w:tc>
      </w:tr>
      <w:tr>
        <w:tc>
          <w:tcPr>
            <w:tcW w:w="2400" w:type="dxa"/>
          </w:tcPr>
          <w:p>
            <w:r>
              <w:t xml:space="preserve">53</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54</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55</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56</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57</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58</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59</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60</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61</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62</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63</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64</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65</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66</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67</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68</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69</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70</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71</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72</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