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Peru</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Peru is presented in this country card as part of Americas, with Peru also associated with an unspecified subregion and the no recorded country group grouping. The filtered data for Peru highlights 8 projects for Peru, including 2 active or planned projects for Peru and 5 completed or closed projects for Peru.</w:t>
      </w:r>
    </w:p>
    <w:p>
      <w:r>
        <w:t xml:space="preserve">For Peru, the report includes 14 requests for Peru, 4 RPTC proposals for Peru, 2 RPTC activities for Peru, and 1 travel records for Peru. Financially, Peru shows USD 7,063,296 in project budget, $93,897 in proposal planned budget, and $201,588 in consumed RPTC activity budget for Peru.</w:t>
      </w:r>
    </w:p>
    <w:p>
      <w:r>
        <w:t xml:space="preserve">The main organizational coverage for Peru points to Division for Inclusive Social Development, Division for Sustainable Development Goals, Financing for Sustainable Development Office, FSDO. Activity records for Peru list 1,381 participants, including 709 women participants, the current quality review for Peru includes 67 data quality notes. Current highlights for Peru include a request focus for Peru: 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w:t>
      </w:r>
      <w:r>
        <w:br/>
        <w:t xml:space="preserve"/>
      </w:r>
      <w:r>
        <w:br/>
        <w:t xml:space="preserve"/>
      </w:r>
      <w:r>
        <w:br/>
        <w:t xml:space="preserve"/>
      </w:r>
      <w:r>
        <w:br/>
        <w:t xml:space="preserve">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w:t>
      </w:r>
      <w:r>
        <w:br/>
        <w:t xml:space="preserve"/>
      </w:r>
      <w:r>
        <w:br/>
        <w:t xml:space="preserve"/>
      </w:r>
      <w:r>
        <w:br/>
        <w:t xml:space="preserve"/>
      </w:r>
      <w:r>
        <w:br/>
        <w:t xml:space="preserve">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w:t>
      </w:r>
      <w:r>
        <w:br/>
        <w:t xml:space="preserve"/>
      </w:r>
      <w:r>
        <w:br/>
        <w:t xml:space="preserve"/>
      </w:r>
      <w:r>
        <w:br/>
        <w:t xml:space="preserve"/>
      </w:r>
      <w:r>
        <w:br/>
        <w:t xml:space="preserve">ALADI requested capacity-building and/or technical-assistance on MSITS 2026 for its Member States in an e-mail sent directly to DESA staff. </w:t>
      </w:r>
      <w:r>
        <w:br/>
        <w:t xml:space="preserve"/>
      </w:r>
      <w:r>
        <w:br/>
        <w:t xml:space="preserve"/>
      </w:r>
      <w:r>
        <w:br/>
        <w:t xml:space="preserve"/>
      </w:r>
      <w:r>
        <w:br/>
        <w:t xml:space="preserve">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w:t>
      </w:r>
      <w:r>
        <w:br/>
        <w:t xml:space="preserve"/>
      </w:r>
      <w:r>
        <w:br/>
        <w:t xml:space="preserve"/>
      </w:r>
      <w:r>
        <w:br/>
        <w:t xml:space="preserve"/>
      </w:r>
      <w:r>
        <w:br/>
        <w:t xml:space="preserve">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 an RPTC proposal focus for Peru: Peer-to-peer Learning Workshops for the Network of National Focal Points on Financing for Development; an activity focus for Peru: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8</w:t>
            </w:r>
          </w:p>
        </w:tc>
      </w:tr>
      <w:tr>
        <w:tc>
          <w:tcPr>
            <w:tcW w:w="2400" w:type="dxa"/>
          </w:tcPr>
          <w:p>
            <w:r>
              <w:t xml:space="preserve">Project budget</w:t>
            </w:r>
          </w:p>
        </w:tc>
        <w:tc>
          <w:tcPr>
            <w:tcW w:w="2400" w:type="dxa"/>
          </w:tcPr>
          <w:p>
            <w:r>
              <w:t xml:space="preserve">USD 7,063,296</w:t>
            </w:r>
          </w:p>
        </w:tc>
      </w:tr>
      <w:tr>
        <w:tc>
          <w:tcPr>
            <w:tcW w:w="2400" w:type="dxa"/>
          </w:tcPr>
          <w:p>
            <w:r>
              <w:t xml:space="preserve">Requests</w:t>
            </w:r>
          </w:p>
        </w:tc>
        <w:tc>
          <w:tcPr>
            <w:tcW w:w="2400" w:type="dxa"/>
          </w:tcPr>
          <w:p>
            <w:r>
              <w:t xml:space="preserve">14</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$93,897</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7</w:t>
            </w:r>
          </w:p>
        </w:tc>
      </w:tr>
      <w:tr>
        <w:tc>
          <w:tcPr>
            <w:tcW w:w="2400" w:type="dxa"/>
          </w:tcPr>
          <w:p>
            <w:r>
              <w:t xml:space="preserve">Data quality notes</w:t>
            </w:r>
          </w:p>
        </w:tc>
        <w:tc>
          <w:tcPr>
            <w:tcW w:w="2400" w:type="dxa"/>
          </w:tcPr>
          <w:p>
            <w:r>
              <w:t xml:space="preserve">67</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Beyond GDP: Advancing global and national initiatives to develop, compile and integrate beyond-GDP metrics to foster inclusive, sustainable, and forward-thinking policy making</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Jul 2025</w:t>
            </w:r>
          </w:p>
        </w:tc>
        <w:tc>
          <w:tcPr>
            <w:tcW w:w="2400" w:type="dxa"/>
          </w:tcPr>
          <w:p>
            <w:r>
              <w:t xml:space="preserve">30 Jun 2027</w:t>
            </w:r>
          </w:p>
        </w:tc>
        <w:tc>
          <w:tcPr>
            <w:tcW w:w="2400" w:type="dxa"/>
          </w:tcPr>
          <w:p>
            <w:r>
              <w:t xml:space="preserve">USD 2,000,000</w:t>
            </w:r>
          </w:p>
        </w:tc>
        <w:tc>
          <w:tcPr>
            <w:tcW w:w="2400" w:type="dxa"/>
          </w:tcPr>
          <w:p>
            <w:r>
              <w:t xml:space="preserve">Costa Rica, Morocco, Peru, Senegal</w:t>
            </w:r>
          </w:p>
        </w:tc>
        <w:tc>
          <w:tcPr>
            <w:tcW w:w="2400" w:type="dxa"/>
          </w:tcPr>
          <w:p>
            <w:r>
              <w:t xml:space="preserve"/>
            </w:r>
          </w:p>
        </w:tc>
        <w:tc>
          <w:tcPr>
            <w:tcW w:w="2400" w:type="dxa"/>
          </w:tcPr>
          <w:p>
            <w:r>
              <w:t xml:space="preserve"/>
            </w:r>
          </w:p>
        </w:tc>
      </w:tr>
      <w:tr>
        <w:tc>
          <w:tcPr>
            <w:tcW w:w="2400" w:type="dxa"/>
          </w:tcPr>
          <w:p>
            <w:r>
              <w:t xml:space="preserve">Enhancing national capacities for unleashing full potentials of micro-, small- and medium-enterprises (MSMEs) in achieving sustainable development goals in developing countries</w:t>
            </w:r>
          </w:p>
        </w:tc>
        <w:tc>
          <w:tcPr>
            <w:tcW w:w="2400" w:type="dxa"/>
          </w:tcPr>
          <w:p>
            <w:r>
              <w:t xml:space="preserve">2016-04</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31 May 2017</w:t>
            </w:r>
          </w:p>
        </w:tc>
        <w:tc>
          <w:tcPr>
            <w:tcW w:w="2400" w:type="dxa"/>
          </w:tcPr>
          <w:p>
            <w:r>
              <w:t xml:space="preserve">31 Dec 2021</w:t>
            </w:r>
          </w:p>
        </w:tc>
        <w:tc>
          <w:tcPr>
            <w:tcW w:w="2400" w:type="dxa"/>
          </w:tcPr>
          <w:p>
            <w:r>
              <w:t xml:space="preserve">USD 1,652,296</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Enhancing the resilience, accessibility, and sustainability of infrastructure assets in developing countries along the Belt and Road initiative in support of the 2030 Agenda</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Feb 2022</w:t>
            </w:r>
          </w:p>
        </w:tc>
        <w:tc>
          <w:tcPr>
            <w:tcW w:w="2400" w:type="dxa"/>
          </w:tcPr>
          <w:p>
            <w:r>
              <w:t xml:space="preserve">31 Jan 2025</w:t>
            </w:r>
          </w:p>
        </w:tc>
        <w:tc>
          <w:tcPr>
            <w:tcW w:w="2400" w:type="dxa"/>
          </w:tcPr>
          <w:p>
            <w:r>
              <w:t xml:space="preserve">USD 0</w:t>
            </w:r>
          </w:p>
        </w:tc>
        <w:tc>
          <w:tcPr>
            <w:tcW w:w="2400" w:type="dxa"/>
          </w:tcPr>
          <w:p>
            <w:r>
              <w:t xml:space="preserve">Costa Rica, Gambia, Kenya, Lao People's Democratic Republic, Nepal, Peru</w:t>
            </w:r>
          </w:p>
        </w:tc>
        <w:tc>
          <w:tcPr>
            <w:tcW w:w="2400" w:type="dxa"/>
          </w:tcPr>
          <w:p>
            <w:r>
              <w:t xml:space="preserve">Country standardized: 'Lao PDR' -&gt; 'Lao People's Democratic Republic'.</w:t>
            </w:r>
          </w:p>
        </w:tc>
        <w:tc>
          <w:tcPr>
            <w:tcW w:w="2400" w:type="dxa"/>
          </w:tcPr>
          <w:p>
            <w:r>
              <w:t xml:space="preserve">projects.csv record 'Enhancing the resilience, accessibility, and sustainability of infrastructure assets in developing countries along the Belt and Road initiative in support of the 2030 Agenda | 2022-02-01T00:00:00 | [no project code]': Budget Budget is blank.</w:t>
            </w:r>
          </w:p>
        </w:tc>
      </w:tr>
      <w:tr>
        <w:tc>
          <w:tcPr>
            <w:tcW w:w="2400" w:type="dxa"/>
          </w:tcPr>
          <w:p>
            <w:r>
              <w:t xml:space="preserve">Innovative and digital technologies for forest monitoring and data-sharing by Indigenous Peoples, local communities, women and young people</w:t>
            </w:r>
          </w:p>
        </w:tc>
        <w:tc>
          <w:tcPr>
            <w:tcW w:w="2400" w:type="dxa"/>
          </w:tcPr>
          <w:p>
            <w:r>
              <w:t xml:space="preserve">2629C</w:t>
            </w:r>
          </w:p>
        </w:tc>
        <w:tc>
          <w:tcPr>
            <w:tcW w:w="2400" w:type="dxa"/>
          </w:tcPr>
          <w:p>
            <w:r>
              <w:t xml:space="preserve">country</w:t>
            </w:r>
          </w:p>
        </w:tc>
        <w:tc>
          <w:tcPr>
            <w:tcW w:w="2400" w:type="dxa"/>
          </w:tcPr>
          <w:p>
            <w:r>
              <w:t xml:space="preserve">United Nations Forum on Forest</w:t>
            </w:r>
          </w:p>
        </w:tc>
        <w:tc>
          <w:tcPr>
            <w:tcW w:w="2400" w:type="dxa"/>
          </w:tcPr>
          <w:p>
            <w:r>
              <w:t xml:space="preserve">Active</w:t>
            </w:r>
          </w:p>
        </w:tc>
        <w:tc>
          <w:tcPr>
            <w:tcW w:w="2400" w:type="dxa"/>
          </w:tcPr>
          <w:p>
            <w:r>
              <w:t xml:space="preserve">02 Feb 2026</w:t>
            </w:r>
          </w:p>
        </w:tc>
        <w:tc>
          <w:tcPr>
            <w:tcW w:w="2400" w:type="dxa"/>
          </w:tcPr>
          <w:p>
            <w:r>
              <w:t xml:space="preserve">31 Dec 2029</w:t>
            </w:r>
          </w:p>
        </w:tc>
        <w:tc>
          <w:tcPr>
            <w:tcW w:w="2400" w:type="dxa"/>
          </w:tcPr>
          <w:p>
            <w:r>
              <w:t xml:space="preserve">USD 634,400</w:t>
            </w:r>
          </w:p>
        </w:tc>
        <w:tc>
          <w:tcPr>
            <w:tcW w:w="2400" w:type="dxa"/>
          </w:tcPr>
          <w:p>
            <w:r>
              <w:t xml:space="preserve">Bolivia (Plurinational State of), Colombia, Guyana, Peru</w:t>
            </w:r>
          </w:p>
        </w:tc>
        <w:tc>
          <w:tcPr>
            <w:tcW w:w="2400" w:type="dxa"/>
          </w:tcPr>
          <w:p>
            <w:r>
              <w:t xml:space="preserve"/>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1617F</w:t>
            </w:r>
          </w:p>
        </w:tc>
        <w:tc>
          <w:tcPr>
            <w:tcW w:w="2400" w:type="dxa"/>
          </w:tcPr>
          <w:p>
            <w:r>
              <w:t xml:space="preserve">country</w:t>
            </w:r>
          </w:p>
        </w:tc>
        <w:tc>
          <w:tcPr>
            <w:tcW w:w="2400" w:type="dxa"/>
          </w:tcPr>
          <w:p>
            <w:r>
              <w:t xml:space="preserve">United Nations Forum on Forest</w:t>
            </w:r>
          </w:p>
        </w:tc>
        <w:tc>
          <w:tcPr>
            <w:tcW w:w="2400" w:type="dxa"/>
          </w:tcPr>
          <w:p>
            <w:r>
              <w:t xml:space="preserve">Closed</w:t>
            </w:r>
          </w:p>
        </w:tc>
        <w:tc>
          <w:tcPr>
            <w:tcW w:w="2400" w:type="dxa"/>
          </w:tcPr>
          <w:p>
            <w:r>
              <w:t xml:space="preserve">16 Jun 2020</w:t>
            </w:r>
          </w:p>
        </w:tc>
        <w:tc>
          <w:tcPr>
            <w:tcW w:w="2400" w:type="dxa"/>
          </w:tcPr>
          <w:p>
            <w:r>
              <w:t xml:space="preserve">19 Dec 2020</w:t>
            </w:r>
          </w:p>
        </w:tc>
        <w:tc>
          <w:tcPr>
            <w:tcW w:w="2400" w:type="dxa"/>
          </w:tcPr>
          <w:p>
            <w:r>
              <w:t xml:space="preserve">USD 709,000</w:t>
            </w:r>
          </w:p>
        </w:tc>
        <w:tc>
          <w:tcPr>
            <w:tcW w:w="2400" w:type="dxa"/>
          </w:tcPr>
          <w:p>
            <w:r>
              <w:t xml:space="preserve">Ghana, Jamaica, Kenya, Mongolia, Peru, Philippines</w:t>
            </w:r>
          </w:p>
        </w:tc>
        <w:tc>
          <w:tcPr>
            <w:tcW w:w="2400" w:type="dxa"/>
          </w:tcPr>
          <w:p>
            <w:r>
              <w:t xml:space="preserve"/>
            </w:r>
          </w:p>
        </w:tc>
        <w:tc>
          <w:tcPr>
            <w:tcW w:w="2400" w:type="dxa"/>
          </w:tcPr>
          <w:p>
            <w:r>
              <w:t xml:space="preserve"/>
            </w:r>
          </w:p>
        </w:tc>
      </w:tr>
      <w:tr>
        <w:tc>
          <w:tcPr>
            <w:tcW w:w="2400" w:type="dxa"/>
          </w:tcPr>
          <w:p>
            <w:r>
              <w:t xml:space="preserve">Enhancing migration data to support evidence-based policymaking and the achievement of the 2030 Agenda for Sustainable Development in Africa and Latin America and the Caribbean</w:t>
            </w:r>
          </w:p>
        </w:tc>
        <w:tc>
          <w:tcPr>
            <w:tcW w:w="2400" w:type="dxa"/>
          </w:tcPr>
          <w:p>
            <w:r>
              <w:t xml:space="preserve"/>
            </w:r>
          </w:p>
        </w:tc>
        <w:tc>
          <w:tcPr>
            <w:tcW w:w="2400" w:type="dxa"/>
          </w:tcPr>
          <w:p>
            <w:r>
              <w:t xml:space="preserve">country</w:t>
            </w:r>
          </w:p>
        </w:tc>
        <w:tc>
          <w:tcPr>
            <w:tcW w:w="2400" w:type="dxa"/>
          </w:tcPr>
          <w:p>
            <w:r>
              <w:t xml:space="preserve">Population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911,000</w:t>
            </w:r>
          </w:p>
        </w:tc>
        <w:tc>
          <w:tcPr>
            <w:tcW w:w="2400" w:type="dxa"/>
          </w:tcPr>
          <w:p>
            <w:r>
              <w:t xml:space="preserve">Jamaica, Kenya, Malawi, Mexico, Mozambique, Peru</w:t>
            </w:r>
          </w:p>
        </w:tc>
        <w:tc>
          <w:tcPr>
            <w:tcW w:w="2400" w:type="dxa"/>
          </w:tcPr>
          <w:p>
            <w:r>
              <w:t xml:space="preserve"/>
            </w:r>
          </w:p>
        </w:tc>
        <w:tc>
          <w:tcPr>
            <w:tcW w:w="2400" w:type="dxa"/>
          </w:tcPr>
          <w:p>
            <w:r>
              <w:t xml:space="preserve"/>
            </w:r>
          </w:p>
        </w:tc>
      </w:tr>
      <w:tr>
        <w:tc>
          <w:tcPr>
            <w:tcW w:w="2400" w:type="dxa"/>
          </w:tcPr>
          <w:p>
            <w:r>
              <w:t xml:space="preserve">Policies and programmes for youth with disabilities in Latin America</w:t>
            </w:r>
          </w:p>
        </w:tc>
        <w:tc>
          <w:tcPr>
            <w:tcW w:w="2400" w:type="dxa"/>
          </w:tcPr>
          <w:p>
            <w:r>
              <w:t xml:space="preserve">1819A</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2018</w:t>
            </w:r>
          </w:p>
        </w:tc>
        <w:tc>
          <w:tcPr>
            <w:tcW w:w="2400" w:type="dxa"/>
          </w:tcPr>
          <w:p>
            <w:r>
              <w:t xml:space="preserve">31 Dec 2021</w:t>
            </w:r>
          </w:p>
        </w:tc>
        <w:tc>
          <w:tcPr>
            <w:tcW w:w="2400" w:type="dxa"/>
          </w:tcPr>
          <w:p>
            <w:r>
              <w:t xml:space="preserve">USD 524,600</w:t>
            </w:r>
          </w:p>
        </w:tc>
        <w:tc>
          <w:tcPr>
            <w:tcW w:w="2400" w:type="dxa"/>
          </w:tcPr>
          <w:p>
            <w:r>
              <w:t xml:space="preserve">Argentina, Ecuador, Peru</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
            </w:r>
          </w:p>
        </w:tc>
      </w:tr>
      <w:tr>
        <w:tc>
          <w:tcPr>
            <w:tcW w:w="2400" w:type="dxa"/>
          </w:tcPr>
          <w:p>
            <w:r>
              <w:t xml:space="preserve">5106</w:t>
            </w:r>
          </w:p>
        </w:tc>
        <w:tc>
          <w:tcPr>
            <w:tcW w:w="2400" w:type="dxa"/>
          </w:tcPr>
          <w:p>
            <w:r>
              <w:t xml:space="preserve">Request #5106 ? 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Completed</w:t>
            </w:r>
          </w:p>
        </w:tc>
        <w:tc>
          <w:tcPr>
            <w:tcW w:w="2400" w:type="dxa"/>
          </w:tcPr>
          <w:p>
            <w:r>
              <w:t xml:space="preserve">Statistics Division</w:t>
            </w:r>
          </w:p>
        </w:tc>
        <w:tc>
          <w:tcPr>
            <w:tcW w:w="2400" w:type="dxa"/>
          </w:tcPr>
          <w:p>
            <w:r>
              <w:t xml:space="preserve">25 Oct 2024</w:t>
            </w:r>
          </w:p>
        </w:tc>
        <w:tc>
          <w:tcPr>
            <w:tcW w:w="2400" w:type="dxa"/>
          </w:tcPr>
          <w:p>
            <w:r>
              <w:t xml:space="preserve">01 Nov 2024</w:t>
            </w:r>
          </w:p>
        </w:tc>
        <w:tc>
          <w:tcPr>
            <w:tcW w:w="2400" w:type="dxa"/>
          </w:tcPr>
          <w:p>
            <w:r>
              <w:t xml:space="preserve">31 Dec 2024</w:t>
            </w:r>
          </w:p>
        </w:tc>
        <w:tc>
          <w:tcPr>
            <w:tcW w:w="2400" w:type="dxa"/>
          </w:tcPr>
          <w:p>
            <w:r>
              <w:t xml:space="preserve">Harumi Shibata Salazar | shibata@un.org</w:t>
            </w:r>
          </w:p>
        </w:tc>
        <w:tc>
          <w:tcPr>
            <w:tcW w:w="2400" w:type="dxa"/>
          </w:tcPr>
          <w:p>
            <w:r>
              <w:t xml:space="preserve">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
            </w:r>
          </w:p>
        </w:tc>
      </w:tr>
      <w:tr>
        <w:tc>
          <w:tcPr>
            <w:tcW w:w="2400" w:type="dxa"/>
          </w:tcPr>
          <w:p>
            <w:r>
              <w:t xml:space="preserve">5092</w:t>
            </w:r>
          </w:p>
        </w:tc>
        <w:tc>
          <w:tcPr>
            <w:tcW w:w="2400" w:type="dxa"/>
          </w:tcPr>
          <w:p>
            <w:r>
              <w:t xml:space="preserve">Request #5092 ? 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Completed</w:t>
            </w:r>
          </w:p>
        </w:tc>
        <w:tc>
          <w:tcPr>
            <w:tcW w:w="2400" w:type="dxa"/>
          </w:tcPr>
          <w:p>
            <w:r>
              <w:t xml:space="preserve">Statistics Division</w:t>
            </w:r>
          </w:p>
        </w:tc>
        <w:tc>
          <w:tcPr>
            <w:tcW w:w="2400" w:type="dxa"/>
          </w:tcPr>
          <w:p>
            <w:r>
              <w:t xml:space="preserve">04 Oct 2024</w:t>
            </w:r>
          </w:p>
        </w:tc>
        <w:tc>
          <w:tcPr>
            <w:tcW w:w="2400" w:type="dxa"/>
          </w:tcPr>
          <w:p>
            <w:r>
              <w:t xml:space="preserve">04 Dec 2024</w:t>
            </w:r>
          </w:p>
        </w:tc>
        <w:tc>
          <w:tcPr>
            <w:tcW w:w="2400" w:type="dxa"/>
          </w:tcPr>
          <w:p>
            <w:r>
              <w:t xml:space="preserve">06 Dec 2024</w:t>
            </w:r>
          </w:p>
        </w:tc>
        <w:tc>
          <w:tcPr>
            <w:tcW w:w="2400" w:type="dxa"/>
          </w:tcPr>
          <w:p>
            <w:r>
              <w:t xml:space="preserve">Harumi Shibata Salazar | shibata@un.org</w:t>
            </w:r>
          </w:p>
        </w:tc>
        <w:tc>
          <w:tcPr>
            <w:tcW w:w="2400" w:type="dxa"/>
          </w:tcPr>
          <w:p>
            <w:r>
              <w:t xml:space="preserve">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
            </w:r>
          </w:p>
        </w:tc>
      </w:tr>
      <w:tr>
        <w:tc>
          <w:tcPr>
            <w:tcW w:w="2400" w:type="dxa"/>
          </w:tcPr>
          <w:p>
            <w:r>
              <w:t xml:space="preserve">5083</w:t>
            </w:r>
          </w:p>
        </w:tc>
        <w:tc>
          <w:tcPr>
            <w:tcW w:w="2400" w:type="dxa"/>
          </w:tcPr>
          <w:p>
            <w:r>
              <w:t xml:space="preserve">Request #5083 ? 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Completed</w:t>
            </w:r>
          </w:p>
        </w:tc>
        <w:tc>
          <w:tcPr>
            <w:tcW w:w="2400" w:type="dxa"/>
          </w:tcPr>
          <w:p>
            <w:r>
              <w:t xml:space="preserve">Statistics Division</w:t>
            </w:r>
          </w:p>
        </w:tc>
        <w:tc>
          <w:tcPr>
            <w:tcW w:w="2400" w:type="dxa"/>
          </w:tcPr>
          <w:p>
            <w:r>
              <w:t xml:space="preserve">20 Sept 2024</w:t>
            </w:r>
          </w:p>
        </w:tc>
        <w:tc>
          <w:tcPr>
            <w:tcW w:w="2400" w:type="dxa"/>
          </w:tcPr>
          <w:p>
            <w:r>
              <w:t xml:space="preserve">21 Sept 2024</w:t>
            </w:r>
          </w:p>
        </w:tc>
        <w:tc>
          <w:tcPr>
            <w:tcW w:w="2400" w:type="dxa"/>
          </w:tcPr>
          <w:p>
            <w:r>
              <w:t xml:space="preserve">31 Jan 2025</w:t>
            </w:r>
          </w:p>
        </w:tc>
        <w:tc>
          <w:tcPr>
            <w:tcW w:w="2400" w:type="dxa"/>
          </w:tcPr>
          <w:p>
            <w:r>
              <w:t xml:space="preserve">Camilo Andres Mendez Coronado | camendezc@dane.gov.co</w:t>
            </w:r>
          </w:p>
        </w:tc>
        <w:tc>
          <w:tcPr>
            <w:tcW w:w="2400" w:type="dxa"/>
          </w:tcPr>
          <w:p>
            <w:r>
              <w:t xml:space="preserve">Camilo AndrÃ©s MÃ©ndez C, Head of International Affairs at Colombia's National Statistical Office (DANE), requests support from the United Nations Statistics Division to help upgrade the data science skills and capabilities in DANE and other National Statistical Offices in Latin America. The request is made in light of rapidly advancing trends in data science and emerging technologies.</w:t>
            </w:r>
          </w:p>
        </w:tc>
        <w:tc>
          <w:tcPr>
            <w:tcW w:w="2400" w:type="dxa"/>
          </w:tcPr>
          <w:p>
            <w:r>
              <w:t xml:space="preserve"/>
            </w:r>
          </w:p>
        </w:tc>
      </w:tr>
      <w:tr>
        <w:tc>
          <w:tcPr>
            <w:tcW w:w="2400" w:type="dxa"/>
          </w:tcPr>
          <w:p>
            <w:r>
              <w:t xml:space="preserve">5070</w:t>
            </w:r>
          </w:p>
        </w:tc>
        <w:tc>
          <w:tcPr>
            <w:tcW w:w="2400" w:type="dxa"/>
          </w:tcPr>
          <w:p>
            <w:r>
              <w:t xml:space="preserve">Request #5070 ? The tenth meeting of the EGES encouraged countries to invest through their national statistical systems in the development of climate change statistics, by designing special surveys or other data collection tools, and to include climate and environment-related questions in the PHC, agriculture censuses, household surveys (household income), censuses/surveys of economic activities, etc.  UNSD is offering support in this area, by reviewing the experiences from countries who have advanced on collected climate change statistics via censuses and surveys (UK, Netherlands, Nepal, Tanzania); preparing a draft core set of suitable questions and assisting/advising countries which are currently preparing their own climate change surveys. The interest and demand for such support is growing, e.g. Uganda, Peru, Cameroon, Suriname and others are planning or already developing climate change surveys and will benefit from capacity development support along with Uganda.</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
            </w:r>
          </w:p>
        </w:tc>
        <w:tc>
          <w:tcPr>
            <w:tcW w:w="2400" w:type="dxa"/>
          </w:tcPr>
          <w:p>
            <w:r>
              <w:t xml:space="preserve"/>
            </w:r>
          </w:p>
        </w:tc>
        <w:tc>
          <w:tcPr>
            <w:tcW w:w="2400" w:type="dxa"/>
          </w:tcPr>
          <w:p>
            <w:r>
              <w:t xml:space="preserve">Keith Ahumuza | keith.ahumuza@ubos.org</w:t>
            </w:r>
          </w:p>
        </w:tc>
        <w:tc>
          <w:tcPr>
            <w:tcW w:w="2400" w:type="dxa"/>
          </w:tcPr>
          <w:p>
            <w:r>
              <w:t xml:space="preserve">The tenth meeting of the EGES encouraged countries to invest through their national statistical systems in the development of climate change statistics, by designing special surveys or other data collection tools, and to include climate and environment-related questions in the PHC, agriculture censuses, household surveys (household income), censuses/surveys of economic activities, etc.  UNSD is offering support in this area, by reviewing the experiences from countries who have advanced on collected climate change statistics via censuses and surveys (UK, Netherlands, Nepal, Tanzania); preparing a draft core set of suitable questions and assisting/advising countries which are currently preparing their own climate change surveys. The interest and demand for such support is growing, e.g. Uganda, Peru, Cameroon, Suriname and others are planning or already developing climate change surveys and will benefit from capacity development support along with Uganda.</w:t>
            </w:r>
          </w:p>
        </w:tc>
        <w:tc>
          <w:tcPr>
            <w:tcW w:w="2400" w:type="dxa"/>
          </w:tcPr>
          <w:p>
            <w:r>
              <w:t xml:space="preserve"/>
            </w:r>
          </w:p>
        </w:tc>
      </w:tr>
      <w:tr>
        <w:tc>
          <w:tcPr>
            <w:tcW w:w="2400" w:type="dxa"/>
          </w:tcPr>
          <w:p>
            <w:r>
              <w:t xml:space="preserve">4779</w:t>
            </w:r>
          </w:p>
        </w:tc>
        <w:tc>
          <w:tcPr>
            <w:tcW w:w="2400" w:type="dxa"/>
          </w:tcPr>
          <w:p>
            <w:r>
              <w:t xml:space="preserve">Request #4779 ? 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Completed</w:t>
            </w:r>
          </w:p>
        </w:tc>
        <w:tc>
          <w:tcPr>
            <w:tcW w:w="2400" w:type="dxa"/>
          </w:tcPr>
          <w:p>
            <w:r>
              <w:t xml:space="preserve">Statistics Division</w:t>
            </w:r>
          </w:p>
        </w:tc>
        <w:tc>
          <w:tcPr>
            <w:tcW w:w="2400" w:type="dxa"/>
          </w:tcPr>
          <w:p>
            <w:r>
              <w:t xml:space="preserve">28 Feb 2023</w:t>
            </w:r>
          </w:p>
        </w:tc>
        <w:tc>
          <w:tcPr>
            <w:tcW w:w="2400" w:type="dxa"/>
          </w:tcPr>
          <w:p>
            <w:r>
              <w:t xml:space="preserve">28 Feb 2023</w:t>
            </w:r>
          </w:p>
        </w:tc>
        <w:tc>
          <w:tcPr>
            <w:tcW w:w="2400" w:type="dxa"/>
          </w:tcPr>
          <w:p>
            <w:r>
              <w:t xml:space="preserve">26 Feb 2024</w:t>
            </w:r>
          </w:p>
        </w:tc>
        <w:tc>
          <w:tcPr>
            <w:tcW w:w="2400" w:type="dxa"/>
          </w:tcPr>
          <w:p>
            <w:r>
              <w:t xml:space="preserve">Yongyi Min | min3@un.org</w:t>
            </w:r>
          </w:p>
        </w:tc>
        <w:tc>
          <w:tcPr>
            <w:tcW w:w="2400" w:type="dxa"/>
          </w:tcPr>
          <w:p>
            <w:r>
              <w:t xml:space="preserve">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
            </w:r>
          </w:p>
        </w:tc>
      </w:tr>
      <w:tr>
        <w:tc>
          <w:tcPr>
            <w:tcW w:w="2400" w:type="dxa"/>
          </w:tcPr>
          <w:p>
            <w:r>
              <w:t xml:space="preserve">4231</w:t>
            </w:r>
          </w:p>
        </w:tc>
        <w:tc>
          <w:tcPr>
            <w:tcW w:w="2400" w:type="dxa"/>
          </w:tcPr>
          <w:p>
            <w:r>
              <w:t xml:space="preserve">Request #4231 ? The Global Set of Climate Change Statistics and Indicators was adopted at the 53rd session of the United Nations Statistical Commission in March 2022 as the framework for climate change statistics and indicators to be used by countries when preparing their own sets according to their individual concerns, priorities and resources. To put the Global Set to work, UNSD proposed a number of activities which are included in section V of the Report of the Secretary General to the 53rd Session of the Statistical Commission. Many countries expressed their support to the proposed activities via written and oral statements. More than 40 countries submitted such statements of which about half underlined that they need capacity development support from UNSD. This includes the need for training on applying the Global Set; the need for national missions; interest in receiving on-line support; and guidance for developing national surveys on climate change statistics. In addition, as specified in the Report of the Statistical Commission, the international statistical community is urged to expand its capacity development efforts with regard to climate change statistics by fostering closer collaboration and coordination among the multiple agencies involved in the process, and the donor community is urged to mobilize resources to enable capacity building in environment and climate change statistics in developing countries.</w:t>
            </w:r>
          </w:p>
        </w:tc>
        <w:tc>
          <w:tcPr>
            <w:tcW w:w="2400" w:type="dxa"/>
          </w:tcPr>
          <w:p>
            <w:r>
              <w:t xml:space="preserve">Completed</w:t>
            </w:r>
          </w:p>
        </w:tc>
        <w:tc>
          <w:tcPr>
            <w:tcW w:w="2400" w:type="dxa"/>
          </w:tcPr>
          <w:p>
            <w:r>
              <w:t xml:space="preserve">Statistics Division</w:t>
            </w:r>
          </w:p>
        </w:tc>
        <w:tc>
          <w:tcPr>
            <w:tcW w:w="2400" w:type="dxa"/>
          </w:tcPr>
          <w:p>
            <w:r>
              <w:t xml:space="preserve">01 Jul 2022</w:t>
            </w:r>
          </w:p>
        </w:tc>
        <w:tc>
          <w:tcPr>
            <w:tcW w:w="2400" w:type="dxa"/>
          </w:tcPr>
          <w:p>
            <w:r>
              <w:t xml:space="preserve">01 Aug 2022</w:t>
            </w:r>
          </w:p>
        </w:tc>
        <w:tc>
          <w:tcPr>
            <w:tcW w:w="2400" w:type="dxa"/>
          </w:tcPr>
          <w:p>
            <w:r>
              <w:t xml:space="preserve">31 Dec 2022</w:t>
            </w:r>
          </w:p>
        </w:tc>
        <w:tc>
          <w:tcPr>
            <w:tcW w:w="2400" w:type="dxa"/>
          </w:tcPr>
          <w:p>
            <w:r>
              <w:t xml:space="preserve">Peter Abad | peter.abad@inei.gob.pe</w:t>
            </w:r>
          </w:p>
        </w:tc>
        <w:tc>
          <w:tcPr>
            <w:tcW w:w="2400" w:type="dxa"/>
          </w:tcPr>
          <w:p>
            <w:r>
              <w:t xml:space="preserve">The Global Set of Climate Change Statistics and Indicators was adopted at the 53rd session of the United Nations Statistical Commission in March 2022 as the framework for climate change statistics and indicators to be used by countries when preparing their own sets according to their individual concerns, priorities and resources. To put the Global Set to work, UNSD proposed a number of activities which are included in section V of the Report of the Secretary General to the 53rd Session of the Statistical Commission. Many countries expressed their support to the proposed activities via written and oral statements. More than 40 countries submitted such statements of which about half underlined that they need capacity development support from UNSD. This includes the need for training on applying the Global Set; the need for national missions; interest in receiving on-line support; and guidance for developing national surveys on climate change statistics. In addition, as specified in the Report of the Statistical Commission, the international statistical community is urged to expand its capacity development efforts with regard to climate change statistics by fostering closer collaboration and coordination among the multiple agencies involved in the process, and the donor community is urged to mobilize resources to enable capacity building in environment and climate change statistics in developing countries.</w:t>
            </w:r>
          </w:p>
        </w:tc>
        <w:tc>
          <w:tcPr>
            <w:tcW w:w="2400" w:type="dxa"/>
          </w:tcPr>
          <w:p>
            <w:r>
              <w:t xml:space="preserve"/>
            </w:r>
          </w:p>
        </w:tc>
      </w:tr>
      <w:tr>
        <w:tc>
          <w:tcPr>
            <w:tcW w:w="2400" w:type="dxa"/>
          </w:tcPr>
          <w:p>
            <w:r>
              <w:t xml:space="preserve">3520</w:t>
            </w:r>
          </w:p>
        </w:tc>
        <w:tc>
          <w:tcPr>
            <w:tcW w:w="2400" w:type="dxa"/>
          </w:tcPr>
          <w:p>
            <w:r>
              <w:t xml:space="preserve">Request #3520 ? The City of Lima wants to organize a voluntary local review and requested support from DESA.</w:t>
            </w:r>
          </w:p>
        </w:tc>
        <w:tc>
          <w:tcPr>
            <w:tcW w:w="2400" w:type="dxa"/>
          </w:tcPr>
          <w:p>
            <w:r>
              <w:t xml:space="preserve">Completed</w:t>
            </w:r>
          </w:p>
        </w:tc>
        <w:tc>
          <w:tcPr>
            <w:tcW w:w="2400" w:type="dxa"/>
          </w:tcPr>
          <w:p>
            <w:r>
              <w:t xml:space="preserve">Division for Sustainable Development Goals</w:t>
            </w:r>
          </w:p>
        </w:tc>
        <w:tc>
          <w:tcPr>
            <w:tcW w:w="2400" w:type="dxa"/>
          </w:tcPr>
          <w:p>
            <w:r>
              <w:t xml:space="preserve">11 Feb 2021</w:t>
            </w:r>
          </w:p>
        </w:tc>
        <w:tc>
          <w:tcPr>
            <w:tcW w:w="2400" w:type="dxa"/>
          </w:tcPr>
          <w:p>
            <w:r>
              <w:t xml:space="preserve">11 Feb 2021</w:t>
            </w:r>
          </w:p>
        </w:tc>
        <w:tc>
          <w:tcPr>
            <w:tcW w:w="2400" w:type="dxa"/>
          </w:tcPr>
          <w:p>
            <w:r>
              <w:t xml:space="preserve">31 Mar 2021</w:t>
            </w:r>
          </w:p>
        </w:tc>
        <w:tc>
          <w:tcPr>
            <w:tcW w:w="2400" w:type="dxa"/>
          </w:tcPr>
          <w:p>
            <w:r>
              <w:t xml:space="preserve">Gabriela Elgegren Vasquez | gabriela.elgegren@undp.org</w:t>
            </w:r>
          </w:p>
        </w:tc>
        <w:tc>
          <w:tcPr>
            <w:tcW w:w="2400" w:type="dxa"/>
          </w:tcPr>
          <w:p>
            <w:r>
              <w:t xml:space="preserve">The City of Lima wants to organize a voluntary local review and requested support from DESA.</w:t>
            </w:r>
          </w:p>
        </w:tc>
        <w:tc>
          <w:tcPr>
            <w:tcW w:w="2400" w:type="dxa"/>
          </w:tcPr>
          <w:p>
            <w:r>
              <w:t xml:space="preserve"/>
            </w:r>
          </w:p>
        </w:tc>
      </w:tr>
      <w:tr>
        <w:tc>
          <w:tcPr>
            <w:tcW w:w="2400" w:type="dxa"/>
          </w:tcPr>
          <w:p>
            <w:r>
              <w:t xml:space="preserve">3441</w:t>
            </w:r>
          </w:p>
        </w:tc>
        <w:tc>
          <w:tcPr>
            <w:tcW w:w="2400" w:type="dxa"/>
          </w:tcPr>
          <w:p>
            <w:r>
              <w:t xml:space="preserve">Request #3441 ? Joint DESA-ECLAC initiative.   Responding to a request from UN ECLAC on behalf of member states for training in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19 Oct 2019</w:t>
            </w:r>
          </w:p>
        </w:tc>
        <w:tc>
          <w:tcPr>
            <w:tcW w:w="2400" w:type="dxa"/>
          </w:tcPr>
          <w:p>
            <w:r>
              <w:t xml:space="preserve">25 Nov 2019</w:t>
            </w:r>
          </w:p>
        </w:tc>
        <w:tc>
          <w:tcPr>
            <w:tcW w:w="2400" w:type="dxa"/>
          </w:tcPr>
          <w:p>
            <w:r>
              <w:t xml:space="preserve">27 Nov 2019</w:t>
            </w:r>
          </w:p>
        </w:tc>
        <w:tc>
          <w:tcPr>
            <w:tcW w:w="2400" w:type="dxa"/>
          </w:tcPr>
          <w:p>
            <w:r>
              <w:t xml:space="preserve">Mr. Paulo Saad | paulo.saad@un.org</w:t>
            </w:r>
          </w:p>
        </w:tc>
        <w:tc>
          <w:tcPr>
            <w:tcW w:w="2400" w:type="dxa"/>
          </w:tcPr>
          <w:p>
            <w:r>
              <w:t xml:space="preserve">Joint DESA-ECLAC initiative.   Responding to a request from UN ECLAC on behalf of member states for training in forecasting the economic and fiscal impacts of population ageing.</w:t>
            </w:r>
          </w:p>
        </w:tc>
        <w:tc>
          <w:tcPr>
            <w:tcW w:w="2400" w:type="dxa"/>
          </w:tcPr>
          <w:p>
            <w:r>
              <w:t xml:space="preserve"/>
            </w:r>
          </w:p>
        </w:tc>
      </w:tr>
      <w:tr>
        <w:tc>
          <w:tcPr>
            <w:tcW w:w="2400" w:type="dxa"/>
          </w:tcPr>
          <w:p>
            <w:r>
              <w:t xml:space="preserve">3435</w:t>
            </w:r>
          </w:p>
        </w:tc>
        <w:tc>
          <w:tcPr>
            <w:tcW w:w="2400" w:type="dxa"/>
          </w:tcPr>
          <w:p>
            <w:r>
              <w:t xml:space="preserve">Request #3435 ? Joint DESA-ECLAC initiative in support of the Madrid International Plan of Action on Ageing (MIPAA).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23 May 2019</w:t>
            </w:r>
          </w:p>
        </w:tc>
        <w:tc>
          <w:tcPr>
            <w:tcW w:w="2400" w:type="dxa"/>
          </w:tcPr>
          <w:p>
            <w:r>
              <w:t xml:space="preserve">09 Sept 2019</w:t>
            </w:r>
          </w:p>
        </w:tc>
        <w:tc>
          <w:tcPr>
            <w:tcW w:w="2400" w:type="dxa"/>
          </w:tcPr>
          <w:p>
            <w:r>
              <w:t xml:space="preserve">11 Sept 2019</w:t>
            </w:r>
          </w:p>
        </w:tc>
        <w:tc>
          <w:tcPr>
            <w:tcW w:w="2400" w:type="dxa"/>
          </w:tcPr>
          <w:p>
            <w:r>
              <w:t xml:space="preserve">Mr. Paulo Saad | paulo.saad@un.org</w:t>
            </w:r>
          </w:p>
        </w:tc>
        <w:tc>
          <w:tcPr>
            <w:tcW w:w="2400" w:type="dxa"/>
          </w:tcPr>
          <w:p>
            <w:r>
              <w:t xml:space="preserve">Joint DESA-ECLAC initiative in support of the Madrid International Plan of Action on Ageing (MIPAA). Held training workshop on forecasting the national economic and fiscal impacts of population ageing.</w:t>
            </w:r>
          </w:p>
        </w:tc>
        <w:tc>
          <w:tcPr>
            <w:tcW w:w="2400" w:type="dxa"/>
          </w:tcPr>
          <w:p>
            <w:r>
              <w:t xml:space="preserve"/>
            </w:r>
          </w:p>
        </w:tc>
      </w:tr>
      <w:tr>
        <w:tc>
          <w:tcPr>
            <w:tcW w:w="2400" w:type="dxa"/>
          </w:tcPr>
          <w:p>
            <w:r>
              <w:t xml:space="preserve">2747</w:t>
            </w:r>
          </w:p>
        </w:tc>
        <w:tc>
          <w:tcPr>
            <w:tcW w:w="2400" w:type="dxa"/>
          </w:tcPr>
          <w:p>
            <w:r>
              <w:t xml:space="preserve">Request #2747 ? Financial support from the GFFFN such as access existing and new financing mechanisms such as the Green Climate Fund</w:t>
            </w:r>
          </w:p>
        </w:tc>
        <w:tc>
          <w:tcPr>
            <w:tcW w:w="2400" w:type="dxa"/>
          </w:tcPr>
          <w:p>
            <w:r>
              <w:t xml:space="preserve">Completed</w:t>
            </w:r>
          </w:p>
        </w:tc>
        <w:tc>
          <w:tcPr>
            <w:tcW w:w="2400" w:type="dxa"/>
          </w:tcPr>
          <w:p>
            <w:r>
              <w:t xml:space="preserve">United Nations Forum on Forest</w:t>
            </w:r>
          </w:p>
        </w:tc>
        <w:tc>
          <w:tcPr>
            <w:tcW w:w="2400" w:type="dxa"/>
          </w:tcPr>
          <w:p>
            <w:r>
              <w:t xml:space="preserve">09 May 2018</w:t>
            </w:r>
          </w:p>
        </w:tc>
        <w:tc>
          <w:tcPr>
            <w:tcW w:w="2400" w:type="dxa"/>
          </w:tcPr>
          <w:p>
            <w:r>
              <w:t xml:space="preserve"/>
            </w:r>
          </w:p>
        </w:tc>
        <w:tc>
          <w:tcPr>
            <w:tcW w:w="2400" w:type="dxa"/>
          </w:tcPr>
          <w:p>
            <w:r>
              <w:t xml:space="preserve">12 Dec 2024</w:t>
            </w:r>
          </w:p>
        </w:tc>
        <w:tc>
          <w:tcPr>
            <w:tcW w:w="2400" w:type="dxa"/>
          </w:tcPr>
          <w:p>
            <w:r>
              <w:t xml:space="preserve">Gustavo Eduardo Mostajo Ocola | cynga@serfor.gob.pe</w:t>
            </w:r>
          </w:p>
        </w:tc>
        <w:tc>
          <w:tcPr>
            <w:tcW w:w="2400" w:type="dxa"/>
          </w:tcPr>
          <w:p>
            <w:r>
              <w:t xml:space="preserve">Financial support from the GFFFN such as access existing and new financing mechanisms such as the Green Climate Fund</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0002088809 - Peru</w:t>
            </w:r>
          </w:p>
        </w:tc>
        <w:tc>
          <w:tcPr>
            <w:tcW w:w="2400" w:type="dxa"/>
          </w:tcPr>
          <w:p>
            <w:r>
              <w:t xml:space="preserve">0002088809</w:t>
            </w:r>
          </w:p>
        </w:tc>
        <w:tc>
          <w:tcPr>
            <w:tcW w:w="2400" w:type="dxa"/>
          </w:tcPr>
          <w:p>
            <w:r>
              <w:t xml:space="preserve">Past</w:t>
            </w:r>
          </w:p>
        </w:tc>
        <w:tc>
          <w:tcPr>
            <w:tcW w:w="2400" w:type="dxa"/>
          </w:tcPr>
          <w:p>
            <w:r>
              <w:t xml:space="preserve">Peru</w:t>
            </w:r>
          </w:p>
        </w:tc>
        <w:tc>
          <w:tcPr>
            <w:tcW w:w="2400" w:type="dxa"/>
          </w:tcPr>
          <w:p>
            <w:r>
              <w:t xml:space="preserve"/>
            </w:r>
          </w:p>
        </w:tc>
        <w:tc>
          <w:tcPr>
            <w:tcW w:w="2400" w:type="dxa"/>
          </w:tcPr>
          <w:p>
            <w:r>
              <w:t xml:space="preserve">DIVISION FOR INCLUSIVE SOCIAL DEVELOPMENT</w:t>
            </w:r>
          </w:p>
        </w:tc>
        <w:tc>
          <w:tcPr>
            <w:tcW w:w="2400" w:type="dxa"/>
          </w:tcPr>
          <w:p>
            <w:r>
              <w:t xml:space="preserve">DISD/XB_TO ATTEND COMMEMORATIVE EVENT 25TH ANNIVERSARY FIMI</w:t>
            </w:r>
          </w:p>
        </w:tc>
        <w:tc>
          <w:tcPr>
            <w:tcW w:w="2400" w:type="dxa"/>
          </w:tcPr>
          <w:p>
            <w:r>
              <w:t xml:space="preserve"/>
            </w:r>
          </w:p>
        </w:tc>
        <w:tc>
          <w:tcPr>
            <w:tcW w:w="2400" w:type="dxa"/>
          </w:tcPr>
          <w:p>
            <w:r>
              <w:t xml:space="preserve">19 Jun 2025</w:t>
            </w:r>
          </w:p>
        </w:tc>
        <w:tc>
          <w:tcPr>
            <w:tcW w:w="2400" w:type="dxa"/>
          </w:tcPr>
          <w:p>
            <w:r>
              <w:t xml:space="preserve">23 Jun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National Capacities for Unleashing Full Potentials of Micro-, Small and Medium-sized Enterprises (MSMEs) in Achieving the SDGs in Developing Countries</w:t>
            </w:r>
          </w:p>
        </w:tc>
        <w:tc>
          <w:tcPr>
            <w:tcW w:w="2400" w:type="dxa"/>
          </w:tcPr>
          <w:p>
            <w:r>
              <w:t xml:space="preserve">2021</w:t>
            </w:r>
          </w:p>
        </w:tc>
        <w:tc>
          <w:tcPr>
            <w:tcW w:w="2400" w:type="dxa"/>
          </w:tcPr>
          <w:p>
            <w:r>
              <w:t xml:space="preserve">DSDG; CDPMO</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 Build on the momentum and lessons from this Project in the design of a follow-on project. / - Ensure engagement at the senior policy level at project commencement and maintain or renew engagement as required to avoid loss of momentum. / - Include assistance for network mapping, activation, and strengthening in each country, with a project contacts database to support ongoing engagement. / - Invest in establishing and expanding the knowledge management aspects of the Project, including improved logical frameworks, performance indicators, and strengthened monitoring systems. / - Support critical pilot sub-projects with potential for both policy and inclusive MSME sector impact, ensuring sufficient resources and targeted technical support for implementation and scaling up.</w:t>
            </w:r>
          </w:p>
        </w:tc>
        <w:tc>
          <w:tcPr>
            <w:tcW w:w="2400" w:type="dxa"/>
          </w:tcPr>
          <w:p>
            <w:r>
              <w:t xml:space="preserve">- The Project entry point at a senior policy level activates national coordination and prioritization. / - A targeted, meso-level approach towards programming contributes towards a stronger MSME enabling environment. / - Active engagement and networking opportunities contribute to immediate and longer-term results, but contacts must be retained to maintain momentum. / - A flexible approach helps to optimize results, allowing activities to be adjusted to local context and requirements. / - National consultants and credible focal points in key ministries are important drivers of success.</w:t>
            </w:r>
          </w:p>
        </w:tc>
        <w:tc>
          <w:tcPr>
            <w:tcW w:w="2400" w:type="dxa"/>
          </w:tcPr>
          <w:p>
            <w:r>
              <w:t xml:space="preserve">https://unitednations.sharepoint.com/sites/DESA-CDPMO/Shared Documents/General/6. Peace and Development TF/8. Funded projects/Evaluations_Fin. Rep/2022_PDF-SDG-2016-04_Eval_DSDG_17Mar22.docx</w:t>
            </w:r>
          </w:p>
        </w:tc>
        <w:tc>
          <w:tcPr>
            <w:tcW w:w="2400" w:type="dxa"/>
          </w:tcPr>
          <w:p>
            <w:r>
              <w:t xml:space="preserve">Country standardized: 'Sri Lanka' -&gt; 'Democratic Socialist Republic of Sri Lanka'. / Country standardized: 'Tanzania' -&gt; 'United Republic of Tanzania'. / Country standardized: 'The Gambia' -&gt; 'Gambia'.</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 / 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 / evaluations.xlsx rows 65 (archived) and 3 (retained): Review conflicts: LessonsLearnedList differs between document copies. Country lists were not merged. / 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Monitoring Progress towards Sustainable Forest Management (2016-2019)</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DESA/Evaluation reports/10th tranche/UNFF/UNFF Project Evaluation Report_24Dec2019.docx</w:t>
            </w:r>
          </w:p>
        </w:tc>
        <w:tc>
          <w:tcPr>
            <w:tcW w:w="2400" w:type="dxa"/>
          </w:tcPr>
          <w:p>
            <w:r>
              <w:t xml:space="preserve"/>
            </w:r>
          </w:p>
        </w:tc>
        <w:tc>
          <w:tcPr>
            <w:tcW w:w="2400" w:type="dxa"/>
          </w:tcPr>
          <w:p>
            <w:r>
              <w:t xml:space="preserve"/>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Developing Countries Measure Progress towards Achieving a Green Economy</w:t>
            </w:r>
          </w:p>
        </w:tc>
        <w:tc>
          <w:tcPr>
            <w:tcW w:w="2400" w:type="dxa"/>
          </w:tcPr>
          <w:p>
            <w:r>
              <w:t xml:space="preserve">2016</w:t>
            </w:r>
          </w:p>
        </w:tc>
        <w:tc>
          <w:tcPr>
            <w:tcW w:w="2400" w:type="dxa"/>
          </w:tcPr>
          <w:p>
            <w:r>
              <w:t xml:space="preserve">UNSD</w:t>
            </w:r>
          </w:p>
        </w:tc>
        <w:tc>
          <w:tcPr>
            <w:tcW w:w="2400" w:type="dxa"/>
          </w:tcPr>
          <w:p>
            <w:r>
              <w:t xml:space="preserve">Bhutan, Chile, Colombia, Ecuador, Malaysia, Mongolia, Peru, Viet Nam</w:t>
            </w:r>
          </w:p>
        </w:tc>
        <w:tc>
          <w:tcPr>
            <w:tcW w:w="2400" w:type="dxa"/>
          </w:tcPr>
          <w:p>
            <w:r>
              <w:t xml:space="preserve">- Replicate the high rate of women's participation in workshops in other DESA projects. / - Avoid reducing project budgets after implementation has started; DESA Development Account Project Management Team in CDO should establish systems to prevent this. / - Highlight project results at the annual meetings of the High-Level Political Forum on Sustainable Development to publicize DESA/SD's work and engage policy makers. / - For future projects, consider engaging more consultants to match the number of project countries, to encourage wider sharing of ideas and innovative thinking. / - Promote stronger links between green economy indicators and indicators useful for follow-up of the SDGs and the 2030 Agenda for Sustainable Development.</w:t>
            </w:r>
          </w:p>
        </w:tc>
        <w:tc>
          <w:tcPr>
            <w:tcW w:w="2400" w:type="dxa"/>
          </w:tcPr>
          <w:p>
            <w:r>
              <w:t xml:space="preserve">- Workshops in all phases of the project were effective for knowledge sharing and experience exchange; future workshops should continue to emphasize this. / - Resource persons from DESA/SD, regional commissions, UN agencies, and other organizations contributed significantly to workshop quality. / - Involvement of regional commissions and other UN agencies contributed to both project success and sustainability of outcomes. / - The project strengthened regional networks of statisticians, increased intra-institutional and intra-regional cooperation, and raised the national profile of statistics. / - Using only one consultant for all technical assistance missions may have limited inter-regional experience sharing; involving more consultants could enrich interventions. / - Pairing resource countries with pilot countries facilitated knowledge sharing and is a best practice to replicate. / - Involving regional specialized agencies added value by providing technical assistance and supporting sustainability. / - Designating focal points in pilot countries to coordinate inputs and participation was productive and should be emulated in similar projects.</w:t>
            </w:r>
          </w:p>
        </w:tc>
        <w:tc>
          <w:tcPr>
            <w:tcW w:w="2400" w:type="dxa"/>
          </w:tcPr>
          <w:p>
            <w:r>
              <w:t xml:space="preserve">https://unitednations.sharepoint.com/sites/DESA-CDPMO/Shared Documents/General/3. Finance Management/5 - DEVELOPMENT ACCOUNT/DA - DESA/03 PROJECTS - CLOSED/SD/ROA 211 - 8th tranche - Green Economy/Evaluation/Evaluation report/DA_GreenEcon_proj_eval_10Oct2016 R1.pdf</w:t>
            </w:r>
          </w:p>
        </w:tc>
        <w:tc>
          <w:tcPr>
            <w:tcW w:w="2400" w:type="dxa"/>
          </w:tcPr>
          <w:p>
            <w:r>
              <w:t xml:space="preserve"/>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This should be a lesson to apply in designing future projects with similar themes.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as was evident in this project,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DESA/03 PROJECTS - CLOSED/FF/1617F SB-006014 10th tranche - Monitoring of Sus For Mgmt/Final evaluation/Report/UNFF Project Evaluation Report_24Dec2019.docx.pdf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65 (archived) and 3 (retained): Review conflicts: LessonsLearnedList differs between document copies. Country lists were not merged.</w:t>
            </w:r>
          </w:p>
        </w:tc>
      </w:tr>
      <w:tr>
        <w:tc>
          <w:tcPr>
            <w:tcW w:w="2400" w:type="dxa"/>
          </w:tcPr>
          <w:p>
            <w:r>
              <w:t xml:space="preserve">8</w:t>
            </w:r>
          </w:p>
        </w:tc>
        <w:tc>
          <w:tcPr>
            <w:tcW w:w="2400" w:type="dxa"/>
          </w:tcPr>
          <w:p>
            <w:r>
              <w:t xml:space="preserve">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'SB-001376.99.99.32|row:49': 'f_cashGov' has non-numeric value 'N/A'.</w:t>
            </w:r>
          </w:p>
        </w:tc>
      </w:tr>
      <w:tr>
        <w:tc>
          <w:tcPr>
            <w:tcW w:w="2400" w:type="dxa"/>
          </w:tcPr>
          <w:p>
            <w:r>
              <w:t xml:space="preserve">11</w:t>
            </w:r>
          </w:p>
        </w:tc>
        <w:tc>
          <w:tcPr>
            <w:tcW w:w="2400" w:type="dxa"/>
          </w:tcPr>
          <w:p>
            <w:r>
              <w:t xml:space="preserve">proposals.xlsx record 'SB-001376.99.99.32|row:49': 'f_cashOther' has non-numeric value 'N/A'.</w:t>
            </w:r>
          </w:p>
        </w:tc>
      </w:tr>
      <w:tr>
        <w:tc>
          <w:tcPr>
            <w:tcW w:w="2400" w:type="dxa"/>
          </w:tcPr>
          <w:p>
            <w:r>
              <w:t xml:space="preserve">12</w:t>
            </w:r>
          </w:p>
        </w:tc>
        <w:tc>
          <w:tcPr>
            <w:tcW w:w="2400" w:type="dxa"/>
          </w:tcPr>
          <w:p>
            <w:r>
              <w:t xml:space="preserve">proposals.xlsx record 'SB-001376.99.99.39|row:74': 'costConferenceServices' has non-numeric value '0||0||$'.</w:t>
            </w:r>
          </w:p>
        </w:tc>
      </w:tr>
      <w:tr>
        <w:tc>
          <w:tcPr>
            <w:tcW w:w="2400" w:type="dxa"/>
          </w:tcPr>
          <w:p>
            <w:r>
              <w:t xml:space="preserve">13</w:t>
            </w:r>
          </w:p>
        </w:tc>
        <w:tc>
          <w:tcPr>
            <w:tcW w:w="2400" w:type="dxa"/>
          </w:tcPr>
          <w:p>
            <w:r>
              <w:t xml:space="preserve">proposals.xlsx record 'SB-001376.99.99.39|row:74': 'costTravelConsultants' has non-numeric value '4,098||4,098||$'.</w:t>
            </w:r>
          </w:p>
        </w:tc>
      </w:tr>
      <w:tr>
        <w:tc>
          <w:tcPr>
            <w:tcW w:w="2400" w:type="dxa"/>
          </w:tcPr>
          <w:p>
            <w:r>
              <w:t xml:space="preserve">14</w:t>
            </w:r>
          </w:p>
        </w:tc>
        <w:tc>
          <w:tcPr>
            <w:tcW w:w="2400" w:type="dxa"/>
          </w:tcPr>
          <w:p>
            <w:r>
              <w:t xml:space="preserve">proposals.xlsx record 'SB-001376.99.99.39|row:74': 'costTravelParticipants' has non-numeric value '0||0||$'.</w:t>
            </w:r>
          </w:p>
        </w:tc>
      </w:tr>
      <w:tr>
        <w:tc>
          <w:tcPr>
            <w:tcW w:w="2400" w:type="dxa"/>
          </w:tcPr>
          <w:p>
            <w:r>
              <w:t xml:space="preserve">15</w:t>
            </w:r>
          </w:p>
        </w:tc>
        <w:tc>
          <w:tcPr>
            <w:tcW w:w="2400" w:type="dxa"/>
          </w:tcPr>
          <w:p>
            <w:r>
              <w:t xml:space="preserve">proposals.xlsx record 'SB-001376.99.99.39|row:74': 'costTravelStaff' has non-numeric value '2,701||2,701||$'.</w:t>
            </w:r>
          </w:p>
        </w:tc>
      </w:tr>
      <w:tr>
        <w:tc>
          <w:tcPr>
            <w:tcW w:w="2400" w:type="dxa"/>
          </w:tcPr>
          <w:p>
            <w:r>
              <w:t xml:space="preserve">16</w:t>
            </w:r>
          </w:p>
        </w:tc>
        <w:tc>
          <w:tcPr>
            <w:tcW w:w="2400" w:type="dxa"/>
          </w:tcPr>
          <w:p>
            <w:r>
              <w:t xml:space="preserve">proposals.xlsx record 'SB-001376.99.99.39|row:74': 'f_cashDESA' has non-numeric value 'US$ 6,799'.</w:t>
            </w:r>
          </w:p>
        </w:tc>
      </w:tr>
      <w:tr>
        <w:tc>
          <w:tcPr>
            <w:tcW w:w="2400" w:type="dxa"/>
          </w:tcPr>
          <w:p>
            <w:r>
              <w:t xml:space="preserve">17</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18</w:t>
            </w:r>
          </w:p>
        </w:tc>
        <w:tc>
          <w:tcPr>
            <w:tcW w:w="2400" w:type="dxa"/>
          </w:tcPr>
          <w:p>
            <w:r>
              <w:t xml:space="preserve">proposals.xlsx record 'SB-001380.92|row:48': 'f_cashGov' has non-numeric value 'N/A'.</w:t>
            </w:r>
          </w:p>
        </w:tc>
      </w:tr>
      <w:tr>
        <w:tc>
          <w:tcPr>
            <w:tcW w:w="2400" w:type="dxa"/>
          </w:tcPr>
          <w:p>
            <w:r>
              <w:t xml:space="preserve">19</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20</w:t>
            </w:r>
          </w:p>
        </w:tc>
        <w:tc>
          <w:tcPr>
            <w:tcW w:w="2400" w:type="dxa"/>
          </w:tcPr>
          <w:p>
            <w:r>
              <w:t xml:space="preserve">proposals.xlsx record 'SB-001380.92|row:48': 'Total Budget' is blank.</w:t>
            </w:r>
          </w:p>
        </w:tc>
      </w:tr>
      <w:tr>
        <w:tc>
          <w:tcPr>
            <w:tcW w:w="2400" w:type="dxa"/>
          </w:tcPr>
          <w:p>
            <w:r>
              <w:t xml:space="preserve">21</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22</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23</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24</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25</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26</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28</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30</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32</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33</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34</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35</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38</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39</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40</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41</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42</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43</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44</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45</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46</w:t>
            </w:r>
          </w:p>
        </w:tc>
        <w:tc>
          <w:tcPr>
            <w:tcW w:w="2400" w:type="dxa"/>
          </w:tcPr>
          <w:p>
            <w:r>
              <w:t xml:space="preserve">Resolved - Action: duplicate evaluation at evaluations.xlsx row 306 removed; retained row 297 ().</w:t>
            </w:r>
          </w:p>
        </w:tc>
      </w:tr>
      <w:tr>
        <w:tc>
          <w:tcPr>
            <w:tcW w:w="2400" w:type="dxa"/>
          </w:tcPr>
          <w:p>
            <w:r>
              <w:t xml:space="preserve">47</w:t>
            </w:r>
          </w:p>
        </w:tc>
        <w:tc>
          <w:tcPr>
            <w:tcW w:w="2400" w:type="dxa"/>
          </w:tcPr>
          <w:p>
            <w:r>
              <w:t xml:space="preserve">Resolved - Action: duplicate evaluation at evaluations.xlsx row 332 removed; retained row 302 ().</w:t>
            </w:r>
          </w:p>
        </w:tc>
      </w:tr>
      <w:tr>
        <w:tc>
          <w:tcPr>
            <w:tcW w:w="2400" w:type="dxa"/>
          </w:tcPr>
          <w:p>
            <w:r>
              <w:t xml:space="preserve">48</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49</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50</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51</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52</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53</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54</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55</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56</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57</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58</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59</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60</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61</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62</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63</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64</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65</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66</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67</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