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Paraguay</w:t>
      </w:r>
    </w:p>
    <w:p>
      <w:r>
        <w:rPr>
          <w:sz w:val="20"/>
          <w:color w:val="4B5563"/>
        </w:rPr>
        <w:t xml:space="preserve">Americas | LLDC</w:t>
      </w:r>
    </w:p>
    <w:p>
      <w:r>
        <w:rPr>
          <w:sz w:val="20"/>
          <w:color w:val="4B5563"/>
        </w:rPr>
        <w:t xml:space="preserve">Exported 05 Oct 2026, 14:20 | Snapshot 03 Oct 2026, 21:47 GMT-4</w:t>
      </w:r>
    </w:p>
    <w:p>
      <w:r>
        <w:rPr>
          <w:b/>
          <w:sz w:val="28"/>
          <w:color w:val="174A7C"/>
        </w:rPr>
        <w:t xml:space="preserve">Summary</w:t>
      </w:r>
    </w:p>
    <w:p>
      <w:r>
        <w:t xml:space="preserve">Paraguay is presented in this country card as part of Americas, with Paraguay also associated with an unspecified subregion and the LLDC grouping. The filtered data for Paraguay highlights 3 projects for Paraguay, including 0 active or planned projects for Paraguay and 3 completed or closed projects for Paraguay.</w:t>
      </w:r>
    </w:p>
    <w:p>
      <w:r>
        <w:t xml:space="preserve">For Paraguay, the report includes 13 requests for Paraguay, 3 RPTC proposals for Paraguay, 2 RPTC activities for Paraguay, and 0 travel records for Paraguay. Financially, Paraguay shows USD 1,742,000 in project budget, $93,897 in proposal planned budget, and $201,588 in consumed RPTC activity budget for Paraguay.</w:t>
      </w:r>
    </w:p>
    <w:p>
      <w:r>
        <w:t xml:space="preserve">The main organizational coverage for Paraguay points to Division for Inclusive Social Development, Division for Sustainable Development Goals, Financing for Sustainable Development Office, FSDO. Activity records for Paraguay list 1,381 participants, including 709 women participants, the current quality review for Paraguay includes 61 data quality notes. Current highlights for Paraguay include a request focus for Paraguay: 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w:t>
      </w:r>
      <w:r>
        <w:br/>
        <w:t xml:space="preserve"/>
      </w:r>
      <w:r>
        <w:br/>
        <w:t xml:space="preserve"/>
      </w:r>
      <w:r>
        <w:br/>
        <w:t xml:space="preserve"/>
      </w:r>
      <w:r>
        <w:br/>
        <w:t xml:space="preserve">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w:t>
      </w:r>
      <w:r>
        <w:br/>
        <w:t xml:space="preserve"/>
      </w:r>
      <w:r>
        <w:br/>
        <w:t xml:space="preserve"/>
      </w:r>
      <w:r>
        <w:br/>
        <w:t xml:space="preserve"/>
      </w:r>
      <w:r>
        <w:br/>
        <w:t xml:space="preserve">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w:t>
      </w:r>
      <w:r>
        <w:br/>
        <w:t xml:space="preserve"/>
      </w:r>
      <w:r>
        <w:br/>
        <w:t xml:space="preserve"/>
      </w:r>
      <w:r>
        <w:br/>
        <w:t xml:space="preserve"/>
      </w:r>
      <w:r>
        <w:br/>
        <w:t xml:space="preserve">ALADI requested capacity-building and/or technical-assistance on MSITS 2026 for its Member States in an e-mail sent directly to DESA staff. </w:t>
      </w:r>
      <w:r>
        <w:br/>
        <w:t xml:space="preserve"/>
      </w:r>
      <w:r>
        <w:br/>
        <w:t xml:space="preserve"/>
      </w:r>
      <w:r>
        <w:br/>
        <w:t xml:space="preserve"/>
      </w:r>
      <w:r>
        <w:br/>
        <w:t xml:space="preserve">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w:t>
      </w:r>
      <w:r>
        <w:br/>
        <w:t xml:space="preserve"/>
      </w:r>
      <w:r>
        <w:br/>
        <w:t xml:space="preserve"/>
      </w:r>
      <w:r>
        <w:br/>
        <w:t xml:space="preserve"/>
      </w:r>
      <w:r>
        <w:br/>
        <w:t xml:space="preserve">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 an RPTC proposal focus for Paraguay: Peer-to-peer Learning Workshops for the Network of National Focal Points on Financing for Development; an activity focus for Paraguay: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3</w:t>
            </w:r>
          </w:p>
        </w:tc>
      </w:tr>
      <w:tr>
        <w:tc>
          <w:tcPr>
            <w:tcW w:w="2400" w:type="dxa"/>
          </w:tcPr>
          <w:p>
            <w:r>
              <w:t xml:space="preserve">Project budget</w:t>
            </w:r>
          </w:p>
        </w:tc>
        <w:tc>
          <w:tcPr>
            <w:tcW w:w="2400" w:type="dxa"/>
          </w:tcPr>
          <w:p>
            <w:r>
              <w:t xml:space="preserve">USD 1,742,000</w:t>
            </w:r>
          </w:p>
        </w:tc>
      </w:tr>
      <w:tr>
        <w:tc>
          <w:tcPr>
            <w:tcW w:w="2400" w:type="dxa"/>
          </w:tcPr>
          <w:p>
            <w:r>
              <w:t xml:space="preserve">Requests</w:t>
            </w:r>
          </w:p>
        </w:tc>
        <w:tc>
          <w:tcPr>
            <w:tcW w:w="2400" w:type="dxa"/>
          </w:tcPr>
          <w:p>
            <w:r>
              <w:t xml:space="preserve">13</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$93,897</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5</w:t>
            </w:r>
          </w:p>
        </w:tc>
      </w:tr>
      <w:tr>
        <w:tc>
          <w:tcPr>
            <w:tcW w:w="2400" w:type="dxa"/>
          </w:tcPr>
          <w:p>
            <w:r>
              <w:t xml:space="preserve">Data quality notes</w:t>
            </w:r>
          </w:p>
        </w:tc>
        <w:tc>
          <w:tcPr>
            <w:tcW w:w="2400" w:type="dxa"/>
          </w:tcPr>
          <w:p>
            <w:r>
              <w:t xml:space="preserve">61</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Improved local and national government capacities for localizing SDGs progress through Voluntary Local Reviews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Jun 2022</w:t>
            </w:r>
          </w:p>
        </w:tc>
        <w:tc>
          <w:tcPr>
            <w:tcW w:w="2400" w:type="dxa"/>
          </w:tcPr>
          <w:p>
            <w:r>
              <w:t xml:space="preserve">31 Dec 2024</w:t>
            </w:r>
          </w:p>
        </w:tc>
        <w:tc>
          <w:tcPr>
            <w:tcW w:w="2400" w:type="dxa"/>
          </w:tcPr>
          <w:p>
            <w:r>
              <w:t xml:space="preserve">USD 750,000</w:t>
            </w:r>
          </w:p>
        </w:tc>
        <w:tc>
          <w:tcPr>
            <w:tcW w:w="2400" w:type="dxa"/>
          </w:tcPr>
          <w:p>
            <w:r>
              <w:t xml:space="preserve">Argentina, Bolivia (Plurinational State of), Mozambique, Paraguay, Zimbabwe</w:t>
            </w:r>
          </w:p>
        </w:tc>
        <w:tc>
          <w:tcPr>
            <w:tcW w:w="2400" w:type="dxa"/>
          </w:tcPr>
          <w:p>
            <w:r>
              <w:t xml:space="preserve"/>
            </w:r>
          </w:p>
        </w:tc>
      </w:tr>
      <w:tr>
        <w:tc>
          <w:tcPr>
            <w:tcW w:w="2400" w:type="dxa"/>
          </w:tcPr>
          <w:p>
            <w:r>
              <w:t xml:space="preserve">Strengthening capacity of National Tax Administrations And Ministries of Finance in developing countries to protect and broaden their tax base for financing of sustainable development</w:t>
            </w:r>
          </w:p>
        </w:tc>
        <w:tc>
          <w:tcPr>
            <w:tcW w:w="2400" w:type="dxa"/>
          </w:tcPr>
          <w:p>
            <w:r>
              <w:t xml:space="preserve">1415AV</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14 May 2020</w:t>
            </w:r>
          </w:p>
        </w:tc>
        <w:tc>
          <w:tcPr>
            <w:tcW w:w="2400" w:type="dxa"/>
          </w:tcPr>
          <w:p>
            <w:r>
              <w:t xml:space="preserve">17 Dec 2020</w:t>
            </w:r>
          </w:p>
        </w:tc>
        <w:tc>
          <w:tcPr>
            <w:tcW w:w="2400" w:type="dxa"/>
          </w:tcPr>
          <w:p>
            <w:r>
              <w:t xml:space="preserve">USD 360,000</w:t>
            </w:r>
          </w:p>
        </w:tc>
        <w:tc>
          <w:tcPr>
            <w:tcW w:w="2400" w:type="dxa"/>
          </w:tcPr>
          <w:p>
            <w:r>
              <w:t xml:space="preserve">Angola, Dominican Republic, Panama, Paraguay, Trinidad and Tobago, United Republic of Tanzania</w:t>
            </w:r>
          </w:p>
        </w:tc>
        <w:tc>
          <w:tcPr>
            <w:tcW w:w="2400" w:type="dxa"/>
          </w:tcPr>
          <w:p>
            <w:r>
              <w:t xml:space="preserve">Country standardized: 'Tanzania' -&gt; 'United Republic of Tanzania'.</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Warnings</w:t>
            </w:r>
          </w:p>
        </w:tc>
      </w:tr>
      <w:tr>
        <w:tc>
          <w:tcPr>
            <w:tcW w:w="2400" w:type="dxa"/>
          </w:tcPr>
          <w:p>
            <w:r>
              <w:t xml:space="preserve">5567</w:t>
            </w:r>
          </w:p>
        </w:tc>
        <w:tc>
          <w:tcPr>
            <w:tcW w:w="2400" w:type="dxa"/>
          </w:tcPr>
          <w:p>
            <w:r>
              <w:t xml:space="preserve">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Dec 2026</w:t>
            </w:r>
          </w:p>
        </w:tc>
        <w:tc>
          <w:tcPr>
            <w:tcW w:w="2400" w:type="dxa"/>
          </w:tcPr>
          <w:p>
            <w:r>
              <w:t xml:space="preserve">Kimberly Bordon | kbordon@aladi.org</w:t>
            </w:r>
          </w:p>
        </w:tc>
        <w:tc>
          <w:tcPr>
            <w:tcW w:w="2400" w:type="dxa"/>
          </w:tcPr>
          <w:p>
            <w:r>
              <w:t xml:space="preserve">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
            </w:r>
          </w:p>
        </w:tc>
      </w:tr>
      <w:tr>
        <w:tc>
          <w:tcPr>
            <w:tcW w:w="2400" w:type="dxa"/>
          </w:tcPr>
          <w:p>
            <w:r>
              <w:t xml:space="preserve">5373</w:t>
            </w:r>
          </w:p>
        </w:tc>
        <w:tc>
          <w:tcPr>
            <w:tcW w:w="2400" w:type="dxa"/>
          </w:tcPr>
          <w:p>
            <w:r>
              <w:t xml:space="preserve">Request #5373 ? 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May 2026</w:t>
            </w:r>
          </w:p>
        </w:tc>
        <w:tc>
          <w:tcPr>
            <w:tcW w:w="2400" w:type="dxa"/>
          </w:tcPr>
          <w:p>
            <w:r>
              <w:t xml:space="preserve">Kimberly Bordon | kbordon@aladi.org</w:t>
            </w:r>
          </w:p>
        </w:tc>
        <w:tc>
          <w:tcPr>
            <w:tcW w:w="2400" w:type="dxa"/>
          </w:tcPr>
          <w:p>
            <w:r>
              <w:t xml:space="preserve">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
            </w:r>
          </w:p>
        </w:tc>
      </w:tr>
      <w:tr>
        <w:tc>
          <w:tcPr>
            <w:tcW w:w="2400" w:type="dxa"/>
          </w:tcPr>
          <w:p>
            <w:r>
              <w:t xml:space="preserve">5361</w:t>
            </w:r>
          </w:p>
        </w:tc>
        <w:tc>
          <w:tcPr>
            <w:tcW w:w="2400" w:type="dxa"/>
          </w:tcPr>
          <w:p>
            <w:r>
              <w:t xml:space="preserve">Request #5361 ? 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Completed</w:t>
            </w:r>
          </w:p>
        </w:tc>
        <w:tc>
          <w:tcPr>
            <w:tcW w:w="2400" w:type="dxa"/>
          </w:tcPr>
          <w:p>
            <w:r>
              <w:t xml:space="preserve">Statistics Division</w:t>
            </w:r>
          </w:p>
        </w:tc>
        <w:tc>
          <w:tcPr>
            <w:tcW w:w="2400" w:type="dxa"/>
          </w:tcPr>
          <w:p>
            <w:r>
              <w:t xml:space="preserve">13 Oct 2025</w:t>
            </w:r>
          </w:p>
        </w:tc>
        <w:tc>
          <w:tcPr>
            <w:tcW w:w="2400" w:type="dxa"/>
          </w:tcPr>
          <w:p>
            <w:r>
              <w:t xml:space="preserve">05 Nov 2025</w:t>
            </w:r>
          </w:p>
        </w:tc>
        <w:tc>
          <w:tcPr>
            <w:tcW w:w="2400" w:type="dxa"/>
          </w:tcPr>
          <w:p>
            <w:r>
              <w:t xml:space="preserve">06 Nov 2025</w:t>
            </w:r>
          </w:p>
        </w:tc>
        <w:tc>
          <w:tcPr>
            <w:tcW w:w="2400" w:type="dxa"/>
          </w:tcPr>
          <w:p>
            <w:r>
              <w:t xml:space="preserve">Abdulla Gozalov | gozalov@un.org</w:t>
            </w:r>
          </w:p>
        </w:tc>
        <w:tc>
          <w:tcPr>
            <w:tcW w:w="2400" w:type="dxa"/>
          </w:tcPr>
          <w:p>
            <w:r>
              <w:t xml:space="preserve">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
            </w:r>
          </w:p>
        </w:tc>
      </w:tr>
      <w:tr>
        <w:tc>
          <w:tcPr>
            <w:tcW w:w="2400" w:type="dxa"/>
          </w:tcPr>
          <w:p>
            <w:r>
              <w:t xml:space="preserve">5215</w:t>
            </w:r>
          </w:p>
        </w:tc>
        <w:tc>
          <w:tcPr>
            <w:tcW w:w="2400" w:type="dxa"/>
          </w:tcPr>
          <w:p>
            <w:r>
              <w:t xml:space="preserve">Request #5215 ? Support the Government of Paraguay, through the Development Finance Agency (AFD), in mobilizing private financing for SDG-aligned projects, including improving project pipelining and benefiting from meaningful participation in a future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02 Apr 2025</w:t>
            </w:r>
          </w:p>
        </w:tc>
        <w:tc>
          <w:tcPr>
            <w:tcW w:w="2400" w:type="dxa"/>
          </w:tcPr>
          <w:p>
            <w:r>
              <w:t xml:space="preserve">07 Apr 2025</w:t>
            </w:r>
          </w:p>
        </w:tc>
        <w:tc>
          <w:tcPr>
            <w:tcW w:w="2400" w:type="dxa"/>
          </w:tcPr>
          <w:p>
            <w:r>
              <w:t xml:space="preserve">04 Jul 2025</w:t>
            </w:r>
          </w:p>
        </w:tc>
        <w:tc>
          <w:tcPr>
            <w:tcW w:w="2400" w:type="dxa"/>
          </w:tcPr>
          <w:p>
            <w:r>
              <w:t xml:space="preserve">Fernando Lugo | flugo@afd.gov.py</w:t>
            </w:r>
          </w:p>
        </w:tc>
        <w:tc>
          <w:tcPr>
            <w:tcW w:w="2400" w:type="dxa"/>
          </w:tcPr>
          <w:p>
            <w:r>
              <w:t xml:space="preserve">Support the Government of Paraguay, through the Development Finance Agency (AFD), in mobilizing private financing for SDG-aligned projects, including improving project pipelining and benefiting from meaningful participation in a future SDG Investment Fair.</w:t>
            </w:r>
          </w:p>
        </w:tc>
        <w:tc>
          <w:tcPr>
            <w:tcW w:w="2400" w:type="dxa"/>
          </w:tcPr>
          <w:p>
            <w:r>
              <w:t xml:space="preserve"/>
            </w:r>
          </w:p>
        </w:tc>
      </w:tr>
      <w:tr>
        <w:tc>
          <w:tcPr>
            <w:tcW w:w="2400" w:type="dxa"/>
          </w:tcPr>
          <w:p>
            <w:r>
              <w:t xml:space="preserve">5136</w:t>
            </w:r>
          </w:p>
        </w:tc>
        <w:tc>
          <w:tcPr>
            <w:tcW w:w="2400" w:type="dxa"/>
          </w:tcPr>
          <w:p>
            <w:r>
              <w:t xml:space="preserve">Request #5136 ? 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Under consideration</w:t>
            </w:r>
          </w:p>
        </w:tc>
        <w:tc>
          <w:tcPr>
            <w:tcW w:w="2400" w:type="dxa"/>
          </w:tcPr>
          <w:p>
            <w:r>
              <w:t xml:space="preserve">Statistics Division</w:t>
            </w:r>
          </w:p>
        </w:tc>
        <w:tc>
          <w:tcPr>
            <w:tcW w:w="2400" w:type="dxa"/>
          </w:tcPr>
          <w:p>
            <w:r>
              <w:t xml:space="preserve">03 Mar 2025</w:t>
            </w:r>
          </w:p>
        </w:tc>
        <w:tc>
          <w:tcPr>
            <w:tcW w:w="2400" w:type="dxa"/>
          </w:tcPr>
          <w:p>
            <w:r>
              <w:t xml:space="preserve">17 Mar 2025</w:t>
            </w:r>
          </w:p>
        </w:tc>
        <w:tc>
          <w:tcPr>
            <w:tcW w:w="2400" w:type="dxa"/>
          </w:tcPr>
          <w:p>
            <w:r>
              <w:t xml:space="preserve">27 May 2025</w:t>
            </w:r>
          </w:p>
        </w:tc>
        <w:tc>
          <w:tcPr>
            <w:tcW w:w="2400" w:type="dxa"/>
          </w:tcPr>
          <w:p>
            <w:r>
              <w:t xml:space="preserve">Pedro Farinas | farinas@un.org</w:t>
            </w:r>
          </w:p>
        </w:tc>
        <w:tc>
          <w:tcPr>
            <w:tcW w:w="2400" w:type="dxa"/>
          </w:tcPr>
          <w:p>
            <w:r>
              <w:t xml:space="preserve">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
            </w:r>
          </w:p>
        </w:tc>
      </w:tr>
      <w:tr>
        <w:tc>
          <w:tcPr>
            <w:tcW w:w="2400" w:type="dxa"/>
          </w:tcPr>
          <w:p>
            <w:r>
              <w:t xml:space="preserve">5149</w:t>
            </w:r>
          </w:p>
        </w:tc>
        <w:tc>
          <w:tcPr>
            <w:tcW w:w="2400" w:type="dxa"/>
          </w:tcPr>
          <w:p>
            <w:r>
              <w:t xml:space="preserve">Request #5149 ? DPIDG was requested by the Latin American Center for Development Administration (CLAD) to provide support on capacity building, professionalization of cadres in the public sector, and learning between peers (networks-networks), with the aim of strengthening institutions for the achievement of the SDGs in the Region.  / The Latin American Center for Development Administration (CLAD), headquartered in Caracas, Bolivarian Republic of Venezuela, is an international public organization of an intergovernmental nature. Its creation was endorsed by the United Nations General Assembly (Resolution 2845 â€“ XXVI) with the idea of establishing a regional entity that would have as its focus the modernization of public administrations, a strategic factor in the process of economic and social development. CLADâ€™s objective is to promote the analysis and exchange of experiences and knowledge on State reform and the modernization of Public Administration, through the organization of specialized international meetings, capacity development activities, the publication of analytical research, the provision of documentation and information services, the carrying out of studies and research, and the implementation of technical cooperation activities between its member countries and other regions. CLAD represents 24 countries (19 from Latin America, 2 African countries, and 3 European ones). / Event page: https://publicadministration.desa.un.org/events/future-governance-and-new-mindsets-skills-and-competencies-implementation-sdgs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23 Dec 2024</w:t>
            </w:r>
          </w:p>
        </w:tc>
        <w:tc>
          <w:tcPr>
            <w:tcW w:w="2400" w:type="dxa"/>
          </w:tcPr>
          <w:p>
            <w:r>
              <w:t xml:space="preserve">05 Feb 2025</w:t>
            </w:r>
          </w:p>
        </w:tc>
        <w:tc>
          <w:tcPr>
            <w:tcW w:w="2400" w:type="dxa"/>
          </w:tcPr>
          <w:p>
            <w:r>
              <w:t xml:space="preserve">31 Dec 2025</w:t>
            </w:r>
          </w:p>
        </w:tc>
        <w:tc>
          <w:tcPr>
            <w:tcW w:w="2400" w:type="dxa"/>
          </w:tcPr>
          <w:p>
            <w:r>
              <w:t xml:space="preserve">Dr. Conrado Ramos | conrado.ramos@clad.org</w:t>
            </w:r>
          </w:p>
        </w:tc>
        <w:tc>
          <w:tcPr>
            <w:tcW w:w="2400" w:type="dxa"/>
          </w:tcPr>
          <w:p>
            <w:r>
              <w:t xml:space="preserve">DPIDG was requested by the Latin American Center for Development Administration (CLAD) to provide support on capacity building, professionalization of cadres in the public sector, and learning between peers (networks-networks), with the aim of strengthening institutions for the achievement of the SDGs in the Region.  / The Latin American Center for Development Administration (CLAD), headquartered in Caracas, Bolivarian Republic of Venezuela, is an international public organization of an intergovernmental nature. Its creation was endorsed by the United Nations General Assembly (Resolution 2845 â€“ XXVI) with the idea of establishing a regional entity that would have as its focus the modernization of public administrations, a strategic factor in the process of economic and social development. CLADâ€™s objective is to promote the analysis and exchange of experiences and knowledge on State reform and the modernization of Public Administration, through the organization of specialized international meetings, capacity development activities, the publication of analytical research, the provision of documentation and information services, the carrying out of studies and research, and the implementation of technical cooperation activities between its member countries and other regions. CLAD represents 24 countries (19 from Latin America, 2 African countries, and 3 European ones). / Event page: https://publicadministration.desa.un.org/events/future-governance-and-new-mindsets-skills-and-competencies-implementation-sdgs</w:t>
            </w:r>
          </w:p>
        </w:tc>
        <w:tc>
          <w:tcPr>
            <w:tcW w:w="2400" w:type="dxa"/>
          </w:tcPr>
          <w:p>
            <w:r>
              <w:t xml:space="preserve"/>
            </w:r>
          </w:p>
        </w:tc>
      </w:tr>
      <w:tr>
        <w:tc>
          <w:tcPr>
            <w:tcW w:w="2400" w:type="dxa"/>
          </w:tcPr>
          <w:p>
            <w:r>
              <w:t xml:space="preserve">5176</w:t>
            </w:r>
          </w:p>
        </w:tc>
        <w:tc>
          <w:tcPr>
            <w:tcW w:w="2400" w:type="dxa"/>
          </w:tcPr>
          <w:p>
            <w:r>
              <w:t xml:space="preserve">Request #5176 ? technical support on the documentation and revitalization of indigenous languages in Paraguay, within the framework of the International Decade on Indigenous Languages. The protection of indigenous and other threatened languages is important work that contributes to the promotion of social and cultural diversity as well as linguistic diversity.</w:t>
            </w:r>
          </w:p>
        </w:tc>
        <w:tc>
          <w:tcPr>
            <w:tcW w:w="2400" w:type="dxa"/>
          </w:tcPr>
          <w:p>
            <w:r>
              <w:t xml:space="preserve">Not fulfilled by DESA</w:t>
            </w:r>
          </w:p>
        </w:tc>
        <w:tc>
          <w:tcPr>
            <w:tcW w:w="2400" w:type="dxa"/>
          </w:tcPr>
          <w:p>
            <w:r>
              <w:t xml:space="preserve">Division for Inclusive Social Development</w:t>
            </w:r>
          </w:p>
        </w:tc>
        <w:tc>
          <w:tcPr>
            <w:tcW w:w="2400" w:type="dxa"/>
          </w:tcPr>
          <w:p>
            <w:r>
              <w:t xml:space="preserve">07 Oct 2024</w:t>
            </w:r>
          </w:p>
        </w:tc>
        <w:tc>
          <w:tcPr>
            <w:tcW w:w="2400" w:type="dxa"/>
          </w:tcPr>
          <w:p>
            <w:r>
              <w:t xml:space="preserve">01 Jan 2025</w:t>
            </w:r>
          </w:p>
        </w:tc>
        <w:tc>
          <w:tcPr>
            <w:tcW w:w="2400" w:type="dxa"/>
          </w:tcPr>
          <w:p>
            <w:r>
              <w:t xml:space="preserve">01 Jan 2024</w:t>
            </w:r>
          </w:p>
        </w:tc>
        <w:tc>
          <w:tcPr>
            <w:tcW w:w="2400" w:type="dxa"/>
          </w:tcPr>
          <w:p>
            <w:r>
              <w:t xml:space="preserve">Javier Viveros | email@un.org</w:t>
            </w:r>
          </w:p>
        </w:tc>
        <w:tc>
          <w:tcPr>
            <w:tcW w:w="2400" w:type="dxa"/>
          </w:tcPr>
          <w:p>
            <w:r>
              <w:t xml:space="preserve">technical support on the documentation and revitalization of indigenous languages in Paraguay, within the framework of the International Decade on Indigenous Languages. The protection of indigenous and other threatened languages is important work that contributes to the promotion of social and cultural diversity as well as linguistic diversity.</w:t>
            </w:r>
          </w:p>
        </w:tc>
        <w:tc>
          <w:tcPr>
            <w:tcW w:w="2400" w:type="dxa"/>
          </w:tcPr>
          <w:p>
            <w:r>
              <w:t xml:space="preserve">requests.xlsx record '5176': End date 2024-01-01 is before start date 2025-01-01.</w:t>
            </w:r>
          </w:p>
        </w:tc>
      </w:tr>
      <w:tr>
        <w:tc>
          <w:tcPr>
            <w:tcW w:w="2400" w:type="dxa"/>
          </w:tcPr>
          <w:p>
            <w:r>
              <w:t xml:space="preserve">4254</w:t>
            </w:r>
          </w:p>
        </w:tc>
        <w:tc>
          <w:tcPr>
            <w:tcW w:w="2400" w:type="dxa"/>
          </w:tcPr>
          <w:p>
            <w:r>
              <w:t xml:space="preserve">Request #4254 ? Request to support  INDI, the National Institute for Indigenous People of Paraguay, in connection with the dissemination, implementation and monitoring of the National Plan for Indigenous People (PNPI) which Paraguay approved last year. The Plan was formulated through a widely consultative process including Government Agencies and Indigenous Organizations; all different indigenous groups present in Paraguay (nineteen) were involved in the exercise.</w:t>
            </w:r>
          </w:p>
        </w:tc>
        <w:tc>
          <w:tcPr>
            <w:tcW w:w="2400" w:type="dxa"/>
          </w:tcPr>
          <w:p>
            <w:r>
              <w:t xml:space="preserve">Completed</w:t>
            </w:r>
          </w:p>
        </w:tc>
        <w:tc>
          <w:tcPr>
            <w:tcW w:w="2400" w:type="dxa"/>
          </w:tcPr>
          <w:p>
            <w:r>
              <w:t xml:space="preserve">Division for Inclusive Social Development</w:t>
            </w:r>
          </w:p>
        </w:tc>
        <w:tc>
          <w:tcPr>
            <w:tcW w:w="2400" w:type="dxa"/>
          </w:tcPr>
          <w:p>
            <w:r>
              <w:t xml:space="preserve">16 Aug 2022</w:t>
            </w:r>
          </w:p>
        </w:tc>
        <w:tc>
          <w:tcPr>
            <w:tcW w:w="2400" w:type="dxa"/>
          </w:tcPr>
          <w:p>
            <w:r>
              <w:t xml:space="preserve">15 Sept 2022</w:t>
            </w:r>
          </w:p>
        </w:tc>
        <w:tc>
          <w:tcPr>
            <w:tcW w:w="2400" w:type="dxa"/>
          </w:tcPr>
          <w:p>
            <w:r>
              <w:t xml:space="preserve">31 Dec 2022</w:t>
            </w:r>
          </w:p>
        </w:tc>
        <w:tc>
          <w:tcPr>
            <w:tcW w:w="2400" w:type="dxa"/>
          </w:tcPr>
          <w:p>
            <w:r>
              <w:t xml:space="preserve">Mario | mario.samaja@un.org</w:t>
            </w:r>
          </w:p>
        </w:tc>
        <w:tc>
          <w:tcPr>
            <w:tcW w:w="2400" w:type="dxa"/>
          </w:tcPr>
          <w:p>
            <w:r>
              <w:t xml:space="preserve">Request to support  INDI, the National Institute for Indigenous People of Paraguay, in connection with the dissemination, implementation and monitoring of the National Plan for Indigenous People (PNPI) which Paraguay approved last year. The Plan was formulated through a widely consultative process including Government Agencies and Indigenous Organizations; all different indigenous groups present in Paraguay (nineteen) were involved in the exercise.</w:t>
            </w:r>
          </w:p>
        </w:tc>
        <w:tc>
          <w:tcPr>
            <w:tcW w:w="2400" w:type="dxa"/>
          </w:tcPr>
          <w:p>
            <w:r>
              <w:t xml:space="preserve"/>
            </w:r>
          </w:p>
        </w:tc>
      </w:tr>
      <w:tr>
        <w:tc>
          <w:tcPr>
            <w:tcW w:w="2400" w:type="dxa"/>
          </w:tcPr>
          <w:p>
            <w:r>
              <w:t xml:space="preserve">4223</w:t>
            </w:r>
          </w:p>
        </w:tc>
        <w:tc>
          <w:tcPr>
            <w:tcW w:w="2400" w:type="dxa"/>
          </w:tcPr>
          <w:p>
            <w:r>
              <w:t xml:space="preserve">Request #4223 ? This proposal is a response to a request from UN ECLAC on behalf of Member States in the region for technical assistance in the area of population and development:  on the estimation and use of National Accounts disaggregated by age and socio-economic group (National Inclusion Accounts).   DESA and UN ECLAC will provide training through an in-person workshop (6-9 December 2022) to be held in conjunction with the annual meeting of the Latin American Population Association.   The participants will include government officials and national professionals with prior experience in the estimation and use of National Transfer Accounts.</w:t>
            </w:r>
          </w:p>
        </w:tc>
        <w:tc>
          <w:tcPr>
            <w:tcW w:w="2400" w:type="dxa"/>
          </w:tcPr>
          <w:p>
            <w:r>
              <w:t xml:space="preserve">Completed</w:t>
            </w:r>
          </w:p>
        </w:tc>
        <w:tc>
          <w:tcPr>
            <w:tcW w:w="2400" w:type="dxa"/>
          </w:tcPr>
          <w:p>
            <w:r>
              <w:t xml:space="preserve">Population Division</w:t>
            </w:r>
          </w:p>
        </w:tc>
        <w:tc>
          <w:tcPr>
            <w:tcW w:w="2400" w:type="dxa"/>
          </w:tcPr>
          <w:p>
            <w:r>
              <w:t xml:space="preserve">01 Jun 2022</w:t>
            </w:r>
          </w:p>
        </w:tc>
        <w:tc>
          <w:tcPr>
            <w:tcW w:w="2400" w:type="dxa"/>
          </w:tcPr>
          <w:p>
            <w:r>
              <w:t xml:space="preserve"/>
            </w:r>
          </w:p>
        </w:tc>
        <w:tc>
          <w:tcPr>
            <w:tcW w:w="2400" w:type="dxa"/>
          </w:tcPr>
          <w:p>
            <w:r>
              <w:t xml:space="preserve"/>
            </w:r>
          </w:p>
        </w:tc>
        <w:tc>
          <w:tcPr>
            <w:tcW w:w="2400" w:type="dxa"/>
          </w:tcPr>
          <w:p>
            <w:r>
              <w:t xml:space="preserve">Zulma Sosa | Zulma.SOSA@cepal.org</w:t>
            </w:r>
          </w:p>
        </w:tc>
        <w:tc>
          <w:tcPr>
            <w:tcW w:w="2400" w:type="dxa"/>
          </w:tcPr>
          <w:p>
            <w:r>
              <w:t xml:space="preserve">This proposal is a response to a request from UN ECLAC on behalf of Member States in the region for technical assistance in the area of population and development:  on the estimation and use of National Accounts disaggregated by age and socio-economic group (National Inclusion Accounts).   DESA and UN ECLAC will provide training through an in-person workshop (6-9 December 2022) to be held in conjunction with the annual meeting of the Latin American Population Association.   The participants will include government officials and national professionals with prior experience in the estimation and use of National Transfer Accounts.</w:t>
            </w:r>
          </w:p>
        </w:tc>
        <w:tc>
          <w:tcPr>
            <w:tcW w:w="2400" w:type="dxa"/>
          </w:tcPr>
          <w:p>
            <w:r>
              <w:t xml:space="preserve"/>
            </w:r>
          </w:p>
        </w:tc>
      </w:tr>
      <w:tr>
        <w:tc>
          <w:tcPr>
            <w:tcW w:w="2400" w:type="dxa"/>
          </w:tcPr>
          <w:p>
            <w:r>
              <w:t xml:space="preserve">3639</w:t>
            </w:r>
          </w:p>
        </w:tc>
        <w:tc>
          <w:tcPr>
            <w:tcW w:w="2400" w:type="dxa"/>
          </w:tcPr>
          <w:p>
            <w:r>
              <w:t xml:space="preserve">Request #3639 ? RC requests support with the organising of VLRs in some regions of Paraguay, notably the Chaco region and - potentially - the capital city of Asuncion</w:t>
            </w:r>
          </w:p>
        </w:tc>
        <w:tc>
          <w:tcPr>
            <w:tcW w:w="2400" w:type="dxa"/>
          </w:tcPr>
          <w:p>
            <w:r>
              <w:t xml:space="preserve">Completed</w:t>
            </w:r>
          </w:p>
        </w:tc>
        <w:tc>
          <w:tcPr>
            <w:tcW w:w="2400" w:type="dxa"/>
          </w:tcPr>
          <w:p>
            <w:r>
              <w:t xml:space="preserve">Division for Sustainable Development Goals</w:t>
            </w:r>
          </w:p>
        </w:tc>
        <w:tc>
          <w:tcPr>
            <w:tcW w:w="2400" w:type="dxa"/>
          </w:tcPr>
          <w:p>
            <w:r>
              <w:t xml:space="preserve">29 Apr 2021</w:t>
            </w:r>
          </w:p>
        </w:tc>
        <w:tc>
          <w:tcPr>
            <w:tcW w:w="2400" w:type="dxa"/>
          </w:tcPr>
          <w:p>
            <w:r>
              <w:t xml:space="preserve">01 Jan 2022</w:t>
            </w:r>
          </w:p>
        </w:tc>
        <w:tc>
          <w:tcPr>
            <w:tcW w:w="2400" w:type="dxa"/>
          </w:tcPr>
          <w:p>
            <w:r>
              <w:t xml:space="preserve">31 Dec 2022</w:t>
            </w:r>
          </w:p>
        </w:tc>
        <w:tc>
          <w:tcPr>
            <w:tcW w:w="2400" w:type="dxa"/>
          </w:tcPr>
          <w:p>
            <w:r>
              <w:t xml:space="preserve">Mario Samaja | na@na.na</w:t>
            </w:r>
          </w:p>
        </w:tc>
        <w:tc>
          <w:tcPr>
            <w:tcW w:w="2400" w:type="dxa"/>
          </w:tcPr>
          <w:p>
            <w:r>
              <w:t xml:space="preserve">RC requests support with the organising of VLRs in some regions of Paraguay, notably the Chaco region and - potentially - the capital city of Asuncion</w:t>
            </w:r>
          </w:p>
        </w:tc>
        <w:tc>
          <w:tcPr>
            <w:tcW w:w="2400" w:type="dxa"/>
          </w:tcPr>
          <w:p>
            <w:r>
              <w:t xml:space="preserve"/>
            </w:r>
          </w:p>
        </w:tc>
      </w:tr>
      <w:tr>
        <w:tc>
          <w:tcPr>
            <w:tcW w:w="2400" w:type="dxa"/>
          </w:tcPr>
          <w:p>
            <w:r>
              <w:t xml:space="preserve">3517</w:t>
            </w:r>
          </w:p>
        </w:tc>
        <w:tc>
          <w:tcPr>
            <w:tcW w:w="2400" w:type="dxa"/>
          </w:tcPr>
          <w:p>
            <w:r>
              <w:t xml:space="preserve">Request #3517 ? Request for review of study on National Time Transfer Accounts for Paraguay.</w:t>
            </w:r>
          </w:p>
        </w:tc>
        <w:tc>
          <w:tcPr>
            <w:tcW w:w="2400" w:type="dxa"/>
          </w:tcPr>
          <w:p>
            <w:r>
              <w:t xml:space="preserve">Completed</w:t>
            </w:r>
          </w:p>
        </w:tc>
        <w:tc>
          <w:tcPr>
            <w:tcW w:w="2400" w:type="dxa"/>
          </w:tcPr>
          <w:p>
            <w:r>
              <w:t xml:space="preserve">Population Division</w:t>
            </w:r>
          </w:p>
        </w:tc>
        <w:tc>
          <w:tcPr>
            <w:tcW w:w="2400" w:type="dxa"/>
          </w:tcPr>
          <w:p>
            <w:r>
              <w:t xml:space="preserve">03 Mar 2021</w:t>
            </w:r>
          </w:p>
        </w:tc>
        <w:tc>
          <w:tcPr>
            <w:tcW w:w="2400" w:type="dxa"/>
          </w:tcPr>
          <w:p>
            <w:r>
              <w:t xml:space="preserve">03 Mar 2021</w:t>
            </w:r>
          </w:p>
        </w:tc>
        <w:tc>
          <w:tcPr>
            <w:tcW w:w="2400" w:type="dxa"/>
          </w:tcPr>
          <w:p>
            <w:r>
              <w:t xml:space="preserve">05 Mar 2021</w:t>
            </w:r>
          </w:p>
        </w:tc>
        <w:tc>
          <w:tcPr>
            <w:tcW w:w="2400" w:type="dxa"/>
          </w:tcPr>
          <w:p>
            <w:r>
              <w:t xml:space="preserve">Zulma Sosa | zulma.sosa@cepal.org</w:t>
            </w:r>
          </w:p>
        </w:tc>
        <w:tc>
          <w:tcPr>
            <w:tcW w:w="2400" w:type="dxa"/>
          </w:tcPr>
          <w:p>
            <w:r>
              <w:t xml:space="preserve">Request for review of study on National Time Transfer Accounts for Paraguay.</w:t>
            </w:r>
          </w:p>
        </w:tc>
        <w:tc>
          <w:tcPr>
            <w:tcW w:w="2400" w:type="dxa"/>
          </w:tcPr>
          <w:p>
            <w:r>
              <w:t xml:space="preserve"/>
            </w:r>
          </w:p>
        </w:tc>
      </w:tr>
      <w:tr>
        <w:tc>
          <w:tcPr>
            <w:tcW w:w="2400" w:type="dxa"/>
          </w:tcPr>
          <w:p>
            <w:r>
              <w:t xml:space="preserve">3441</w:t>
            </w:r>
          </w:p>
        </w:tc>
        <w:tc>
          <w:tcPr>
            <w:tcW w:w="2400" w:type="dxa"/>
          </w:tcPr>
          <w:p>
            <w:r>
              <w:t xml:space="preserve">Request #3441 ? Joint DESA-ECLAC initiative.   Responding to a request from UN ECLAC on behalf of member states for training in forecasting the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19 Oct 2019</w:t>
            </w:r>
          </w:p>
        </w:tc>
        <w:tc>
          <w:tcPr>
            <w:tcW w:w="2400" w:type="dxa"/>
          </w:tcPr>
          <w:p>
            <w:r>
              <w:t xml:space="preserve">25 Nov 2019</w:t>
            </w:r>
          </w:p>
        </w:tc>
        <w:tc>
          <w:tcPr>
            <w:tcW w:w="2400" w:type="dxa"/>
          </w:tcPr>
          <w:p>
            <w:r>
              <w:t xml:space="preserve">27 Nov 2019</w:t>
            </w:r>
          </w:p>
        </w:tc>
        <w:tc>
          <w:tcPr>
            <w:tcW w:w="2400" w:type="dxa"/>
          </w:tcPr>
          <w:p>
            <w:r>
              <w:t xml:space="preserve">Mr. Paulo Saad | paulo.saad@un.org</w:t>
            </w:r>
          </w:p>
        </w:tc>
        <w:tc>
          <w:tcPr>
            <w:tcW w:w="2400" w:type="dxa"/>
          </w:tcPr>
          <w:p>
            <w:r>
              <w:t xml:space="preserve">Joint DESA-ECLAC initiative.   Responding to a request from UN ECLAC on behalf of member states for training in forecasting the economic and fiscal impacts of population ageing.</w:t>
            </w:r>
          </w:p>
        </w:tc>
        <w:tc>
          <w:tcPr>
            <w:tcW w:w="2400" w:type="dxa"/>
          </w:tcPr>
          <w:p>
            <w:r>
              <w:t xml:space="preserve"/>
            </w:r>
          </w:p>
        </w:tc>
      </w:tr>
      <w:tr>
        <w:tc>
          <w:tcPr>
            <w:tcW w:w="2400" w:type="dxa"/>
          </w:tcPr>
          <w:p>
            <w:r>
              <w:t xml:space="preserve">3435</w:t>
            </w:r>
          </w:p>
        </w:tc>
        <w:tc>
          <w:tcPr>
            <w:tcW w:w="2400" w:type="dxa"/>
          </w:tcPr>
          <w:p>
            <w:r>
              <w:t xml:space="preserve">Request #3435 ? Joint DESA-ECLAC initiative in support of the Madrid International Plan of Action on Ageing (MIPAA).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23 May 2019</w:t>
            </w:r>
          </w:p>
        </w:tc>
        <w:tc>
          <w:tcPr>
            <w:tcW w:w="2400" w:type="dxa"/>
          </w:tcPr>
          <w:p>
            <w:r>
              <w:t xml:space="preserve">09 Sept 2019</w:t>
            </w:r>
          </w:p>
        </w:tc>
        <w:tc>
          <w:tcPr>
            <w:tcW w:w="2400" w:type="dxa"/>
          </w:tcPr>
          <w:p>
            <w:r>
              <w:t xml:space="preserve">11 Sept 2019</w:t>
            </w:r>
          </w:p>
        </w:tc>
        <w:tc>
          <w:tcPr>
            <w:tcW w:w="2400" w:type="dxa"/>
          </w:tcPr>
          <w:p>
            <w:r>
              <w:t xml:space="preserve">Mr. Paulo Saad | paulo.saad@un.org</w:t>
            </w:r>
          </w:p>
        </w:tc>
        <w:tc>
          <w:tcPr>
            <w:tcW w:w="2400" w:type="dxa"/>
          </w:tcPr>
          <w:p>
            <w:r>
              <w:t xml:space="preserve">Joint DESA-ECLAC initiative in support of the Madrid International Plan of Action on Ageing (MIPAA). Held training workshop on forecasting the national economic and fiscal impacts of population ageing.</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r>
        <w:tc>
          <w:tcPr>
            <w:tcW w:w="2400" w:type="dxa"/>
          </w:tcPr>
          <w:p>
            <w:r>
              <w:t xml:space="preserve">SB-001376.99.99.39</w:t>
            </w:r>
          </w:p>
        </w:tc>
        <w:tc>
          <w:tcPr>
            <w:tcW w:w="2400" w:type="dxa"/>
          </w:tcPr>
          <w:p>
            <w:r>
              <w:t xml:space="preserve">International workshop on the measurement of SDG Indicator 5.4.1 and XXVII International Meeting on Gender Statistics</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$6,799</w:t>
            </w:r>
          </w:p>
        </w:tc>
        <w:tc>
          <w:tcPr>
            <w:tcW w:w="2400" w:type="dxa"/>
          </w:tcPr>
          <w:p>
            <w:r>
              <w:t xml:space="preserve">Brazil, Chile, Colombia, Costa Rica, Democratic Republic of Timor-Leste, Dominican Republic, Ecuador, Grenada, Guatemala, Honduras, Lao People's Democratic Republic, Mexico, Morocco, Paraguay, Peru, Tunisia</w:t>
            </w:r>
          </w:p>
        </w:tc>
        <w:tc>
          <w:tcPr>
            <w:tcW w:w="2400" w:type="dxa"/>
          </w:tcPr>
          <w:p>
            <w:r>
              <w:t xml:space="preserve">Country standardized: 'Timor-Leste' -&gt; 'Democratic Republic of Timor-Leste'. / Region standardized: 'global' -&gt; 'Global'.</w:t>
            </w:r>
          </w:p>
        </w:tc>
        <w:tc>
          <w:tcPr>
            <w:tcW w:w="2400" w:type="dxa"/>
          </w:tcPr>
          <w:p>
            <w:r>
              <w:t xml:space="preserve">proposals.xlsx record 'SB-001376.99.99.39|row:74': 'costConferenceServices' has non-numeric value '0||0||$'. / proposals.xlsx record 'SB-001376.99.99.39|row:74': 'costTravelConsultants' has non-numeric value '4,098||4,098||$'. / proposals.xlsx record 'SB-001376.99.99.39|row:74': 'costTravelParticipants' has non-numeric value '0||0||$'. / proposals.xlsx record 'SB-001376.99.99.39|row:74': 'costTravelStaff' has non-numeric value '2,701||2,701||$'. / proposals.xlsx record 'SB-001376.99.99.39|row:74': 'f_cashDESA' has non-numeric value 'US$ 6,799'.</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Improved local and national government capacities for localizing SDGs progress through Voluntary Local Reviews</w:t>
            </w:r>
          </w:p>
        </w:tc>
        <w:tc>
          <w:tcPr>
            <w:tcW w:w="2400" w:type="dxa"/>
          </w:tcPr>
          <w:p>
            <w:r>
              <w:t xml:space="preserve">2025</w:t>
            </w:r>
          </w:p>
        </w:tc>
        <w:tc>
          <w:tcPr>
            <w:tcW w:w="2400" w:type="dxa"/>
          </w:tcPr>
          <w:p>
            <w:r>
              <w:t xml:space="preserve">DSDG</w:t>
            </w:r>
          </w:p>
        </w:tc>
        <w:tc>
          <w:tcPr>
            <w:tcW w:w="2400" w:type="dxa"/>
          </w:tcPr>
          <w:p>
            <w:r>
              <w:t xml:space="preserve">Argentina, Bolivia (Plurinational State of), Mozambique, Paraguay, South Africa, Zimbabwe</w:t>
            </w:r>
          </w:p>
        </w:tc>
        <w:tc>
          <w:tcPr>
            <w:tcW w:w="2400" w:type="dxa"/>
          </w:tcPr>
          <w:p>
            <w:r>
              <w:t xml:space="preserve">- Further scale-up VLR support to local governments by prioritizing the institutionalization of VLR processes and formal mechanisms to encourage peer-learning and south-south collaboration to promote a sustainable self-functioning system of SDG localization. / - Continue to work with the current donor while diversifying donor funding to engage additional local governments and countries in SDG localization and the preparation of VLRs. / - Further scale-up VLR support to Indigenous governments to continue promoting equitable development and the Leave No One Behind principle. / - Invest in developing a train-the-trainer model so that capacitated local governments with experience developing VLRs can share their knowledge and experience with other local governments through a formalized mechanism. / - Continue to support the creation and strengthening of local government networks to foster peer-to-peer learning and south-south collaboration regarding SDG localization and the development of VLRs. / - Integrate SDG localization and VLR development work into existing regional bodies that encourage cross-country collaboration wherever possible. / - Further deepen support to national and local governments to plan and implement the SDGs at the local level and to strengthen interlinkages between local and national SDG planning, monitoring, and implementation. / - Engage colleagues from other UN DESA divisions including the Statistics Division and the Financing for Development Division to provide technical and capacity development support to local and national governments. / - Work with RCOs and the UN Country Teams to identify ways to support local governments to address local level gaps in achieving the SDGs, with a focus on supporting local data collection, analysis, and dissemination. / - Continue to invest in engaging national-level government stakeholders in SDG localization and the development of VLRs to strengthen the linkages between VLRs and the VNR and/or national level sustainable development strategies. / - Continue to support multi-stakeholder engagement in SDG localization and the development of VLRs while further engaging older people and youth across countries, and CSOs in Africa. / - Continue to create on-the-ground presence at the country level through the use of national consultants and strong engagement with RCOs and other UN entities to facilitate supporting future SDG localization and VLR work. / - Select consultants to support future VLR initiatives that have proven experience successfully working with key stakeholders such as the RCO and other UN entities in country. / - Carefully consider the national context and operating dynamics between UN agencies in country contexts where VLRs have been previously produced to avoid unnecessary competition among UN agencies or challenges at engaging UN agencies to support UN DESA’s VLR efforts. / - Strengthen future VLR project monitoring systems by conducting more substantial surveys and gathering data on stakeholder experiences and their increased capacities and skills during and after VLR workshops and events. / - Make prior arrangements with other UN entities to support the distribution of funds to local stakeholders for project expenses before the project begins. / - Use informed selection criteria to identify which countries should be included in future VLR initiatives, such as VNR plans during the project period, absence of elections, regional commonalities, sufficient capacity, and strong RCO and UNDP support.</w:t>
            </w:r>
          </w:p>
        </w:tc>
        <w:tc>
          <w:tcPr>
            <w:tcW w:w="2400" w:type="dxa"/>
          </w:tcPr>
          <w:p>
            <w:r>
              <w:t xml:space="preserve">- Horizontal information-sharing and support across local governments both within country and between countries fosters motivation, reduces isolation, and facilitates the exchange of knowledge and information, helping to advance SDG localization even when the national context is less favourable. / - Creating a local project presence through hiring national consultants and working closely with RCOs and other UN entities is essential for stakeholder engagement and achievement of results. / - Sustaining donor interest through regular engagement and visibility helps secure additional funding and support for future project phases. / - Generating momentum by supporting participating local governments to start drafting their VLRs during initial workshops and following up with national consultants facilitates the VLR drafting process. / - Effective linkage between VLRs and VNRs requires synchronized timing and national government enthusiasm; country selection for future initiatives should consider VNR plans and election schedules.</w:t>
            </w:r>
          </w:p>
        </w:tc>
        <w:tc>
          <w:tcPr>
            <w:tcW w:w="2400" w:type="dxa"/>
          </w:tcPr>
          <w:p>
            <w:r>
              <w:t xml:space="preserve">https://unitednations.sharepoint.com/sites/DESA-CDPMO/Shared Documents/General/3. Finance Management/1 - TC PROJECTS/Closed Projects in Umoja/S1-178 Italy 2022 (SB-020226)/Final evaluation/UN DESA VLR Evaluation Final Report 31 January 2025 Clean.docx</w:t>
            </w:r>
          </w:p>
        </w:tc>
        <w:tc>
          <w:tcPr>
            <w:tcW w:w="2400" w:type="dxa"/>
          </w:tcPr>
          <w:p>
            <w:r>
              <w:t xml:space="preserve">Country standardized: 'Bolivia' -&gt; 'Bolivia (Plurinational State of)'.</w:t>
            </w:r>
          </w:p>
        </w:tc>
        <w:tc>
          <w:tcPr>
            <w:tcW w:w="2400" w:type="dxa"/>
          </w:tcPr>
          <w:p>
            <w:r>
              <w:t xml:space="preserve"/>
            </w:r>
          </w:p>
        </w:tc>
      </w:tr>
      <w:tr>
        <w:tc>
          <w:tcPr>
            <w:tcW w:w="2400" w:type="dxa"/>
          </w:tcPr>
          <w:p>
            <w:r>
              <w:t xml:space="preserve">Strengthening capacity of National Tax Administrations of Developing Countries in Latin America to reduce Tax Transaction Costs and thereby maximize tax revenues</w:t>
            </w:r>
          </w:p>
        </w:tc>
        <w:tc>
          <w:tcPr>
            <w:tcW w:w="2400" w:type="dxa"/>
          </w:tcPr>
          <w:p>
            <w:r>
              <w:t xml:space="preserve">2014</w:t>
            </w:r>
          </w:p>
        </w:tc>
        <w:tc>
          <w:tcPr>
            <w:tcW w:w="2400" w:type="dxa"/>
          </w:tcPr>
          <w:p>
            <w:r>
              <w:t xml:space="preserve">FSDO</w:t>
            </w:r>
          </w:p>
        </w:tc>
        <w:tc>
          <w:tcPr>
            <w:tcW w:w="2400" w:type="dxa"/>
          </w:tcPr>
          <w:p>
            <w:r>
              <w:t xml:space="preserve">Bolivia (Plurinational State of), Brazil, Chile, Colombia, Costa Rica, Dominican Republic, Ecuador, El Salvador, Guatemala, Honduras, Mexico, Nicaragua, Panama, Paraguay, Peru, Uruguay</w:t>
            </w:r>
          </w:p>
        </w:tc>
        <w:tc>
          <w:tcPr>
            <w:tcW w:w="2400" w:type="dxa"/>
          </w:tcPr>
          <w:p>
            <w:r>
              <w:t xml:space="preserve">- Ensure pilot countries have all necessary data available, including up-to-date and filtered taxpayer databases and appropriate sample weighting, before selection. / - Select countries that have not recently undergone major tax reforms to avoid distortion of TTCs due to adaptation processes. / - Include qualitative aspects such as psychological costs as part of non-economic costs in future TTCs studies to better understand results. / - Adapt survey implementation methods to the context (e.g., face-to-face vs. online) and include control questions to improve data quality. / - Encourage NTAs to seek synergies with other public institutions for information gathering and fieldwork support.</w:t>
            </w:r>
          </w:p>
        </w:tc>
        <w:tc>
          <w:tcPr>
            <w:tcW w:w="2400" w:type="dxa"/>
          </w:tcPr>
          <w:p>
            <w:r>
              <w:t xml:space="preserve">- Institutional support and commitment from NTAs are decisive factors for successful project implementation and sustainability. / - A thorough methodology that includes both administrative and compliance costs, considers the taxpayer cycle, and covers all relevant taxes is effective for TTC measurement. / - Allowing each country to choose its own survey method, considering size and cultural context, can improve implementation but may affect comparability. / - CIAT's coordination and reputation are critical for engaging countries and ensuring project sustainability. / - The methodology is generally easy to apply in interested countries, but successful implementation depends on institutional support and well-designed databases.</w:t>
            </w:r>
          </w:p>
        </w:tc>
        <w:tc>
          <w:tcPr>
            <w:tcW w:w="2400" w:type="dxa"/>
          </w:tcPr>
          <w:p>
            <w:r>
              <w:t xml:space="preserve">https://unitednations.sharepoint.com/sites/DESA-CDPMO/Shared Documents/General/3. Finance Management/5 - DEVELOPMENT ACCOUNT/DA - DESA/03 PROJECTS - CLOSED/FSDO/ROA181-6B/Evaluation/Evaluation Report- FINAL.pdf</w:t>
            </w:r>
          </w:p>
        </w:tc>
        <w:tc>
          <w:tcPr>
            <w:tcW w:w="2400" w:type="dxa"/>
          </w:tcPr>
          <w:p>
            <w:r>
              <w:t xml:space="preserve">Country standardized: 'Bolivia' -&gt; 'Bolivia (Plurinational State of)'.</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Supporting the establishment of a Latin American Parliamentary Knowledge Network</w:t>
            </w:r>
          </w:p>
        </w:tc>
        <w:tc>
          <w:tcPr>
            <w:tcW w:w="2400" w:type="dxa"/>
          </w:tcPr>
          <w:p>
            <w:r>
              <w:t xml:space="preserve">2014</w:t>
            </w:r>
          </w:p>
        </w:tc>
        <w:tc>
          <w:tcPr>
            <w:tcW w:w="2400" w:type="dxa"/>
          </w:tcPr>
          <w:p>
            <w:r>
              <w:t xml:space="preserve">DPIDG</w:t>
            </w:r>
          </w:p>
        </w:tc>
        <w:tc>
          <w:tcPr>
            <w:tcW w:w="2400" w:type="dxa"/>
          </w:tcPr>
          <w:p>
            <w:r>
              <w:t xml:space="preserve">Argentina, Barbados, Bolivia (Plurinational State of), Brazil, Chile, Colombia, Costa Rica, Ecuador, El Salvador, Guatemala, Guyana, Mexico, Nicaragua, Panama, Paraguay, Saint Vincent and the Grenadines, Suriname, Trinidad and Tobago, Uruguay</w:t>
            </w:r>
          </w:p>
        </w:tc>
        <w:tc>
          <w:tcPr>
            <w:tcW w:w="2400" w:type="dxa"/>
          </w:tcPr>
          <w:p>
            <w:r>
              <w:t xml:space="preserve">- Establish regional agreement and resources for hosting of the Secretariat to ensure that it is properly funded and resourced and that the commitment for this is shared amongst those parliaments that can afford it. / - Expand opportunities for take part in network activities and extend these beyond those parliaments who have formally signed up to RIPALC. / - Ensure appropriate ongoing resources are committed to the digital portal as this is a critical component of the network and vital to ensuring the ongoing operation and relevance of it. / - Participants right across the region need to be encouraged to take ownership of the communities of interest and to see RIPALC as a place to learn, share and network. Ensuring the grass-roots value and use of the network will be the single most significant factor in the networks long term sustainability. / - RIPALC needs to be flexible and responsive to the needs of the users and allow them to create new communities of interest and for the model to develop to suit their requirements, it must be driven by demand, not controlled from the top down. / - It is important that RIPALC maintains the ability to run regional workshops and meetings so that parliamentary staff can network and collaborate. Digital networks are important and they help to sustain relationships and act as timely conduits for knowledge exchange, but they do not replace face to face meetings as a way of building social capital. / - Inter-parliamentary collaboration remains a priority and was seen by participants as a key pre-requisite for democratic strengthening in the region and RIPALC is an ideal vehicle to facilitate and support this.</w:t>
            </w:r>
          </w:p>
        </w:tc>
        <w:tc>
          <w:tcPr>
            <w:tcW w:w="2400" w:type="dxa"/>
          </w:tcPr>
          <w:p>
            <w:r>
              <w:t xml:space="preserve">- The RIPALC network was a timely and appropriate development for the region and has been well received by the participants in it. / - The clear weakness in the project was to rigidly implement a governance model based on the long-established ECPRD structure. This has proved restrictive and inflexible in the case of RIPALC and it has inhibited growth. A more organic and less rigid structure would have been more appropriate. / - Projects such as this need some level of formality and process if they are to be seen as reliable and trustworthy by parliaments, but the network must develop in line with the culture and expectations of the region it covers and duplicating a model from elsewhere can limit take-up. / - The network has become a force for active parliamentary development in the region, a timely catalyst to build on a growing desire for strong parliaments and recognition that it is important for parliaments to collaborate and share ideas, knowledge and experience. / - The network has successfully delivered face-to-face meetings and workshops, which are vital for building and sustaining relationships between parliaments, and has acted as a ‘role model’ for inter-parliamentary collaboration in a region where this is a relatively new and unknown concept. / - The web portal provides a fast and easy way for parliamentary staff to stay in touch and to discuss, advise and be advised about good practice and emergent issues in their field, which is particularly important for smaller legislatures. / - Though the uptake has been slower than expected, this is seen as a result of the structural limitations of RIPALC. In the medium to long term, the Secretariat needs to ensure that the portal is able to meet the needs and demands of its stakeholders and that it is promoted to all parliaments in the region, regardless of their formal membership of RIPALC.</w:t>
            </w:r>
          </w:p>
        </w:tc>
        <w:tc>
          <w:tcPr>
            <w:tcW w:w="2400" w:type="dxa"/>
          </w:tcPr>
          <w:p>
            <w:r>
              <w:t xml:space="preserve">https://unitednations.sharepoint.com/sites/DESA-CDPMO/Shared Documents/General/3. Finance Management/5 - DEVELOPMENT ACCOUNT/DA - DESA/Evaluation reports/7th tranche/ROA 163 (DPADM)/RIPALC.Evaluation.FinalReport-1.0.docx</w:t>
            </w:r>
          </w:p>
        </w:tc>
        <w:tc>
          <w:tcPr>
            <w:tcW w:w="2400" w:type="dxa"/>
          </w:tcPr>
          <w:p>
            <w:r>
              <w:t xml:space="preserve">Country standardized: 'Bolivia' -&gt; 'Bolivia (Plurinational State of)'. / Country standardized: 'St Vincent and the Grenadines' -&gt; 'Saint Vincent and the Grenadines'.</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6</w:t>
            </w:r>
          </w:p>
        </w:tc>
        <w:tc>
          <w:tcPr>
            <w:tcW w:w="2400" w:type="dxa"/>
          </w:tcPr>
          <w:p>
            <w:r>
              <w:t xml:space="preserve">GeoData_with_ISO3166_alpha3.xlsx: last modified 2026-05-22, more than 30 days before ingestion (134 days).</w:t>
            </w:r>
          </w:p>
        </w:tc>
      </w:tr>
      <w:tr>
        <w:tc>
          <w:tcPr>
            <w:tcW w:w="2400" w:type="dxa"/>
          </w:tcPr>
          <w:p>
            <w:r>
              <w:t xml:space="preserve">7</w:t>
            </w:r>
          </w:p>
        </w:tc>
        <w:tc>
          <w:tcPr>
            <w:tcW w:w="2400" w:type="dxa"/>
          </w:tcPr>
          <w:p>
            <w:r>
              <w:t xml:space="preserve">proposals.xlsx record 'SB-001376.99.99.32|row:49': 'f_cashGov' has non-numeric value 'N/A'.</w:t>
            </w:r>
          </w:p>
        </w:tc>
      </w:tr>
      <w:tr>
        <w:tc>
          <w:tcPr>
            <w:tcW w:w="2400" w:type="dxa"/>
          </w:tcPr>
          <w:p>
            <w:r>
              <w:t xml:space="preserve">8</w:t>
            </w:r>
          </w:p>
        </w:tc>
        <w:tc>
          <w:tcPr>
            <w:tcW w:w="2400" w:type="dxa"/>
          </w:tcPr>
          <w:p>
            <w:r>
              <w:t xml:space="preserve">proposals.xlsx record 'SB-001376.99.99.32|row:49': 'f_cashOther' has non-numeric value 'N/A'.</w:t>
            </w:r>
          </w:p>
        </w:tc>
      </w:tr>
      <w:tr>
        <w:tc>
          <w:tcPr>
            <w:tcW w:w="2400" w:type="dxa"/>
          </w:tcPr>
          <w:p>
            <w:r>
              <w:t xml:space="preserve">9</w:t>
            </w:r>
          </w:p>
        </w:tc>
        <w:tc>
          <w:tcPr>
            <w:tcW w:w="2400" w:type="dxa"/>
          </w:tcPr>
          <w:p>
            <w:r>
              <w:t xml:space="preserve">proposals.xlsx record 'SB-001376.99.99.39|row:74': 'costConferenceServices' has non-numeric value '0||0||$'.</w:t>
            </w:r>
          </w:p>
        </w:tc>
      </w:tr>
      <w:tr>
        <w:tc>
          <w:tcPr>
            <w:tcW w:w="2400" w:type="dxa"/>
          </w:tcPr>
          <w:p>
            <w:r>
              <w:t xml:space="preserve">10</w:t>
            </w:r>
          </w:p>
        </w:tc>
        <w:tc>
          <w:tcPr>
            <w:tcW w:w="2400" w:type="dxa"/>
          </w:tcPr>
          <w:p>
            <w:r>
              <w:t xml:space="preserve">proposals.xlsx record 'SB-001376.99.99.39|row:74': 'costTravelConsultants' has non-numeric value '4,098||4,098||$'.</w:t>
            </w:r>
          </w:p>
        </w:tc>
      </w:tr>
      <w:tr>
        <w:tc>
          <w:tcPr>
            <w:tcW w:w="2400" w:type="dxa"/>
          </w:tcPr>
          <w:p>
            <w:r>
              <w:t xml:space="preserve">11</w:t>
            </w:r>
          </w:p>
        </w:tc>
        <w:tc>
          <w:tcPr>
            <w:tcW w:w="2400" w:type="dxa"/>
          </w:tcPr>
          <w:p>
            <w:r>
              <w:t xml:space="preserve">proposals.xlsx record 'SB-001376.99.99.39|row:74': 'costTravelParticipants' has non-numeric value '0||0||$'.</w:t>
            </w:r>
          </w:p>
        </w:tc>
      </w:tr>
      <w:tr>
        <w:tc>
          <w:tcPr>
            <w:tcW w:w="2400" w:type="dxa"/>
          </w:tcPr>
          <w:p>
            <w:r>
              <w:t xml:space="preserve">12</w:t>
            </w:r>
          </w:p>
        </w:tc>
        <w:tc>
          <w:tcPr>
            <w:tcW w:w="2400" w:type="dxa"/>
          </w:tcPr>
          <w:p>
            <w:r>
              <w:t xml:space="preserve">proposals.xlsx record 'SB-001376.99.99.39|row:74': 'costTravelStaff' has non-numeric value '2,701||2,701||$'.</w:t>
            </w:r>
          </w:p>
        </w:tc>
      </w:tr>
      <w:tr>
        <w:tc>
          <w:tcPr>
            <w:tcW w:w="2400" w:type="dxa"/>
          </w:tcPr>
          <w:p>
            <w:r>
              <w:t xml:space="preserve">13</w:t>
            </w:r>
          </w:p>
        </w:tc>
        <w:tc>
          <w:tcPr>
            <w:tcW w:w="2400" w:type="dxa"/>
          </w:tcPr>
          <w:p>
            <w:r>
              <w:t xml:space="preserve">proposals.xlsx record 'SB-001376.99.99.39|row:74': 'f_cashDESA' has non-numeric value 'US$ 6,799'.</w:t>
            </w:r>
          </w:p>
        </w:tc>
      </w:tr>
      <w:tr>
        <w:tc>
          <w:tcPr>
            <w:tcW w:w="2400" w:type="dxa"/>
          </w:tcPr>
          <w:p>
            <w:r>
              <w:t xml:space="preserve">14</w:t>
            </w:r>
          </w:p>
        </w:tc>
        <w:tc>
          <w:tcPr>
            <w:tcW w:w="2400" w:type="dxa"/>
          </w:tcPr>
          <w:p>
            <w:r>
              <w:t xml:space="preserve">requests.xlsx record '5176': End date 2024-01-01 is before start date 2025-01-01.</w:t>
            </w:r>
          </w:p>
        </w:tc>
      </w:tr>
      <w:tr>
        <w:tc>
          <w:tcPr>
            <w:tcW w:w="2400" w:type="dxa"/>
          </w:tcPr>
          <w:p>
            <w:r>
              <w:t xml:space="preserve">15</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16</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17</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18</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20</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22</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23</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24</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25</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26</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27</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28</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29</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30</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32</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33</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34</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35</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36</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37</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38</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39</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40</w:t>
            </w:r>
          </w:p>
        </w:tc>
        <w:tc>
          <w:tcPr>
            <w:tcW w:w="2400" w:type="dxa"/>
          </w:tcPr>
          <w:p>
            <w:r>
              <w:t xml:space="preserve">Resolved - Action: duplicate evaluation at evaluations.xlsx row 306 removed; retained row 297 ().</w:t>
            </w:r>
          </w:p>
        </w:tc>
      </w:tr>
      <w:tr>
        <w:tc>
          <w:tcPr>
            <w:tcW w:w="2400" w:type="dxa"/>
          </w:tcPr>
          <w:p>
            <w:r>
              <w:t xml:space="preserve">41</w:t>
            </w:r>
          </w:p>
        </w:tc>
        <w:tc>
          <w:tcPr>
            <w:tcW w:w="2400" w:type="dxa"/>
          </w:tcPr>
          <w:p>
            <w:r>
              <w:t xml:space="preserve">Resolved - Action: duplicate evaluation at evaluations.xlsx row 332 removed; retained row 302 ().</w:t>
            </w:r>
          </w:p>
        </w:tc>
      </w:tr>
      <w:tr>
        <w:tc>
          <w:tcPr>
            <w:tcW w:w="2400" w:type="dxa"/>
          </w:tcPr>
          <w:p>
            <w:r>
              <w:t xml:space="preserve">42</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43</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44</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45</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46</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47</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48</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49</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50</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51</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52</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53</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54</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55</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56</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57</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58</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59</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60</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61</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