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Russian Federation</w:t>
      </w:r>
    </w:p>
    <w:p>
      <w:r>
        <w:rPr>
          <w:sz w:val="20"/>
          <w:color w:val="4B5563"/>
        </w:rPr>
        <w:t xml:space="preserve">Europe</w:t>
      </w:r>
    </w:p>
    <w:p>
      <w:r>
        <w:rPr>
          <w:sz w:val="20"/>
          <w:color w:val="4B5563"/>
        </w:rPr>
        <w:t xml:space="preserve">Exported 05 Oct 2026, 14:20 | Snapshot 03 Oct 2026, 21:47 GMT-4</w:t>
      </w:r>
    </w:p>
    <w:p>
      <w:r>
        <w:rPr>
          <w:b/>
          <w:sz w:val="28"/>
          <w:color w:val="174A7C"/>
        </w:rPr>
        <w:t xml:space="preserve">Summary</w:t>
      </w:r>
    </w:p>
    <w:p>
      <w:r>
        <w:t xml:space="preserve">Russian Federation is presented in this country card as part of Europe, with Russian Federation also associated with an unspecified subregion and the no recorded country group grouping. The filtered data for Russian Federation highlights 0 projects for Russian Federation, including 0 active or planned projects for Russian Federation and 0 completed or closed projects for Russian Federation.</w:t>
      </w:r>
    </w:p>
    <w:p>
      <w:r>
        <w:t xml:space="preserve">For Russian Federation, the report includes 4 requests for Russian Federation, 0 RPTC proposals for Russian Federation, 0 RPTC activities for Russian Federation, and 1 travel records for Russian Federation. Financially, Russian Federation shows Not provided in project budget, $0 in proposal planned budget, and $0 in consumed RPTC activity budget for Russian Federation.</w:t>
      </w:r>
    </w:p>
    <w:p>
      <w:r>
        <w:t xml:space="preserve">The main organizational coverage for Russian Federation points to Statistics Division. Activity records for Russian Federation list 0 participants, including 0 women participants, the current quality review for Russian Federation includes 50 data quality notes. Current highlights for Russian Federation include a request focus for Russian Federation: Request #5576 ? This proposal is for an international workshop on geostatistical integration for population and housing censuses, incorporating the ninth meeting of the United Nations Expert Group on the Integration of Statistical and Geospatial Information, to prepare national experts to operationalize the Global Statistical Geospatial Framework (GSGF) Second Edition and advance the revision of the UN Handbook on Geospatial Infrastructure in Support of Census Activities. The primary objectives of the meeting include defining a future-facing value proposition for statistical-geospatial integration as shared national data infrastructure beyond 2030, establishing an inclusive 2027â€“2029 workplan aligned with Statistical Commission and UN-GGIM decisions, providing practical guidance on addresses, building and dwelling registers, geocoding, common geographies, and dissemination under the five GSGF Principles, and scoping country pilots and regional support mechanisms. The workshop is organized by the United Nations Statistics Division (UNSD) in collaboration with regional and international partners. Participants will include members of the Expert Group, representatives of Member States from national statistical offices and national geospatial information agencies (paired where possible), relevant United Nations entities, and technical and development partners. The workshop is planned to take place from 30 November to 4 December 2026 at the United Nations Conference Centre (UNCC) at the United Nations Economic and Social Commission for Asia and the Pacific (ESCAP) in Bangkok, Thailand..</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4</w:t>
            </w:r>
          </w:p>
        </w:tc>
      </w:tr>
      <w:tr>
        <w:tc>
          <w:tcPr>
            <w:tcW w:w="2400" w:type="dxa"/>
          </w:tcPr>
          <w:p>
            <w:r>
              <w:t xml:space="preserve">RPTC proposals</w:t>
            </w:r>
          </w:p>
        </w:tc>
        <w:tc>
          <w:tcPr>
            <w:tcW w:w="2400" w:type="dxa"/>
          </w:tcPr>
          <w:p>
            <w:r>
              <w:t xml:space="preserve">0</w:t>
            </w:r>
          </w:p>
        </w:tc>
      </w:tr>
      <w:tr>
        <w:tc>
          <w:tcPr>
            <w:tcW w:w="2400" w:type="dxa"/>
          </w:tcPr>
          <w:p>
            <w:r>
              <w:t xml:space="preserve">Proposal planned budget</w:t>
            </w:r>
          </w:p>
        </w:tc>
        <w:tc>
          <w:tcPr>
            <w:tcW w:w="2400" w:type="dxa"/>
          </w:tcPr>
          <w:p>
            <w:r>
              <w:t xml:space="preserve">$0</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1</w:t>
            </w:r>
          </w:p>
        </w:tc>
      </w:tr>
      <w:tr>
        <w:tc>
          <w:tcPr>
            <w:tcW w:w="2400" w:type="dxa"/>
          </w:tcPr>
          <w:p>
            <w:r>
              <w:t xml:space="preserve">Evaluations</w:t>
            </w:r>
          </w:p>
        </w:tc>
        <w:tc>
          <w:tcPr>
            <w:tcW w:w="2400" w:type="dxa"/>
          </w:tcPr>
          <w:p>
            <w:r>
              <w:t xml:space="preserve">3</w:t>
            </w:r>
          </w:p>
        </w:tc>
      </w:tr>
      <w:tr>
        <w:tc>
          <w:tcPr>
            <w:tcW w:w="2400" w:type="dxa"/>
          </w:tcPr>
          <w:p>
            <w:r>
              <w:t xml:space="preserve">Data quality notes</w:t>
            </w:r>
          </w:p>
        </w:tc>
        <w:tc>
          <w:tcPr>
            <w:tcW w:w="2400" w:type="dxa"/>
          </w:tcPr>
          <w:p>
            <w:r>
              <w:t xml:space="preserve">50</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r>
      <w:tr>
        <w:tc>
          <w:tcPr>
            <w:tcW w:w="2400" w:type="dxa"/>
          </w:tcPr>
          <w:p>
            <w:r>
              <w:t xml:space="preserve">5576</w:t>
            </w:r>
          </w:p>
        </w:tc>
        <w:tc>
          <w:tcPr>
            <w:tcW w:w="2400" w:type="dxa"/>
          </w:tcPr>
          <w:p>
            <w:r>
              <w:t xml:space="preserve">Request #5576 ? This proposal is for an international workshop on geostatistical integration for population and housing censuses, incorporating the ninth meeting of the United Nations Expert Group on the Integration of Statistical and Geospatial Information, to prepare national experts to operationalize the Global Statistical Geospatial Framework (GSGF) Second Edition and advance the revision of the UN Handbook on Geospatial Infrastructure in Support of Census Activities. The primary objectives of the meeting include defining a future-facing value proposition for statistical-geospatial integration as shared national data infrastructure beyond 2030, establishing an inclusive 2027â€“2029 workplan aligned with Statistical Commission and UN-GGIM decisions, providing practical guidance on addresses, building and dwelling registers, geocoding, common geographies, and dissemination under the five GSGF Principles, and scoping country pilots and regional support mechanisms. The workshop is organized by the United Nations Statistics Division (UNSD) in collaboration with regional and international partners. Participants will include members of the Expert Group, representatives of Member States from national statistical offices and national geospatial information agencies (paired where possible), relevant United Nations entities, and technical and development partners. The workshop is planned to take place from 30 November to 4 December 2026 at the United Nations Conference Centre (UNCC) at the United Nations Economic and Social Commission for Asia and the Pacific (ESCAP) in Bangkok, Thailand.</w:t>
            </w:r>
          </w:p>
        </w:tc>
        <w:tc>
          <w:tcPr>
            <w:tcW w:w="2400" w:type="dxa"/>
          </w:tcPr>
          <w:p>
            <w:r>
              <w:t xml:space="preserve">Under consideration</w:t>
            </w:r>
          </w:p>
        </w:tc>
        <w:tc>
          <w:tcPr>
            <w:tcW w:w="2400" w:type="dxa"/>
          </w:tcPr>
          <w:p>
            <w:r>
              <w:t xml:space="preserve">Statistics Division</w:t>
            </w:r>
          </w:p>
        </w:tc>
        <w:tc>
          <w:tcPr>
            <w:tcW w:w="2400" w:type="dxa"/>
          </w:tcPr>
          <w:p>
            <w:r>
              <w:t xml:space="preserve">11 Sept 2026</w:t>
            </w:r>
          </w:p>
        </w:tc>
        <w:tc>
          <w:tcPr>
            <w:tcW w:w="2400" w:type="dxa"/>
          </w:tcPr>
          <w:p>
            <w:r>
              <w:t xml:space="preserve">30 Nov 2026</w:t>
            </w:r>
          </w:p>
        </w:tc>
        <w:tc>
          <w:tcPr>
            <w:tcW w:w="2400" w:type="dxa"/>
          </w:tcPr>
          <w:p>
            <w:r>
              <w:t xml:space="preserve">04 Dec 2026</w:t>
            </w:r>
          </w:p>
        </w:tc>
        <w:tc>
          <w:tcPr>
            <w:tcW w:w="2400" w:type="dxa"/>
          </w:tcPr>
          <w:p>
            <w:r>
              <w:t xml:space="preserve">Seiffe Tadesse | tadesse5@un.org</w:t>
            </w:r>
          </w:p>
        </w:tc>
        <w:tc>
          <w:tcPr>
            <w:tcW w:w="2400" w:type="dxa"/>
          </w:tcPr>
          <w:p>
            <w:r>
              <w:t xml:space="preserve">This proposal is for an international workshop on geostatistical integration for population and housing censuses, incorporating the ninth meeting of the United Nations Expert Group on the Integration of Statistical and Geospatial Information, to prepare national experts to operationalize the Global Statistical Geospatial Framework (GSGF) Second Edition and advance the revision of the UN Handbook on Geospatial Infrastructure in Support of Census Activities. The primary objectives of the meeting include defining a future-facing value proposition for statistical-geospatial integration as shared national data infrastructure beyond 2030, establishing an inclusive 2027â€“2029 workplan aligned with Statistical Commission and UN-GGIM decisions, providing practical guidance on addresses, building and dwelling registers, geocoding, common geographies, and dissemination under the five GSGF Principles, and scoping country pilots and regional support mechanisms. The workshop is organized by the United Nations Statistics Division (UNSD) in collaboration with regional and international partners. Participants will include members of the Expert Group, representatives of Member States from national statistical offices and national geospatial information agencies (paired where possible), relevant United Nations entities, and technical and development partners. The workshop is planned to take place from 30 November to 4 December 2026 at the United Nations Conference Centre (UNCC) at the United Nations Economic and Social Commission for Asia and the Pacific (ESCAP) in Bangkok, Thailand.</w:t>
            </w:r>
          </w:p>
        </w:tc>
        <w:tc>
          <w:tcPr>
            <w:tcW w:w="2400" w:type="dxa"/>
          </w:tcPr>
          <w:p>
            <w:r>
              <w:t xml:space="preserve">Country standardized: 'Turkey' -&gt; 'Türkiye'.</w:t>
            </w:r>
          </w:p>
        </w:tc>
      </w:tr>
      <w:tr>
        <w:tc>
          <w:tcPr>
            <w:tcW w:w="2400" w:type="dxa"/>
          </w:tcPr>
          <w:p>
            <w:r>
              <w:t xml:space="preserve">5523</w:t>
            </w:r>
          </w:p>
        </w:tc>
        <w:tc>
          <w:tcPr>
            <w:tcW w:w="2400" w:type="dxa"/>
          </w:tcPr>
          <w:p>
            <w:r>
              <w:t xml:space="preserve">Request #5523 ? The proposed activity combines a technical meeting and international consultancy support to advance the development of a Central Framework for a System of Population and Social Statistics (CF-SPSS). It responds to the growing need for a more coherent, integrated and policy-relevant approach to social and demographic statistics, and builds on the work mandated by the United Nations Statistical Commission to strengthen this statistical pillar and advance a conceptual framework that better reflects the relationships between society, the economy and the environment. It also responds directly to requests from Member States for continued technical development, practical implementation guidance, exchange of country experiences, and sustained support for the future work of the proposed Committee of Experts on Population and Social Statistics (CEPSS).  / The activity aims to: (a) review and refine key conceptual and methodological elements of the CF-SPSS, including its scope, structure and practical value for national statistical systems; (b) facilitate the exchange of country experiences and technical knowledge on integrated population and social statistics; (c) identify practical priorities and next steps for the further development and implementation of the CF-SPSS in a sequenced, inclusive and country-relevant manner; and (d) prepare structured technical outputs, through the consultancy, to support future guidance and the work of the CEPSS.</w:t>
            </w:r>
          </w:p>
        </w:tc>
        <w:tc>
          <w:tcPr>
            <w:tcW w:w="2400" w:type="dxa"/>
          </w:tcPr>
          <w:p>
            <w:r>
              <w:t xml:space="preserve">Under consideration</w:t>
            </w:r>
          </w:p>
        </w:tc>
        <w:tc>
          <w:tcPr>
            <w:tcW w:w="2400" w:type="dxa"/>
          </w:tcPr>
          <w:p>
            <w:r>
              <w:t xml:space="preserve">Statistics Division</w:t>
            </w:r>
          </w:p>
        </w:tc>
        <w:tc>
          <w:tcPr>
            <w:tcW w:w="2400" w:type="dxa"/>
          </w:tcPr>
          <w:p>
            <w:r>
              <w:t xml:space="preserve">08 Jun 2026</w:t>
            </w:r>
          </w:p>
        </w:tc>
        <w:tc>
          <w:tcPr>
            <w:tcW w:w="2400" w:type="dxa"/>
          </w:tcPr>
          <w:p>
            <w:r>
              <w:t xml:space="preserve">01 Jul 2026</w:t>
            </w:r>
          </w:p>
        </w:tc>
        <w:tc>
          <w:tcPr>
            <w:tcW w:w="2400" w:type="dxa"/>
          </w:tcPr>
          <w:p>
            <w:r>
              <w:t xml:space="preserve">31 Dec 2026</w:t>
            </w:r>
          </w:p>
        </w:tc>
        <w:tc>
          <w:tcPr>
            <w:tcW w:w="2400" w:type="dxa"/>
          </w:tcPr>
          <w:p>
            <w:r>
              <w:t xml:space="preserve">Iliana Vaca Trigo | iliana.vaca-trigo@un.org</w:t>
            </w:r>
          </w:p>
        </w:tc>
        <w:tc>
          <w:tcPr>
            <w:tcW w:w="2400" w:type="dxa"/>
          </w:tcPr>
          <w:p>
            <w:r>
              <w:t xml:space="preserve">The proposed activity combines a technical meeting and international consultancy support to advance the development of a Central Framework for a System of Population and Social Statistics (CF-SPSS). It responds to the growing need for a more coherent, integrated and policy-relevant approach to social and demographic statistics, and builds on the work mandated by the United Nations Statistical Commission to strengthen this statistical pillar and advance a conceptual framework that better reflects the relationships between society, the economy and the environment. It also responds directly to requests from Member States for continued technical development, practical implementation guidance, exchange of country experiences, and sustained support for the future work of the proposed Committee of Experts on Population and Social Statistics (CEPSS).  / The activity aims to: (a) review and refine key conceptual and methodological elements of the CF-SPSS, including its scope, structure and practical value for national statistical systems; (b) facilitate the exchange of country experiences and technical knowledge on integrated population and social statistics; (c) identify practical priorities and next steps for the further development and implementation of the CF-SPSS in a sequenced, inclusive and country-relevant manner; and (d) prepare structured technical outputs, through the consultancy, to support future guidance and the work of the CEPSS.</w:t>
            </w:r>
          </w:p>
        </w:tc>
        <w:tc>
          <w:tcPr>
            <w:tcW w:w="2400" w:type="dxa"/>
          </w:tcPr>
          <w:p>
            <w:r>
              <w:t xml:space="preserve">Country standardized: 'Republic of Korea' -&gt; 'Korea'.</w:t>
            </w:r>
          </w:p>
        </w:tc>
      </w:tr>
      <w:tr>
        <w:tc>
          <w:tcPr>
            <w:tcW w:w="2400" w:type="dxa"/>
          </w:tcPr>
          <w:p>
            <w:r>
              <w:t xml:space="preserve">3932</w:t>
            </w:r>
          </w:p>
        </w:tc>
        <w:tc>
          <w:tcPr>
            <w:tcW w:w="2400" w:type="dxa"/>
          </w:tcPr>
          <w:p>
            <w:r>
              <w:t xml:space="preserve">Request #3932 ? To help address the implementation lags, the current System of National Accounts (SNA) update work programme includes an explicit component dealing with the early implementation of some of the new recommendations. This component will enable countries to start building capacity and implementing the new standard before its publication and thus giving a head start to the SNA compliance. Moreover, the experience gained during these exercises will benefit later implementers and capacity development providers. This undertaking encompasses a diversity of country, topics and receiving and supporting capacity development institutions so a well-developed project management toolkit is required for monitoring the efficacy of each engagement, harmonizing the inputs and outputs, and recording (and subsequent reporting) of the most relevant project phases. The request is for an experienced consultant that can support the development of an overarching project management toolkit.</w:t>
            </w:r>
          </w:p>
        </w:tc>
        <w:tc>
          <w:tcPr>
            <w:tcW w:w="2400" w:type="dxa"/>
          </w:tcPr>
          <w:p>
            <w:r>
              <w:t xml:space="preserve">Completed</w:t>
            </w:r>
          </w:p>
        </w:tc>
        <w:tc>
          <w:tcPr>
            <w:tcW w:w="2400" w:type="dxa"/>
          </w:tcPr>
          <w:p>
            <w:r>
              <w:t xml:space="preserve">Statistics Division</w:t>
            </w:r>
          </w:p>
        </w:tc>
        <w:tc>
          <w:tcPr>
            <w:tcW w:w="2400" w:type="dxa"/>
          </w:tcPr>
          <w:p>
            <w:r>
              <w:t xml:space="preserve">24 Aug 2021</w:t>
            </w:r>
          </w:p>
        </w:tc>
        <w:tc>
          <w:tcPr>
            <w:tcW w:w="2400" w:type="dxa"/>
          </w:tcPr>
          <w:p>
            <w:r>
              <w:t xml:space="preserve">09 Jan 2021</w:t>
            </w:r>
          </w:p>
        </w:tc>
        <w:tc>
          <w:tcPr>
            <w:tcW w:w="2400" w:type="dxa"/>
          </w:tcPr>
          <w:p>
            <w:r>
              <w:t xml:space="preserve">14 Dec 2023</w:t>
            </w:r>
          </w:p>
        </w:tc>
        <w:tc>
          <w:tcPr>
            <w:tcW w:w="2400" w:type="dxa"/>
          </w:tcPr>
          <w:p>
            <w:r>
              <w:t xml:space="preserve">Michael Stanger | michael.stanger@un.org</w:t>
            </w:r>
          </w:p>
        </w:tc>
        <w:tc>
          <w:tcPr>
            <w:tcW w:w="2400" w:type="dxa"/>
          </w:tcPr>
          <w:p>
            <w:r>
              <w:t xml:space="preserve">To help address the implementation lags, the current System of National Accounts (SNA) update work programme includes an explicit component dealing with the early implementation of some of the new recommendations. This component will enable countries to start building capacity and implementing the new standard before its publication and thus giving a head start to the SNA compliance. Moreover, the experience gained during these exercises will benefit later implementers and capacity development providers. This undertaking encompasses a diversity of country, topics and receiving and supporting capacity development institutions so a well-developed project management toolkit is required for monitoring the efficacy of each engagement, harmonizing the inputs and outputs, and recording (and subsequent reporting) of the most relevant project phases. The request is for an experienced consultant that can support the development of an overarching project management toolkit.</w:t>
            </w:r>
          </w:p>
        </w:tc>
        <w:tc>
          <w:tcPr>
            <w:tcW w:w="2400" w:type="dxa"/>
          </w:tcPr>
          <w:p>
            <w:r>
              <w:t xml:space="preserve"/>
            </w:r>
          </w:p>
        </w:tc>
      </w:tr>
      <w:tr>
        <w:tc>
          <w:tcPr>
            <w:tcW w:w="2400" w:type="dxa"/>
          </w:tcPr>
          <w:p>
            <w:r>
              <w:t xml:space="preserve">4234</w:t>
            </w:r>
          </w:p>
        </w:tc>
        <w:tc>
          <w:tcPr>
            <w:tcW w:w="2400" w:type="dxa"/>
          </w:tcPr>
          <w:p>
            <w:r>
              <w:t xml:space="preserve">Request #4234 ? Through the work of the Global Network of Institutions for Statistical Training (GIST) it has been re-confirmed that there is an urgent need to support developing countries in creating and better maintaining statistical training programs at national level. This is key for staff at the National Statistical Systems (NSS) to receive core trainings for doing their jobs efficiently, and will make the NSS less dependent on external partners. / GIST has identified that a key first step is to help countries develop a needs assessment tool to understand the training needs of their staff as well as key development area needs from a managerial perspective. In relation to this, there is also a need to provide guidance on how to prioritise among gaps identified as well as to provide template curriculums for courses that are expected to be core in all countries. / GIST members are actively supporting the work, but are in needs of support in coordinating the work, helping it move forward more quickly to respond to countries needs and ultimately help staff in the NSS improve their skills more systematically to increase efficiency of the NSS in providing quality and timely SDG and other statistics to the public.</w:t>
            </w:r>
          </w:p>
        </w:tc>
        <w:tc>
          <w:tcPr>
            <w:tcW w:w="2400" w:type="dxa"/>
          </w:tcPr>
          <w:p>
            <w:r>
              <w:t xml:space="preserve">Completed</w:t>
            </w:r>
          </w:p>
        </w:tc>
        <w:tc>
          <w:tcPr>
            <w:tcW w:w="2400" w:type="dxa"/>
          </w:tcPr>
          <w:p>
            <w:r>
              <w:t xml:space="preserve">Statistics Division</w:t>
            </w:r>
          </w:p>
        </w:tc>
        <w:tc>
          <w:tcPr>
            <w:tcW w:w="2400" w:type="dxa"/>
          </w:tcPr>
          <w:p>
            <w:r>
              <w:t xml:space="preserve">05 Jul 2022</w:t>
            </w:r>
          </w:p>
        </w:tc>
        <w:tc>
          <w:tcPr>
            <w:tcW w:w="2400" w:type="dxa"/>
          </w:tcPr>
          <w:p>
            <w:r>
              <w:t xml:space="preserve">08 Jan 2022</w:t>
            </w:r>
          </w:p>
        </w:tc>
        <w:tc>
          <w:tcPr>
            <w:tcW w:w="2400" w:type="dxa"/>
          </w:tcPr>
          <w:p>
            <w:r>
              <w:t xml:space="preserve">30 Dec 2022</w:t>
            </w:r>
          </w:p>
        </w:tc>
        <w:tc>
          <w:tcPr>
            <w:tcW w:w="2400" w:type="dxa"/>
          </w:tcPr>
          <w:p>
            <w:r>
              <w:t xml:space="preserve">UN Statistical Commission | vibeke.nielsen@un.org</w:t>
            </w:r>
          </w:p>
        </w:tc>
        <w:tc>
          <w:tcPr>
            <w:tcW w:w="2400" w:type="dxa"/>
          </w:tcPr>
          <w:p>
            <w:r>
              <w:t xml:space="preserve">Through the work of the Global Network of Institutions for Statistical Training (GIST) it has been re-confirmed that there is an urgent need to support developing countries in creating and better maintaining statistical training programs at national level. This is key for staff at the National Statistical Systems (NSS) to receive core trainings for doing their jobs efficiently, and will make the NSS less dependent on external partners. / GIST has identified that a key first step is to help countries develop a needs assessment tool to understand the training needs of their staff as well as key development area needs from a managerial perspective. In relation to this, there is also a need to provide guidance on how to prioritise among gaps identified as well as to provide template curriculums for courses that are expected to be core in all countries. / GIST members are actively supporting the work, but are in needs of support in coordinating the work, helping it move forward more quickly to respond to countries needs and ultimately help staff in the NSS improve their skills more systematically to increase efficiency of the NSS in providing quality and timely SDG and other statistics to the public.</w:t>
            </w:r>
          </w:p>
        </w:tc>
        <w:tc>
          <w:tcPr>
            <w:tcW w:w="2400" w:type="dxa"/>
          </w:tcPr>
          <w:p>
            <w:r>
              <w:t xml:space="preserve">Country standardized: 'Sri Lanka' -&gt; 'Democratic Socialist Republic of Sri Lanka'.</w:t>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c>
          <w:tcPr>
            <w:tcW w:w="2400" w:type="dxa"/>
          </w:tcPr>
          <w:p>
            <w:r>
              <w:rPr>
                <w:b/>
              </w:rPr>
              <w:t xml:space="preserve">Data info</w:t>
            </w:r>
          </w:p>
        </w:tc>
      </w:tr>
      <w:tr>
        <w:tc>
          <w:tcPr>
            <w:tcW w:w="2400" w:type="dxa"/>
          </w:tcPr>
          <w:p>
            <w:r>
              <w:t xml:space="preserve">0002093292 - Russian Federation</w:t>
            </w:r>
          </w:p>
        </w:tc>
        <w:tc>
          <w:tcPr>
            <w:tcW w:w="2400" w:type="dxa"/>
          </w:tcPr>
          <w:p>
            <w:r>
              <w:t xml:space="preserve">0002093292</w:t>
            </w:r>
          </w:p>
        </w:tc>
        <w:tc>
          <w:tcPr>
            <w:tcW w:w="2400" w:type="dxa"/>
          </w:tcPr>
          <w:p>
            <w:r>
              <w:t xml:space="preserve">Past</w:t>
            </w:r>
          </w:p>
        </w:tc>
        <w:tc>
          <w:tcPr>
            <w:tcW w:w="2400" w:type="dxa"/>
          </w:tcPr>
          <w:p>
            <w:r>
              <w:t xml:space="preserve">Russian Federation</w:t>
            </w:r>
          </w:p>
        </w:tc>
        <w:tc>
          <w:tcPr>
            <w:tcW w:w="2400" w:type="dxa"/>
          </w:tcPr>
          <w:p>
            <w:r>
              <w:t xml:space="preserve"/>
            </w:r>
          </w:p>
        </w:tc>
        <w:tc>
          <w:tcPr>
            <w:tcW w:w="2400" w:type="dxa"/>
          </w:tcPr>
          <w:p>
            <w:r>
              <w:t xml:space="preserve">DIVISION FOR PUBLIC INSTITUTIONS AND DIGITAL GOVERNMENT</w:t>
            </w:r>
          </w:p>
        </w:tc>
        <w:tc>
          <w:tcPr>
            <w:tcW w:w="2400" w:type="dxa"/>
          </w:tcPr>
          <w:p>
            <w:r>
              <w:t xml:space="preserve">REPRESENT IGF SECRETARIAT AT GLOBAL DIGITAL FORUM (GDF)</w:t>
            </w:r>
          </w:p>
        </w:tc>
        <w:tc>
          <w:tcPr>
            <w:tcW w:w="2400" w:type="dxa"/>
          </w:tcPr>
          <w:p>
            <w:r>
              <w:t xml:space="preserve"/>
            </w:r>
          </w:p>
        </w:tc>
        <w:tc>
          <w:tcPr>
            <w:tcW w:w="2400" w:type="dxa"/>
          </w:tcPr>
          <w:p>
            <w:r>
              <w:t xml:space="preserve">04 Jun 2025</w:t>
            </w:r>
          </w:p>
        </w:tc>
        <w:tc>
          <w:tcPr>
            <w:tcW w:w="2400" w:type="dxa"/>
          </w:tcPr>
          <w:p>
            <w:r>
              <w:t xml:space="preserve">07 Jun 2025</w:t>
            </w:r>
          </w:p>
        </w:tc>
        <w:tc>
          <w:tcPr>
            <w:tcW w:w="2400" w:type="dxa"/>
          </w:tcPr>
          <w:p>
            <w:r>
              <w:t xml:space="preserve">Country standardized: 'Russian Fed.' -&gt; 'Russian Federation'.</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Enhancing Key Statistics and Indicators to Monitor Progress Towards the Millennium Development Goals and Other Internationally Agreed Development Goals</w:t>
            </w:r>
          </w:p>
        </w:tc>
        <w:tc>
          <w:tcPr>
            <w:tcW w:w="2400" w:type="dxa"/>
          </w:tcPr>
          <w:p>
            <w:r>
              <w:t xml:space="preserve">2014</w:t>
            </w:r>
          </w:p>
        </w:tc>
        <w:tc>
          <w:tcPr>
            <w:tcW w:w="2400" w:type="dxa"/>
          </w:tcPr>
          <w:p>
            <w:r>
              <w:t xml:space="preserve">UNSD</w:t>
            </w:r>
          </w:p>
        </w:tc>
        <w:tc>
          <w:tcPr>
            <w:tcW w:w="2400" w:type="dxa"/>
          </w:tcPr>
          <w:p>
            <w:r>
              <w:t xml:space="preserve">Brazil, Bulgaria, Jordan, Philippines, Romania, Russian Federation, Tunisia, Ukraine</w:t>
            </w:r>
          </w:p>
        </w:tc>
        <w:tc>
          <w:tcPr>
            <w:tcW w:w="2400" w:type="dxa"/>
          </w:tcPr>
          <w:p>
            <w:r>
              <w:t xml:space="preserve">- DA projects should be designed region by region and a steering committee should be setup to support management and supervision of project activities. / - DESA/SD should work with Regional Commissions and countries to increase women’s participation in future events. / - DESA/SD should ensure that potential users are aware of the Data Dissemination and Communication Knowledge Base by introducing it at meetings and workshops and featuring it prominently on the DESA/SD website. / - DESA/SD should consider establishing a City Group or similar arrangement on Data Dissemination and Communication. / - Updating the Knowledge Base should be a collaborative effort between DESA/SD, countries, and regional and international organizations. / - Statistical offices should consider syndicating content to media and news websites to reach a wider audience. / - Strategies for web-based data dissemination should consider different types of users, including those who want to access raw data to build their own interfaces. / - Countries should integrate statistical and geospatial information for dissemination and communication. / - Statistical offices should have staff trained in communication and the use of new technologies.</w:t>
            </w:r>
          </w:p>
        </w:tc>
        <w:tc>
          <w:tcPr>
            <w:tcW w:w="2400" w:type="dxa"/>
          </w:tcPr>
          <w:p>
            <w:r>
              <w:t xml:space="preserve">- Workshops served well as fora for sharing knowledge and exchange of experience, but future workshops would benefit from a more homogenous group of participants. / - Resource persons from DESA/SD, Regional Commissions, UN specialized agencies, and others contributed to the success of the workshops. / - The involvement of Regional Commissions and UN agencies contributed to the success and sustainability of the project outcomes. / - The Data Dissemination and Communication Knowledge Base was an outcome of collaborative work, which is a useful and cost-saving mechanism for similar future endeavors. / - The project was successful in strengthening the regional network of statisticians, increasing intra-regional statistical cooperation, and raising the national profile of statistics. / - The absence of a steering committee weakened implementation and monitoring; such committees are important for project duration and for institutionalizing activities after project completion.</w:t>
            </w:r>
          </w:p>
        </w:tc>
        <w:tc>
          <w:tcPr>
            <w:tcW w:w="2400" w:type="dxa"/>
          </w:tcPr>
          <w:p>
            <w:r>
              <w:t xml:space="preserve">https://unitednations.sharepoint.com/sites/DESA-CDPMO/Shared Documents/General/3. Finance Management/5 - DEVELOPMENT ACCOUNT/DA - DESA/03 PROJECTS - CLOSED/SD/ROA 166 - 7th tranche - Enhancing Stats and Indic to monitor prog Agreed Dev Goals/DA Project Final Eval Rep June30, 2014.docx</w:t>
            </w:r>
          </w:p>
        </w:tc>
        <w:tc>
          <w:tcPr>
            <w:tcW w:w="2400" w:type="dxa"/>
          </w:tcPr>
          <w:p>
            <w:r>
              <w:t xml:space="preserve">Country standardized: 'Russia' -&gt; 'Russian Federation'.</w:t>
            </w:r>
          </w:p>
        </w:tc>
        <w:tc>
          <w:tcPr>
            <w:tcW w:w="2400" w:type="dxa"/>
          </w:tcPr>
          <w:p>
            <w:r>
              <w:t xml:space="preserve"/>
            </w:r>
          </w:p>
        </w:tc>
      </w:tr>
      <w:tr>
        <w:tc>
          <w:tcPr>
            <w:tcW w:w="2400" w:type="dxa"/>
          </w:tcPr>
          <w:p>
            <w:r>
              <w:t xml:space="preserve">Evaluation of the United Nations Centre for Regional Development (UNCRD)</w:t>
            </w:r>
          </w:p>
        </w:tc>
        <w:tc>
          <w:tcPr>
            <w:tcW w:w="2400" w:type="dxa"/>
          </w:tcPr>
          <w:p>
            <w:r>
              <w:t xml:space="preserve">2023</w:t>
            </w:r>
          </w:p>
        </w:tc>
        <w:tc>
          <w:tcPr>
            <w:tcW w:w="2400" w:type="dxa"/>
          </w:tcPr>
          <w:p>
            <w:r>
              <w:t xml:space="preserve">DSDG; CDPMO</w:t>
            </w:r>
          </w:p>
        </w:tc>
        <w:tc>
          <w:tcPr>
            <w:tcW w:w="2400" w:type="dxa"/>
          </w:tcPr>
          <w:p>
            <w:r>
              <w:t xml:space="preserve">Afghanistan, Australia, Bangladesh, Bhutan, Brunei Darussalam, Cambodia, China, Democratic Republic of Timor-Leste, Democratic Socialist Republic of Sri Lanka, Fiji, India, Indonesia, Iran (Islamic Republic of), Japan, Kiribati, Korea, Lao People's Democratic Republic, Malaysia, Maldives, Marshall Islands, Micronesia (Federated States of), Mongolia, Myanmar, Nepal, New Zealand, Palau, Papua New Guinea, Philippines, Russian Federation, Samoa, Singapore, Solomon Islands, Thailand, Tonga, Tuvalu, Viet Nam</w:t>
            </w:r>
          </w:p>
        </w:tc>
        <w:tc>
          <w:tcPr>
            <w:tcW w:w="2400" w:type="dxa"/>
          </w:tcPr>
          <w:p>
            <w:r>
              <w:t xml:space="preserve">- Develop a strategic vision for UNCRD that is closely aligned with UN DESA’s mandate and the priorities of the donor and that articulates its added value, comparative advantages, and strengths. / - Secure additional core funding to ensure UNCRD’s sustainability. / - Take actionable concrete steps to support more holistic office management. / - Strengthen collaboration between UN DESA and UNCRD. / - Develop a technical assistance programme to support member state capacity development throughout the year.</w:t>
            </w:r>
          </w:p>
        </w:tc>
        <w:tc>
          <w:tcPr>
            <w:tcW w:w="2400" w:type="dxa"/>
          </w:tcPr>
          <w:p>
            <w:r>
              <w:t xml:space="preserve">- Visibility and effective communication with donors along with intentional alignment with donor priorities are essential components to ensuring programme sustainability. / - When more than one donor funds programming, staff cohesion and teamwork can be promoted by ensuring that each donor funds a portion of each staff position. / - Generating partner buy-in and leveraging that buy-in through in-kind and financial contributions can significantly increase an office’s capacity to achieve greater results. / - UN DESA’s project offices require investment from UN DESA to support their strategic work and not only their administrative work. / - Focusing on specific thematic areas can provide excellent added value to overall efforts to achieve the SDGs. However, programming must be centered within the wider SDG context and be aligned with DESA and donor priorities in order to demonstrate its relevance. / - Supporting intra-governmental collaboration across government ministries is a highly valued contribution towards achieving the complexity of the SDGs.</w:t>
            </w:r>
          </w:p>
        </w:tc>
        <w:tc>
          <w:tcPr>
            <w:tcW w:w="2400" w:type="dxa"/>
          </w:tcPr>
          <w:p>
            <w:r>
              <w:t xml:space="preserve">https://unitednations.sharepoint.com/sites/DESA-CDPMO/Shared Documents/General/3. Finance Management/1 - TC PROJECTS/Active Projects/6 DSDG (DSD)/UNCRD/All UNCRD projects/Audit &amp; Evaluation/Evaluation 2023/Final Evaluation Report June 26 2023/UNCRD Evaluation Final Report June 26 2023.docx</w:t>
            </w:r>
          </w:p>
        </w:tc>
        <w:tc>
          <w:tcPr>
            <w:tcW w:w="2400" w:type="dxa"/>
          </w:tcPr>
          <w:p>
            <w:r>
              <w:t xml:space="preserve">Country standardized: 'Federated States of Micronesia' -&gt; 'Micronesia (Federated States of)'. / Country standardized: 'Iran' -&gt; 'Iran (Islamic Republic of)'. / Country standardized: 'Lao PDR' -&gt; 'Lao People's Democratic Republic'. / Country standardized: 'Republic of Korea' -&gt; 'Korea'. / Country standardized: 'Sri Lanka' -&gt; 'Democratic Socialist Republic of Sri Lanka'. / Country standardized: 'Timor-Leste' -&gt; 'Democratic Republic of Timor-Leste'.</w:t>
            </w:r>
          </w:p>
        </w:tc>
        <w:tc>
          <w:tcPr>
            <w:tcW w:w="2400" w:type="dxa"/>
          </w:tcPr>
          <w:p>
            <w:r>
              <w:t xml:space="preserve">evaluations.xlsx rows 282 (archived) and 127 (retained): Review conflicts: Countries differs: archived row has 'Afghanistan; Australia; Bangladesh; Bhutan; Brunei Darussalam; Cambodia; China; Fiji; India; Indonesia; Iran; Japan; Kiribati; Korea; Lao People’s Democratic Republic; Malaysia; Maldives; Marshall Islands; Micronesia; Mongolia; Myanmar; Nepal; New Zealand; Palau; Papua New Guinea; Philippines; Russian Federation; Samoa; Singapore; Solomon Islands; Sri Lanka; Thailand; Timor-Leste; Tonga; Tuvalu; Viet Nam'; retained row has 'Afghanistan; Australia; Bangladesh; Bhutan; Brunei Darussalam; Cambodia; China; Fiji; India; Indonesia; Iran; Japan; Kiribati; Republic of Korea; Lao People's Democratic Republic; Lao PDR; Malaysia; Maldives; Marshall Islands; Federated States of Micronesia; Mongolia; Myanmar; Nepal; New Zealand; Palau; Papua New Guinea; Philippines; Russian Federation; Samoa; Singapore; Solomon Islands; Sri Lanka; Thailand; Timor-Leste; Tonga; Tuvalu; Viet Nam'. Country lists were not merged.</w:t>
            </w:r>
          </w:p>
        </w:tc>
      </w:tr>
      <w:tr>
        <w:tc>
          <w:tcPr>
            <w:tcW w:w="2400" w:type="dxa"/>
          </w:tcPr>
          <w:p>
            <w:r>
              <w:t xml:space="preserve">Developing a Public‐Private Partnerships (PPP) and Infrastructure Financing Network in Asia and the Pacific</w:t>
            </w:r>
          </w:p>
        </w:tc>
        <w:tc>
          <w:tcPr>
            <w:tcW w:w="2400" w:type="dxa"/>
          </w:tcPr>
          <w:p>
            <w:r>
              <w:t xml:space="preserve">2022</w:t>
            </w:r>
          </w:p>
        </w:tc>
        <w:tc>
          <w:tcPr>
            <w:tcW w:w="2400" w:type="dxa"/>
          </w:tcPr>
          <w:p>
            <w:r>
              <w:t xml:space="preserve"/>
            </w:r>
          </w:p>
        </w:tc>
        <w:tc>
          <w:tcPr>
            <w:tcW w:w="2400" w:type="dxa"/>
          </w:tcPr>
          <w:p>
            <w:r>
              <w:t xml:space="preserve">Afghanistan, Bangladesh, Cambodia, Democratic Republic of Timor-Leste, Fiji, India, Indonesia, Kazakhstan, Kyrgyzstan, Lao People's Democratic Republic, Malaysia, Mongolia, Nepal, Pakistan, Papua New Guinea, Philippines, Russian Federation, Tajikistan, Thailand, Türkiye, Viet Nam</w:t>
            </w:r>
          </w:p>
        </w:tc>
        <w:tc>
          <w:tcPr>
            <w:tcW w:w="2400" w:type="dxa"/>
          </w:tcPr>
          <w:p>
            <w:r>
              <w:t xml:space="preserve">- The project team should further clarify the end-purpose of the Network to its key internal and external stakeholders, establish a clear theory of change and results matrix, and set measurable targets to assess its performance. / - Increase attention to collecting data on key outcomes and impacts to document and learn about changes occurring at different levels, and develop a clear M&amp;E plan involving national partners. / - Further incorporate human rights, gender equality, and related issues in key priority areas by systematically collecting disaggregated data and arranging training on mainstreaming gender and human rights issues in project design and implementation. / - Seek additional resources for building on the results achieved so far and diversify the donor base for sustainability and expansion. / - Enhance collaboration with other ESCAP divisions and sections to offer deeper expertise and build on collaboration with related units and networks such as the ESCAP Sustainable Business Network (ESBN).</w:t>
            </w:r>
          </w:p>
        </w:tc>
        <w:tc>
          <w:tcPr>
            <w:tcW w:w="2400" w:type="dxa"/>
          </w:tcPr>
          <w:p>
            <w:r>
              <w:t xml:space="preserve">- Involving private sector entities and carefully selecting local and international partnerships contributed to the successful establishment and operationalization of the network and should be replicated in other projects where relevant. / - Remote collaboration, while necessary during the pandemic, limited deeper engagement critical for higher-order outcomes such as building trust and making investments; future phases should emphasize site visits and in-person networking to facilitate more meaningful connections.</w:t>
            </w:r>
          </w:p>
        </w:tc>
        <w:tc>
          <w:tcPr>
            <w:tcW w:w="2400" w:type="dxa"/>
          </w:tcPr>
          <w:p>
            <w:r>
              <w:t xml:space="preserve">https://unitednations.sharepoint.com/sites/DESA-CDPMO/Shared Documents/General/6. Peace and Development TF/8. Funded projects/2018/PDF-2018-06 ESCAP/Reports/Final Report &amp; Evaluation/PPP Project Evaluation Report _formatted 17Nov.pdf</w:t>
            </w:r>
          </w:p>
        </w:tc>
        <w:tc>
          <w:tcPr>
            <w:tcW w:w="2400" w:type="dxa"/>
          </w:tcPr>
          <w:p>
            <w:r>
              <w:t xml:space="preserve">Country standardized: 'Lao PDR' -&gt; 'Lao People's Democratic Republic'. / Country standardized: 'Timor-Leste' -&gt; 'Democratic Republic of Timor-Leste'.</w:t>
            </w:r>
          </w:p>
        </w:tc>
        <w:tc>
          <w:tcPr>
            <w:tcW w:w="2400" w:type="dxa"/>
          </w:tcPr>
          <w:p>
            <w:r>
              <w:t xml:space="preserve">evaluations.xlsx row 214: Divisions not provided.</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evaluations.xlsx row 214: Divisions not provided.</w:t>
            </w:r>
          </w:p>
        </w:tc>
      </w:tr>
      <w:tr>
        <w:tc>
          <w:tcPr>
            <w:tcW w:w="2400" w:type="dxa"/>
          </w:tcPr>
          <w:p>
            <w:r>
              <w:t xml:space="preserve">2</w:t>
            </w:r>
          </w:p>
        </w:tc>
        <w:tc>
          <w:tcPr>
            <w:tcW w:w="2400" w:type="dxa"/>
          </w:tcPr>
          <w:p>
            <w:r>
              <w:t xml:space="preserve">evaluations.xlsx rows 282 (archived) and 127 (retained): Review conflicts: Countries differs: archived row has 'Afghanistan; Australia; Bangladesh; Bhutan; Brunei Darussalam; Cambodia; China; Fiji; India; Indonesia; Iran; Japan; Kiribati; Korea; Lao People’s Democratic Republic; Malaysia; Maldives; Marshall Islands; Micronesia; Mongolia; Myanmar; Nepal; New Zealand; Palau; Papua New Guinea; Philippines; Russian Federation; Samoa; Singapore; Solomon Islands; Sri Lanka; Thailand; Timor-Leste; Tonga; Tuvalu; Viet Nam'; retained row has 'Afghanistan; Australia; Bangladesh; Bhutan; Brunei Darussalam; Cambodia; China; Fiji; India; Indonesia; Iran; Japan; Kiribati; Republic of Korea; Lao People's Democratic Republic; Lao PDR; Malaysia; Maldives; Marshall Islands; Federated States of Micronesia; Mongolia; Myanmar; Nepal; New Zealand; Palau; Papua New Guinea; Philippines; Russian Federation; Samoa; Singapore; Solomon Islands; Sri Lanka; Thailand; Timor-Leste; Tonga; Tuvalu; Viet Nam'. Country lists were not merged.</w:t>
            </w:r>
          </w:p>
        </w:tc>
      </w:tr>
      <w:tr>
        <w:tc>
          <w:tcPr>
            <w:tcW w:w="2400" w:type="dxa"/>
          </w:tcPr>
          <w:p>
            <w:r>
              <w:t xml:space="preserve">3</w:t>
            </w:r>
          </w:p>
        </w:tc>
        <w:tc>
          <w:tcPr>
            <w:tcW w:w="2400" w:type="dxa"/>
          </w:tcPr>
          <w:p>
            <w:r>
              <w:t xml:space="preserve">GeoData_with_ISO3166_alpha3.xlsx: last modified 2026-05-22, more than 30 days before ingestion (134 days).</w:t>
            </w:r>
          </w:p>
        </w:tc>
      </w:tr>
      <w:tr>
        <w:tc>
          <w:tcPr>
            <w:tcW w:w="2400" w:type="dxa"/>
          </w:tcPr>
          <w:p>
            <w:r>
              <w:t xml:space="preserve">4</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5</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6</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7</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8</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9</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10</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11</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12</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13</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14</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15</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16</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17</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18</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19</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20</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21</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22</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23</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24</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25</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26</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27</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28</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29</w:t>
            </w:r>
          </w:p>
        </w:tc>
        <w:tc>
          <w:tcPr>
            <w:tcW w:w="2400" w:type="dxa"/>
          </w:tcPr>
          <w:p>
            <w:r>
              <w:t xml:space="preserve">Resolved - Action: duplicate evaluation at evaluations.xlsx row 306 removed; retained row 297 ().</w:t>
            </w:r>
          </w:p>
        </w:tc>
      </w:tr>
      <w:tr>
        <w:tc>
          <w:tcPr>
            <w:tcW w:w="2400" w:type="dxa"/>
          </w:tcPr>
          <w:p>
            <w:r>
              <w:t xml:space="preserve">30</w:t>
            </w:r>
          </w:p>
        </w:tc>
        <w:tc>
          <w:tcPr>
            <w:tcW w:w="2400" w:type="dxa"/>
          </w:tcPr>
          <w:p>
            <w:r>
              <w:t xml:space="preserve">Resolved - Action: duplicate evaluation at evaluations.xlsx row 332 removed; retained row 302 ().</w:t>
            </w:r>
          </w:p>
        </w:tc>
      </w:tr>
      <w:tr>
        <w:tc>
          <w:tcPr>
            <w:tcW w:w="2400" w:type="dxa"/>
          </w:tcPr>
          <w:p>
            <w:r>
              <w:t xml:space="preserve">31</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32</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33</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34</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35</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36</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37</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38</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39</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40</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41</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42</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43</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44</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45</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46</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47</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48</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49</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50</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