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Singapore</w:t>
      </w:r>
    </w:p>
    <w:p>
      <w:r>
        <w:rPr>
          <w:sz w:val="20"/>
          <w:color w:val="4B5563"/>
        </w:rPr>
        <w:t xml:space="preserve">Asia | SIDS</w:t>
      </w:r>
    </w:p>
    <w:p>
      <w:r>
        <w:rPr>
          <w:sz w:val="20"/>
          <w:color w:val="4B5563"/>
        </w:rPr>
        <w:t xml:space="preserve">Exported 05 Oct 2026, 14:20 | Snapshot 03 Oct 2026, 21:47 GMT-4</w:t>
      </w:r>
    </w:p>
    <w:p>
      <w:r>
        <w:rPr>
          <w:b/>
          <w:sz w:val="28"/>
          <w:color w:val="174A7C"/>
        </w:rPr>
        <w:t xml:space="preserve">Summary</w:t>
      </w:r>
    </w:p>
    <w:p>
      <w:r>
        <w:t xml:space="preserve">Singapore is presented in this country card as part of Asia, with Singapore also associated with an unspecified subregion and the SIDS grouping. The filtered data for Singapore highlights 1 projects for Singapore, including 0 active or planned projects for Singapore and 1 completed or closed projects for Singapore.</w:t>
      </w:r>
    </w:p>
    <w:p>
      <w:r>
        <w:t xml:space="preserve">For Singapore, the report includes 3 requests for Singapore, 0 RPTC proposals for Singapore, 0 RPTC activities for Singapore, and 0 travel records for Singapore. Financially, Singapore shows USD 3,017,469 in project budget, $0 in proposal planned budget, and $0 in consumed RPTC activity budget for Singapore.</w:t>
      </w:r>
    </w:p>
    <w:p>
      <w:r>
        <w:t xml:space="preserve">The main organizational coverage for Singapore points to Division for Sustainable Development Goals, Statistics Division. Activity records for Singapore list 0 participants, including 0 women participants, the current quality review for Singapore includes 51 data quality notes. Current highlights for Singapore include a request focus for Singapore: Request #5579 ? 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w:t>
            </w:r>
          </w:p>
        </w:tc>
      </w:tr>
      <w:tr>
        <w:tc>
          <w:tcPr>
            <w:tcW w:w="2400" w:type="dxa"/>
          </w:tcPr>
          <w:p>
            <w:r>
              <w:t xml:space="preserve">Project budget</w:t>
            </w:r>
          </w:p>
        </w:tc>
        <w:tc>
          <w:tcPr>
            <w:tcW w:w="2400" w:type="dxa"/>
          </w:tcPr>
          <w:p>
            <w:r>
              <w:t xml:space="preserve">USD 3,017,469</w:t>
            </w:r>
          </w:p>
        </w:tc>
      </w:tr>
      <w:tr>
        <w:tc>
          <w:tcPr>
            <w:tcW w:w="2400" w:type="dxa"/>
          </w:tcPr>
          <w:p>
            <w:r>
              <w:t xml:space="preserve">Requests</w:t>
            </w:r>
          </w:p>
        </w:tc>
        <w:tc>
          <w:tcPr>
            <w:tcW w:w="2400" w:type="dxa"/>
          </w:tcPr>
          <w:p>
            <w:r>
              <w:t xml:space="preserve">3</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3</w:t>
            </w:r>
          </w:p>
        </w:tc>
      </w:tr>
      <w:tr>
        <w:tc>
          <w:tcPr>
            <w:tcW w:w="2400" w:type="dxa"/>
          </w:tcPr>
          <w:p>
            <w:r>
              <w:t xml:space="preserve">Data quality notes</w:t>
            </w:r>
          </w:p>
        </w:tc>
        <w:tc>
          <w:tcPr>
            <w:tcW w:w="2400" w:type="dxa"/>
          </w:tcPr>
          <w:p>
            <w:r>
              <w:t xml:space="preserve">51</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Promotion of the 3Rs (Reduce, Reuse, and Recycle) in Asia and the Pacific Promotion of the 3Rs (Reduce, Reuse, and Recycle) in Asia and the Pacific</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08 Jan 2009</w:t>
            </w:r>
          </w:p>
        </w:tc>
        <w:tc>
          <w:tcPr>
            <w:tcW w:w="2400" w:type="dxa"/>
          </w:tcPr>
          <w:p>
            <w:r>
              <w:t xml:space="preserve">19 Dec 2020</w:t>
            </w:r>
          </w:p>
        </w:tc>
        <w:tc>
          <w:tcPr>
            <w:tcW w:w="2400" w:type="dxa"/>
          </w:tcPr>
          <w:p>
            <w:r>
              <w:t xml:space="preserve">USD 3,017,469</w:t>
            </w:r>
          </w:p>
        </w:tc>
        <w:tc>
          <w:tcPr>
            <w:tcW w:w="2400" w:type="dxa"/>
          </w:tcPr>
          <w:p>
            <w:r>
              <w:t xml:space="preserve">Bangladesh, Brunei Darussalam, Cambodia, Indonesia, Lao People's Democratic Republic, Malaysia, Myanmar, Philippines, Singapore, Thailand, Viet Nam</w:t>
            </w:r>
          </w:p>
        </w:tc>
        <w:tc>
          <w:tcPr>
            <w:tcW w:w="2400" w:type="dxa"/>
          </w:tcPr>
          <w:p>
            <w:r>
              <w:t xml:space="preserve">Country standardized: 'Lao PDR' -&gt; 'Lao People's Democratic Republic'.</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5579</w:t>
            </w:r>
          </w:p>
        </w:tc>
        <w:tc>
          <w:tcPr>
            <w:tcW w:w="2400" w:type="dxa"/>
          </w:tcPr>
          <w:p>
            <w:r>
              <w:t xml:space="preserve">Request #5579 ? 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tc>
        <w:tc>
          <w:tcPr>
            <w:tcW w:w="2400" w:type="dxa"/>
          </w:tcPr>
          <w:p>
            <w:r>
              <w:t xml:space="preserve">Under consideration</w:t>
            </w:r>
          </w:p>
        </w:tc>
        <w:tc>
          <w:tcPr>
            <w:tcW w:w="2400" w:type="dxa"/>
          </w:tcPr>
          <w:p>
            <w:r>
              <w:t xml:space="preserve">Statistics Division</w:t>
            </w:r>
          </w:p>
        </w:tc>
        <w:tc>
          <w:tcPr>
            <w:tcW w:w="2400" w:type="dxa"/>
          </w:tcPr>
          <w:p>
            <w:r>
              <w:t xml:space="preserve">15 Sept 2026</w:t>
            </w:r>
          </w:p>
        </w:tc>
        <w:tc>
          <w:tcPr>
            <w:tcW w:w="2400" w:type="dxa"/>
          </w:tcPr>
          <w:p>
            <w:r>
              <w:t xml:space="preserve">07 Dec 2026</w:t>
            </w:r>
          </w:p>
        </w:tc>
        <w:tc>
          <w:tcPr>
            <w:tcW w:w="2400" w:type="dxa"/>
          </w:tcPr>
          <w:p>
            <w:r>
              <w:t xml:space="preserve">11 Dec 2026</w:t>
            </w:r>
          </w:p>
        </w:tc>
        <w:tc>
          <w:tcPr>
            <w:tcW w:w="2400" w:type="dxa"/>
          </w:tcPr>
          <w:p>
            <w:r>
              <w:t xml:space="preserve">Anang Laksono | anang.laksono@asean.org</w:t>
            </w:r>
          </w:p>
        </w:tc>
        <w:tc>
          <w:tcPr>
            <w:tcW w:w="2400" w:type="dxa"/>
          </w:tcPr>
          <w:p>
            <w:r>
              <w:t xml:space="preserve">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tc>
        <w:tc>
          <w:tcPr>
            <w:tcW w:w="2400" w:type="dxa"/>
          </w:tcPr>
          <w:p>
            <w:r>
              <w:t xml:space="preserve">Country standardized: 'Timor-Leste' -&gt; 'Democratic Republic of Timor-Leste'.</w:t>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r>
      <w:tr>
        <w:tc>
          <w:tcPr>
            <w:tcW w:w="2400" w:type="dxa"/>
          </w:tcPr>
          <w:p>
            <w:r>
              <w:t xml:space="preserve">4779</w:t>
            </w:r>
          </w:p>
        </w:tc>
        <w:tc>
          <w:tcPr>
            <w:tcW w:w="2400" w:type="dxa"/>
          </w:tcPr>
          <w:p>
            <w:r>
              <w:t xml:space="preserve">Request #4779 ? UNSD is responding to the request put forward during the Statistical Commission held in New York from 28 February â€“ 3 March 2023 by Member States in written comments and oral intervention during the session on Global indicator framework for the Sustainable Development Goals and targets of the 2030 Agenda for Sustainable Development.</w:t>
            </w:r>
          </w:p>
        </w:tc>
        <w:tc>
          <w:tcPr>
            <w:tcW w:w="2400" w:type="dxa"/>
          </w:tcPr>
          <w:p>
            <w:r>
              <w:t xml:space="preserve">Completed</w:t>
            </w:r>
          </w:p>
        </w:tc>
        <w:tc>
          <w:tcPr>
            <w:tcW w:w="2400" w:type="dxa"/>
          </w:tcPr>
          <w:p>
            <w:r>
              <w:t xml:space="preserve">Statistics Division</w:t>
            </w:r>
          </w:p>
        </w:tc>
        <w:tc>
          <w:tcPr>
            <w:tcW w:w="2400" w:type="dxa"/>
          </w:tcPr>
          <w:p>
            <w:r>
              <w:t xml:space="preserve">28 Feb 2023</w:t>
            </w:r>
          </w:p>
        </w:tc>
        <w:tc>
          <w:tcPr>
            <w:tcW w:w="2400" w:type="dxa"/>
          </w:tcPr>
          <w:p>
            <w:r>
              <w:t xml:space="preserve">28 Feb 2023</w:t>
            </w:r>
          </w:p>
        </w:tc>
        <w:tc>
          <w:tcPr>
            <w:tcW w:w="2400" w:type="dxa"/>
          </w:tcPr>
          <w:p>
            <w:r>
              <w:t xml:space="preserve">26 Feb 2024</w:t>
            </w:r>
          </w:p>
        </w:tc>
        <w:tc>
          <w:tcPr>
            <w:tcW w:w="2400" w:type="dxa"/>
          </w:tcPr>
          <w:p>
            <w:r>
              <w:t xml:space="preserve">Yongyi Min | min3@un.org</w:t>
            </w:r>
          </w:p>
        </w:tc>
        <w:tc>
          <w:tcPr>
            <w:tcW w:w="2400" w:type="dxa"/>
          </w:tcPr>
          <w:p>
            <w:r>
              <w:t xml:space="preserve">UNSD is responding to the request put forward during the Statistical Commission held in New York from 28 February â€“ 3 March 2023 by Member States in written comments and oral intervention during the session on Global indicator framework for the Sustainable Development Goals and targets of the 2030 Agenda for Sustainable Development.</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Addressing COVID-19 and Sustainable Investments along the Belt and Road by Strengthening Partner Countries’ Capacities and Establishing a Network of Sustainable Investment Promotion (SIP) Facilities with Serbia as an Early Pilot</w:t>
            </w:r>
          </w:p>
        </w:tc>
        <w:tc>
          <w:tcPr>
            <w:tcW w:w="2400" w:type="dxa"/>
          </w:tcPr>
          <w:p>
            <w:r>
              <w:t xml:space="preserve">2023</w:t>
            </w:r>
          </w:p>
        </w:tc>
        <w:tc>
          <w:tcPr>
            <w:tcW w:w="2400" w:type="dxa"/>
          </w:tcPr>
          <w:p>
            <w:r>
              <w:t xml:space="preserve">DSDG</w:t>
            </w:r>
          </w:p>
        </w:tc>
        <w:tc>
          <w:tcPr>
            <w:tcW w:w="2400" w:type="dxa"/>
          </w:tcPr>
          <w:p>
            <w:r>
              <w:t xml:space="preserve">Albania, Bosnia and Herzegovina, Brazil, China, Indonesia, North Macedonia, Serbia, Singapore, United Arab Emirates</w:t>
            </w:r>
          </w:p>
        </w:tc>
        <w:tc>
          <w:tcPr>
            <w:tcW w:w="2400" w:type="dxa"/>
          </w:tcPr>
          <w:p>
            <w:r>
              <w:t xml:space="preserve">- Continuously and systematically involve the project in dialogue with partners, emphasizing inclusive and participatory planning and implementation to enhance national ownership and catalyze results. / - Broaden the partnership base and open new programmatic lines, including further development and promotion of the SDG Investor Map, operationalization of the One-Stop Shop, exploring SDG and ESG complementarity, scaling up green investments, cooperating with international financial institutions, supporting sustainability bonds and sustainable financing, and developing methodologies for planning and monitoring sustainable investments. / - Develop an integrated and comprehensive resource and partnership mobilization strategy, including engagement with new donors, private sector, and international financial institutions, and explore innovative financial models and UNDP core funds. / - Focus on practical results of supported innovations, feed into UNDP knowledge management systems, track and scale successful innovations, and monitor the application and impact of innovative tools in FDI attraction and ESG standards implementation. / - Embrace agile and adaptable approaches in the new programmatic cycle, aiming high and considering strategic choices for investment and prioritization. / - Further strengthen the two-pronged approach of simultaneous support to national and local institutions, ensuring coherence and up-scaling to avoid isolated achievements and support long-term sustainability.</w:t>
            </w:r>
          </w:p>
        </w:tc>
        <w:tc>
          <w:tcPr>
            <w:tcW w:w="2400" w:type="dxa"/>
          </w:tcPr>
          <w:p>
            <w:r>
              <w:t xml:space="preserve">- Strong and inclusive partnerships are foundational for ownership and facilitate the catalytic potential of outputs. / - A demand-driven approach and flexibility improve relevance, but responses must be embedded in a clear programmatic framework. / - Knowledge codification and systematic learning feedback improve programming and implementation; continuous sharing and open reflection are key. / - Capacity building should be seen as a long-term, context-specific effort embedded in broader change processes, focusing on changing values and mindsets as well as skills and knowledge to ensure sustainability.</w:t>
            </w:r>
          </w:p>
        </w:tc>
        <w:tc>
          <w:tcPr>
            <w:tcW w:w="2400" w:type="dxa"/>
          </w:tcPr>
          <w:p>
            <w:r>
              <w:t xml:space="preserve">https://unitednations.sharepoint.com/sites/DESA-CDPMO/Shared Documents/General/6. Peace and Development TF/8. Funded projects/Evaluations_Fin. Rep/2023_PDF-SDG-2020-02_Evaluation SIP Final Report- clean.docx</w:t>
            </w:r>
          </w:p>
        </w:tc>
        <w:tc>
          <w:tcPr>
            <w:tcW w:w="2400" w:type="dxa"/>
          </w:tcPr>
          <w:p>
            <w:r>
              <w:t xml:space="preserve"/>
            </w:r>
          </w:p>
        </w:tc>
        <w:tc>
          <w:tcPr>
            <w:tcW w:w="2400" w:type="dxa"/>
          </w:tcPr>
          <w:p>
            <w:r>
              <w:t xml:space="preserve">evaluations.xlsx rows 86 (archived) and 75 (retained): Review conflicts: RecommendationsList differs between document copies; LessonsLearnedList differs between document copies. Country lists were not merged.</w:t>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2</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3</w:t>
            </w:r>
          </w:p>
        </w:tc>
        <w:tc>
          <w:tcPr>
            <w:tcW w:w="2400" w:type="dxa"/>
          </w:tcPr>
          <w:p>
            <w:r>
              <w:t xml:space="preserve">evaluations.xlsx rows 86 (archived) and 75 (retained): Review conflicts: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GeoData_with_ISO3166_alpha3.xlsx: last modified 2026-05-22, more than 30 days before ingestion (134 days).</w:t>
            </w:r>
          </w:p>
        </w:tc>
      </w:tr>
      <w:tr>
        <w:tc>
          <w:tcPr>
            <w:tcW w:w="2400" w:type="dxa"/>
          </w:tcPr>
          <w:p>
            <w:r>
              <w:t xml:space="preserve">5</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6</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7</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8</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9</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10</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12</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13</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14</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15</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16</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17</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18</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19</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20</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21</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22</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23</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24</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25</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26</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27</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28</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29</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30</w:t>
            </w:r>
          </w:p>
        </w:tc>
        <w:tc>
          <w:tcPr>
            <w:tcW w:w="2400" w:type="dxa"/>
          </w:tcPr>
          <w:p>
            <w:r>
              <w:t xml:space="preserve">Resolved - Action: duplicate evaluation at evaluations.xlsx row 306 removed; retained row 297 ().</w:t>
            </w:r>
          </w:p>
        </w:tc>
      </w:tr>
      <w:tr>
        <w:tc>
          <w:tcPr>
            <w:tcW w:w="2400" w:type="dxa"/>
          </w:tcPr>
          <w:p>
            <w:r>
              <w:t xml:space="preserve">31</w:t>
            </w:r>
          </w:p>
        </w:tc>
        <w:tc>
          <w:tcPr>
            <w:tcW w:w="2400" w:type="dxa"/>
          </w:tcPr>
          <w:p>
            <w:r>
              <w:t xml:space="preserve">Resolved - Action: duplicate evaluation at evaluations.xlsx row 332 removed; retained row 302 ().</w:t>
            </w:r>
          </w:p>
        </w:tc>
      </w:tr>
      <w:tr>
        <w:tc>
          <w:tcPr>
            <w:tcW w:w="2400" w:type="dxa"/>
          </w:tcPr>
          <w:p>
            <w:r>
              <w:t xml:space="preserve">32</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33</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34</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36</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37</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38</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39</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40</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41</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42</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43</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44</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45</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46</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48</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49</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50</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51</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