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El Salvador</w:t>
      </w:r>
    </w:p>
    <w:p>
      <w:r>
        <w:rPr>
          <w:sz w:val="20"/>
          <w:color w:val="4B5563"/>
        </w:rPr>
        <w:t xml:space="preserve">Americas</w:t>
      </w:r>
    </w:p>
    <w:p>
      <w:r>
        <w:rPr>
          <w:sz w:val="20"/>
          <w:color w:val="4B5563"/>
        </w:rPr>
        <w:t xml:space="preserve">Exported 05 Oct 2026, 14:20 | Snapshot 03 Oct 2026, 21:47 GMT-4</w:t>
      </w:r>
    </w:p>
    <w:p>
      <w:r>
        <w:rPr>
          <w:b/>
          <w:sz w:val="28"/>
          <w:color w:val="174A7C"/>
        </w:rPr>
        <w:t xml:space="preserve">Summary</w:t>
      </w:r>
    </w:p>
    <w:p>
      <w:r>
        <w:t xml:space="preserve">El Salvador is presented in this country card as part of Americas, with El Salvador also associated with an unspecified subregion and the no recorded country group grouping. The filtered data for El Salvador highlights 2 projects for El Salvador, including 0 active or planned projects for El Salvador and 2 completed or closed projects for El Salvador.</w:t>
      </w:r>
    </w:p>
    <w:p>
      <w:r>
        <w:t xml:space="preserve">For El Salvador, the report includes 3 requests for El Salvador, 1 RPTC proposals for El Salvador, 2 RPTC activities for El Salvador, and 0 travel records for El Salvador. Financially, El Salvador shows USD 1,445,396 in project budget, $62,098 in proposal planned budget, and $201,588 in consumed RPTC activity budget for El Salvador.</w:t>
      </w:r>
    </w:p>
    <w:p>
      <w:r>
        <w:t xml:space="preserve">The main organizational coverage for El Salvador points to Financing for Sustainable Development Office, FSDO, PD, Population Division. Activity records for El Salvador list 1,381 participants, including 709 women participants, the current quality review for El Salvador includes 56 data quality notes. Current highlights for El Salvador include a request focus for El Salvador: 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w:t>
      </w:r>
      <w:r>
        <w:br/>
        <w:t xml:space="preserve"/>
      </w:r>
      <w:r>
        <w:br/>
        <w:t xml:space="preserve"/>
      </w:r>
      <w:r>
        <w:br/>
        <w:t xml:space="preserve"/>
      </w:r>
      <w:r>
        <w:br/>
        <w:t xml:space="preserve">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w:t>
      </w:r>
      <w:r>
        <w:br/>
        <w:t xml:space="preserve"/>
      </w:r>
      <w:r>
        <w:br/>
        <w:t xml:space="preserve"/>
      </w:r>
      <w:r>
        <w:br/>
        <w:t xml:space="preserve"/>
      </w:r>
      <w:r>
        <w:br/>
        <w:t xml:space="preserve">The proposal concerns a total budget of US$41,903 covering the participation of two resource experts from Eurostat and the United States. This proposal also covers the travel of two DESA/UNSD staff members for co-organizing and co-leading the workshop.; an RPTC proposal focus for El Salvador: Regional Workshop on the Implementation of the Revised MSITS 2026; an activity focus for El Salvador: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1,445,396</w:t>
            </w:r>
          </w:p>
        </w:tc>
      </w:tr>
      <w:tr>
        <w:tc>
          <w:tcPr>
            <w:tcW w:w="2400" w:type="dxa"/>
          </w:tcPr>
          <w:p>
            <w:r>
              <w:t xml:space="preserve">Requests</w:t>
            </w:r>
          </w:p>
        </w:tc>
        <w:tc>
          <w:tcPr>
            <w:tcW w:w="2400" w:type="dxa"/>
          </w:tcPr>
          <w:p>
            <w:r>
              <w:t xml:space="preserve">3</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$62,098</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4</w:t>
            </w:r>
          </w:p>
        </w:tc>
      </w:tr>
      <w:tr>
        <w:tc>
          <w:tcPr>
            <w:tcW w:w="2400" w:type="dxa"/>
          </w:tcPr>
          <w:p>
            <w:r>
              <w:t xml:space="preserve">Data quality notes</w:t>
            </w:r>
          </w:p>
        </w:tc>
        <w:tc>
          <w:tcPr>
            <w:tcW w:w="2400" w:type="dxa"/>
          </w:tcPr>
          <w:p>
            <w:r>
              <w:t xml:space="preserve">56</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1415A</w:t>
            </w:r>
          </w:p>
        </w:tc>
        <w:tc>
          <w:tcPr>
            <w:tcW w:w="2400" w:type="dxa"/>
          </w:tcPr>
          <w:p>
            <w:r>
              <w:t xml:space="preserve">country</w:t>
            </w:r>
          </w:p>
        </w:tc>
        <w:tc>
          <w:tcPr>
            <w:tcW w:w="2400" w:type="dxa"/>
          </w:tcPr>
          <w:p>
            <w:r>
              <w:t xml:space="preserve">Financing for Sustainable Development Office</w:t>
            </w:r>
          </w:p>
        </w:tc>
        <w:tc>
          <w:tcPr>
            <w:tcW w:w="2400" w:type="dxa"/>
          </w:tcPr>
          <w:p>
            <w:r>
              <w:t xml:space="preserve">Closed</w:t>
            </w:r>
          </w:p>
        </w:tc>
        <w:tc>
          <w:tcPr>
            <w:tcW w:w="2400" w:type="dxa"/>
          </w:tcPr>
          <w:p>
            <w:r>
              <w:t xml:space="preserve">15 Jan 2020</w:t>
            </w:r>
          </w:p>
        </w:tc>
        <w:tc>
          <w:tcPr>
            <w:tcW w:w="2400" w:type="dxa"/>
          </w:tcPr>
          <w:p>
            <w:r>
              <w:t xml:space="preserve">18 Sept 2020</w:t>
            </w:r>
          </w:p>
        </w:tc>
        <w:tc>
          <w:tcPr>
            <w:tcW w:w="2400" w:type="dxa"/>
          </w:tcPr>
          <w:p>
            <w:r>
              <w:t xml:space="preserve">USD 632,000</w:t>
            </w:r>
          </w:p>
        </w:tc>
        <w:tc>
          <w:tcPr>
            <w:tcW w:w="2400" w:type="dxa"/>
          </w:tcPr>
          <w:p>
            <w:r>
              <w:t xml:space="preserve">Barbados, Bolivia (Plurinational State of), Brazil, Chile, Colombia, Costa Rica, Cuba, Dominican Republic, Ecuador, El Salvador, Guatemala, Honduras, Jamaica, Mexico, Nicaragua, Panama, Paraguay, Peru, Trinidad and Tobago, Uruguay, Venezuela (Bolivarian Republic of)</w:t>
            </w:r>
          </w:p>
        </w:tc>
      </w:tr>
      <w:tr>
        <w:tc>
          <w:tcPr>
            <w:tcW w:w="2400" w:type="dxa"/>
          </w:tcPr>
          <w:p>
            <w:r>
              <w:t xml:space="preserve">Time-use data for better policies in Africa, Western Asia and Latin America</w:t>
            </w:r>
          </w:p>
        </w:tc>
        <w:tc>
          <w:tcPr>
            <w:tcW w:w="2400" w:type="dxa"/>
          </w:tcPr>
          <w:p>
            <w:r>
              <w:t xml:space="preserve">2023A</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Jan 2020</w:t>
            </w:r>
          </w:p>
        </w:tc>
        <w:tc>
          <w:tcPr>
            <w:tcW w:w="2400" w:type="dxa"/>
          </w:tcPr>
          <w:p>
            <w:r>
              <w:t xml:space="preserve">30 Jun 2023</w:t>
            </w:r>
          </w:p>
        </w:tc>
        <w:tc>
          <w:tcPr>
            <w:tcW w:w="2400" w:type="dxa"/>
          </w:tcPr>
          <w:p>
            <w:r>
              <w:t xml:space="preserve">USD 813,396</w:t>
            </w:r>
          </w:p>
        </w:tc>
        <w:tc>
          <w:tcPr>
            <w:tcW w:w="2400" w:type="dxa"/>
          </w:tcPr>
          <w:p>
            <w:r>
              <w:t xml:space="preserve">Burkina Faso, Chile, Dominican Republic, Egypt, El Salvador, Ghana, Iraq, Lesotho, Libya, Mexico, Morocco, Sierra Leone, South Africa, State of Palestine</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r>
      <w:tr>
        <w:tc>
          <w:tcPr>
            <w:tcW w:w="2400" w:type="dxa"/>
          </w:tcPr>
          <w:p>
            <w:r>
              <w:t xml:space="preserve">5136</w:t>
            </w:r>
          </w:p>
        </w:tc>
        <w:tc>
          <w:tcPr>
            <w:tcW w:w="2400" w:type="dxa"/>
          </w:tcPr>
          <w:p>
            <w:r>
              <w:t xml:space="preserve">Request #5136 ? 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c>
          <w:tcPr>
            <w:tcW w:w="2400" w:type="dxa"/>
          </w:tcPr>
          <w:p>
            <w:r>
              <w:t xml:space="preserve">Under consideration</w:t>
            </w:r>
          </w:p>
        </w:tc>
        <w:tc>
          <w:tcPr>
            <w:tcW w:w="2400" w:type="dxa"/>
          </w:tcPr>
          <w:p>
            <w:r>
              <w:t xml:space="preserve">Statistics Division</w:t>
            </w:r>
          </w:p>
        </w:tc>
        <w:tc>
          <w:tcPr>
            <w:tcW w:w="2400" w:type="dxa"/>
          </w:tcPr>
          <w:p>
            <w:r>
              <w:t xml:space="preserve">03 Mar 2025</w:t>
            </w:r>
          </w:p>
        </w:tc>
        <w:tc>
          <w:tcPr>
            <w:tcW w:w="2400" w:type="dxa"/>
          </w:tcPr>
          <w:p>
            <w:r>
              <w:t xml:space="preserve">17 Mar 2025</w:t>
            </w:r>
          </w:p>
        </w:tc>
        <w:tc>
          <w:tcPr>
            <w:tcW w:w="2400" w:type="dxa"/>
          </w:tcPr>
          <w:p>
            <w:r>
              <w:t xml:space="preserve">27 May 2025</w:t>
            </w:r>
          </w:p>
        </w:tc>
        <w:tc>
          <w:tcPr>
            <w:tcW w:w="2400" w:type="dxa"/>
          </w:tcPr>
          <w:p>
            <w:r>
              <w:t xml:space="preserve">Pedro Farinas | farinas@un.org</w:t>
            </w:r>
          </w:p>
        </w:tc>
        <w:tc>
          <w:tcPr>
            <w:tcW w:w="2400" w:type="dxa"/>
          </w:tcPr>
          <w:p>
            <w:r>
              <w:t xml:space="preserve">The United Nations Statistics Division (DESA/SD) is proposing to provide funding for two resource experts and for two UNSD staff to co-organize and co-lead a Regional Workshop on International Statistical Classifications that will be hosted by ESCAP in Santiago, Chile, on 20-22 May 2025. / This regional course aims to help participants acquire knowledge and skills to deepen their understanding of the principles and methodology of international statistical classifications. The course will review recent developments in classifications and provide guidance on the development and implementation of classifications.  / The proposal concerns a total budget of US$41,903 covering the participation of two resource experts from Eurostat and the United States. This proposal also covers the travel of two DESA/UNSD staff members for co-organizing and co-leading the workshop.</w:t>
            </w:r>
          </w:p>
        </w:tc>
      </w:tr>
      <w:tr>
        <w:tc>
          <w:tcPr>
            <w:tcW w:w="2400" w:type="dxa"/>
          </w:tcPr>
          <w:p>
            <w:r>
              <w:t xml:space="preserve">4708</w:t>
            </w:r>
          </w:p>
        </w:tc>
        <w:tc>
          <w:tcPr>
            <w:tcW w:w="2400" w:type="dxa"/>
          </w:tcPr>
          <w:p>
            <w:r>
              <w:t xml:space="preserve">Request #4708 ? Supported the Government of El Salvador to participate in the SDG Investment Fair and benefit from advisory, with the aim of mobilizing private financing for SDG-aligned projects.</w:t>
            </w:r>
          </w:p>
        </w:tc>
        <w:tc>
          <w:tcPr>
            <w:tcW w:w="2400" w:type="dxa"/>
          </w:tcPr>
          <w:p>
            <w:r>
              <w:t xml:space="preserve">Completed</w:t>
            </w:r>
          </w:p>
        </w:tc>
        <w:tc>
          <w:tcPr>
            <w:tcW w:w="2400" w:type="dxa"/>
          </w:tcPr>
          <w:p>
            <w:r>
              <w:t xml:space="preserve">Financing for Sustainable Development Office</w:t>
            </w:r>
          </w:p>
        </w:tc>
        <w:tc>
          <w:tcPr>
            <w:tcW w:w="2400" w:type="dxa"/>
          </w:tcPr>
          <w:p>
            <w:r>
              <w:t xml:space="preserve">01 Mar 2023</w:t>
            </w:r>
          </w:p>
        </w:tc>
        <w:tc>
          <w:tcPr>
            <w:tcW w:w="2400" w:type="dxa"/>
          </w:tcPr>
          <w:p>
            <w:r>
              <w:t xml:space="preserve">01 Mar 2023</w:t>
            </w:r>
          </w:p>
        </w:tc>
        <w:tc>
          <w:tcPr>
            <w:tcW w:w="2400" w:type="dxa"/>
          </w:tcPr>
          <w:p>
            <w:r>
              <w:t xml:space="preserve">31 Dec 2023</w:t>
            </w:r>
          </w:p>
        </w:tc>
        <w:tc>
          <w:tcPr>
            <w:tcW w:w="2400" w:type="dxa"/>
          </w:tcPr>
          <w:p>
            <w:r>
              <w:t xml:space="preserve">Eduardo Alfonso Garcia Grande | wjmira@rree.gob.sv</w:t>
            </w:r>
          </w:p>
        </w:tc>
        <w:tc>
          <w:tcPr>
            <w:tcW w:w="2400" w:type="dxa"/>
          </w:tcPr>
          <w:p>
            <w:r>
              <w:t xml:space="preserve">Supported the Government of El Salvador to participate in the SDG Investment Fair and benefit from advisory, with the aim of mobilizing private financing for SDG-aligned projects.</w:t>
            </w:r>
          </w:p>
        </w:tc>
      </w:tr>
      <w:tr>
        <w:tc>
          <w:tcPr>
            <w:tcW w:w="2400" w:type="dxa"/>
          </w:tcPr>
          <w:p>
            <w:r>
              <w:t xml:space="preserve">3435</w:t>
            </w:r>
          </w:p>
        </w:tc>
        <w:tc>
          <w:tcPr>
            <w:tcW w:w="2400" w:type="dxa"/>
          </w:tcPr>
          <w:p>
            <w:r>
              <w:t xml:space="preserve">Request #3435 ? Joint DESA-ECLAC initiative in support of the Madrid International Plan of Action on Ageing (MIPAA). Held training workshop on forecasting the national economic and fiscal impacts of population ageing.</w:t>
            </w:r>
          </w:p>
        </w:tc>
        <w:tc>
          <w:tcPr>
            <w:tcW w:w="2400" w:type="dxa"/>
          </w:tcPr>
          <w:p>
            <w:r>
              <w:t xml:space="preserve">Completed</w:t>
            </w:r>
          </w:p>
        </w:tc>
        <w:tc>
          <w:tcPr>
            <w:tcW w:w="2400" w:type="dxa"/>
          </w:tcPr>
          <w:p>
            <w:r>
              <w:t xml:space="preserve">Population Division</w:t>
            </w:r>
          </w:p>
        </w:tc>
        <w:tc>
          <w:tcPr>
            <w:tcW w:w="2400" w:type="dxa"/>
          </w:tcPr>
          <w:p>
            <w:r>
              <w:t xml:space="preserve">23 May 2019</w:t>
            </w:r>
          </w:p>
        </w:tc>
        <w:tc>
          <w:tcPr>
            <w:tcW w:w="2400" w:type="dxa"/>
          </w:tcPr>
          <w:p>
            <w:r>
              <w:t xml:space="preserve">09 Sept 2019</w:t>
            </w:r>
          </w:p>
        </w:tc>
        <w:tc>
          <w:tcPr>
            <w:tcW w:w="2400" w:type="dxa"/>
          </w:tcPr>
          <w:p>
            <w:r>
              <w:t xml:space="preserve">11 Sept 2019</w:t>
            </w:r>
          </w:p>
        </w:tc>
        <w:tc>
          <w:tcPr>
            <w:tcW w:w="2400" w:type="dxa"/>
          </w:tcPr>
          <w:p>
            <w:r>
              <w:t xml:space="preserve">Mr. Paulo Saad | paulo.saad@un.org</w:t>
            </w:r>
          </w:p>
        </w:tc>
        <w:tc>
          <w:tcPr>
            <w:tcW w:w="2400" w:type="dxa"/>
          </w:tcPr>
          <w:p>
            <w:r>
              <w:t xml:space="preserve">Joint DESA-ECLAC initiative in support of the Madrid International Plan of Action on Ageing (MIPAA). Held training workshop on forecasting the national economic and fiscal impacts of population ageing.</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SB-001376.99.99.32</w:t>
            </w:r>
          </w:p>
        </w:tc>
        <w:tc>
          <w:tcPr>
            <w:tcW w:w="2400" w:type="dxa"/>
          </w:tcPr>
          <w:p>
            <w:r>
              <w:t xml:space="preserve">Regional Workshop on the Implementation of the Revised MSITS 2026</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$62,098</w:t>
            </w:r>
          </w:p>
        </w:tc>
        <w:tc>
          <w:tcPr>
            <w:tcW w:w="2400" w:type="dxa"/>
          </w:tcPr>
          <w:p>
            <w:r>
              <w:t xml:space="preserve">Argentina, Bolivia (Plurinational State of), Brazil, Chile, Colombia, Costa Rica, Cuba, Dominican Republic, Ecuador, El Salvador, Guatemala, Guyana, Honduras, Mexico, Nicaragua, Panama, Paraguay, Peru, Uruguay, Venezuela (Bolivarian Republic of)</w:t>
            </w:r>
          </w:p>
        </w:tc>
        <w:tc>
          <w:tcPr>
            <w:tcW w:w="2400" w:type="dxa"/>
          </w:tcPr>
          <w:p>
            <w:r>
              <w:t xml:space="preserve">Country standardized: 'Bolivia' -&gt; 'Bolivia (Plurinational State of)'. / Country standardized: 'Venezuela' -&gt; 'Venezuela (Bolivarian Republic of)'.</w:t>
            </w:r>
          </w:p>
        </w:tc>
        <w:tc>
          <w:tcPr>
            <w:tcW w:w="2400" w:type="dxa"/>
          </w:tcPr>
          <w:p>
            <w:r>
              <w:t xml:space="preserve">proposals.xlsx record 'SB-001376.99.99.32|row:49': 'f_cashGov' has non-numeric value 'N/A'. / proposals.xlsx record 'SB-001376.99.99.32|row:49': 'f_cashOther' has non-numeric value 'N/A'.</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capacity of national policy analysts in the social and economic sectors of developing countries in the production and use of National Transfer Accounts</w:t>
            </w:r>
          </w:p>
        </w:tc>
        <w:tc>
          <w:tcPr>
            <w:tcW w:w="2400" w:type="dxa"/>
          </w:tcPr>
          <w:p>
            <w:r>
              <w:t xml:space="preserve">2013</w:t>
            </w:r>
          </w:p>
        </w:tc>
        <w:tc>
          <w:tcPr>
            <w:tcW w:w="2400" w:type="dxa"/>
          </w:tcPr>
          <w:p>
            <w:r>
              <w:t xml:space="preserve">PD</w:t>
            </w:r>
          </w:p>
        </w:tc>
        <w:tc>
          <w:tcPr>
            <w:tcW w:w="2400" w:type="dxa"/>
          </w:tcPr>
          <w:p>
            <w:r>
              <w:t xml:space="preserve">Argentina, China, Egypt, El Salvador, Jordan, Korea, State of Palestine, Thailand, Türkiye</w:t>
            </w:r>
          </w:p>
        </w:tc>
        <w:tc>
          <w:tcPr>
            <w:tcW w:w="2400" w:type="dxa"/>
          </w:tcPr>
          <w:p>
            <w:r>
              <w:t xml:space="preserve">- Stimulate beneficiary countries to become active members of the NTA international network. / - Organize follow-up activities on applying NTA to analyzing currently relevant policy issues. / - Produce country briefs based on current empirical work. / - Raise extra funding to support empirical work and avoid the risk that national reports represent a one-off activity. / - Make training workshops an essential, though separate, part of international conferences organized by the NTA Working Group. / - Tailor workshops on NTA basics to separately address demographic, macroeconomic, microeconomic, and national accounts issues; offer some training in e-learning and online formats. / - Organize training on how to use results for policy recommendations, specifically through policy research workshops. / - Train staff to write short and clear reports aimed at fostering knowledge about the life-cycle economy and the economic and financial consequences of ageing. / - Translate the NTA Manual into other languages such as Spanish, Arabic, and Chinese. / - Integrate NTA more closely with SNA and increase its visibility in the workplans of international organizations; assess possible collaboration with organizations such as OECD and Eurostat. / - Consider estimating separate sectorial NTAs to account for heterogeneity in economic sectors within developing countries. / - Supplement cohort analysis with gender analysis by implementing National Time Transfer Accounts (NTTA) more widely.</w:t>
            </w:r>
          </w:p>
        </w:tc>
        <w:tc>
          <w:tcPr>
            <w:tcW w:w="2400" w:type="dxa"/>
          </w:tcPr>
          <w:p>
            <w:r>
              <w:t xml:space="preserve">- Demographic changes affect all countries, but awareness and institutional capacity to address them vary, especially in developing countries. / - NTA provides a powerful analytical tool for understanding the age and generational dimension of the economy, but its implementation requires significant investment in human capital and institutional capacity. / - Effectiveness and sustainability of NTA depend on the ability to estimate NTAs, interpret data for policy analysis, and communicate implications to policymakers and the public. / - Most participating countries have adequate statistical data for NTA, but challenges remain in mastering new concepts and improving data quality. / - Future training should focus on developing the capacity to interpret NTA data and derive policy recommendations, which is essential for raising awareness among policymakers. / - Clear communication of NTA results to policymakers is crucial, given the technical complexity of the issues. / - The international NTA network enhances project resilience and sustainability by supporting capacity development and facilitating expert identification.</w:t>
            </w:r>
          </w:p>
        </w:tc>
        <w:tc>
          <w:tcPr>
            <w:tcW w:w="2400" w:type="dxa"/>
          </w:tcPr>
          <w:p>
            <w:r>
              <w:t xml:space="preserve">https://unitednations.sharepoint.com/sites/DESA-CDPMO/Shared Documents/General/3. Finance Management/5 - DEVELOPMENT ACCOUNT/DA - DESA/03 PROJECTS - CLOSED/PD/ROA-167-lNational Transfer Accounts/Progress Reports/EVALUATION REPORT_ns final_24 Jul 2013.pdf</w:t>
            </w:r>
          </w:p>
        </w:tc>
        <w:tc>
          <w:tcPr>
            <w:tcW w:w="2400" w:type="dxa"/>
          </w:tcPr>
          <w:p>
            <w:r>
              <w:t xml:space="preserve">Country standardized: 'Palestine' -&gt; 'State of Palestine'. / Country standardized: 'Republic of Korea' -&gt; 'Korea'. / Country standardized: 'Turkey' -&gt; 'Türkiye'.</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Strengthening capacity of National Tax Administrations of Developing Countries in Latin America to reduce Tax Transaction Costs and thereby maximize tax revenues</w:t>
            </w:r>
          </w:p>
        </w:tc>
        <w:tc>
          <w:tcPr>
            <w:tcW w:w="2400" w:type="dxa"/>
          </w:tcPr>
          <w:p>
            <w:r>
              <w:t xml:space="preserve">2014</w:t>
            </w:r>
          </w:p>
        </w:tc>
        <w:tc>
          <w:tcPr>
            <w:tcW w:w="2400" w:type="dxa"/>
          </w:tcPr>
          <w:p>
            <w:r>
              <w:t xml:space="preserve">FSDO</w:t>
            </w:r>
          </w:p>
        </w:tc>
        <w:tc>
          <w:tcPr>
            <w:tcW w:w="2400" w:type="dxa"/>
          </w:tcPr>
          <w:p>
            <w:r>
              <w:t xml:space="preserve">Bolivia (Plurinational State of), Brazil, Chile, Colombia, Costa Rica, Dominican Republic, Ecuador, El Salvador, Guatemala, Honduras, Mexico, Nicaragua, Panama, Paraguay, Peru, Uruguay</w:t>
            </w:r>
          </w:p>
        </w:tc>
        <w:tc>
          <w:tcPr>
            <w:tcW w:w="2400" w:type="dxa"/>
          </w:tcPr>
          <w:p>
            <w:r>
              <w:t xml:space="preserve">- Ensure pilot countries have all necessary data available, including up-to-date and filtered taxpayer databases and appropriate sample weighting, before selection. / - Select countries that have not recently undergone major tax reforms to avoid distortion of TTCs due to adaptation processes. / - Include qualitative aspects such as psychological costs as part of non-economic costs in future TTCs studies to better understand results. / - Adapt survey implementation methods to the context (e.g., face-to-face vs. online) and include control questions to improve data quality. / - Encourage NTAs to seek synergies with other public institutions for information gathering and fieldwork support.</w:t>
            </w:r>
          </w:p>
        </w:tc>
        <w:tc>
          <w:tcPr>
            <w:tcW w:w="2400" w:type="dxa"/>
          </w:tcPr>
          <w:p>
            <w:r>
              <w:t xml:space="preserve">- Institutional support and commitment from NTAs are decisive factors for successful project implementation and sustainability. / - A thorough methodology that includes both administrative and compliance costs, considers the taxpayer cycle, and covers all relevant taxes is effective for TTC measurement. / - Allowing each country to choose its own survey method, considering size and cultural context, can improve implementation but may affect comparability. / - CIAT's coordination and reputation are critical for engaging countries and ensuring project sustainability. / - The methodology is generally easy to apply in interested countries, but successful implementation depends on institutional support and well-designed databases.</w:t>
            </w:r>
          </w:p>
        </w:tc>
        <w:tc>
          <w:tcPr>
            <w:tcW w:w="2400" w:type="dxa"/>
          </w:tcPr>
          <w:p>
            <w:r>
              <w:t xml:space="preserve">https://unitednations.sharepoint.com/sites/DESA-CDPMO/Shared Documents/General/3. Finance Management/5 - DEVELOPMENT ACCOUNT/DA - DESA/03 PROJECTS - CLOSED/FSDO/ROA181-6B/Evaluation/Evaluation Report- FINAL.pdf</w:t>
            </w:r>
          </w:p>
        </w:tc>
        <w:tc>
          <w:tcPr>
            <w:tcW w:w="2400" w:type="dxa"/>
          </w:tcPr>
          <w:p>
            <w:r>
              <w:t xml:space="preserve">Country standardized: 'Bolivia' -&gt; 'Bolivia (Plurinational State of)'.</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Supporting the establishment of a Latin American Parliamentary Knowledge Network</w:t>
            </w:r>
          </w:p>
        </w:tc>
        <w:tc>
          <w:tcPr>
            <w:tcW w:w="2400" w:type="dxa"/>
          </w:tcPr>
          <w:p>
            <w:r>
              <w:t xml:space="preserve">2014</w:t>
            </w:r>
          </w:p>
        </w:tc>
        <w:tc>
          <w:tcPr>
            <w:tcW w:w="2400" w:type="dxa"/>
          </w:tcPr>
          <w:p>
            <w:r>
              <w:t xml:space="preserve">DPIDG</w:t>
            </w:r>
          </w:p>
        </w:tc>
        <w:tc>
          <w:tcPr>
            <w:tcW w:w="2400" w:type="dxa"/>
          </w:tcPr>
          <w:p>
            <w:r>
              <w:t xml:space="preserve">Argentina, Barbados, Bolivia (Plurinational State of), Brazil, Chile, Colombia, Costa Rica, Ecuador, El Salvador, Guatemala, Guyana, Mexico, Nicaragua, Panama, Paraguay, Saint Vincent and the Grenadines, Suriname, Trinidad and Tobago, Uruguay</w:t>
            </w:r>
          </w:p>
        </w:tc>
        <w:tc>
          <w:tcPr>
            <w:tcW w:w="2400" w:type="dxa"/>
          </w:tcPr>
          <w:p>
            <w:r>
              <w:t xml:space="preserve">- Establish regional agreement and resources for hosting of the Secretariat to ensure that it is properly funded and resourced and that the commitment for this is shared amongst those parliaments that can afford it. / - Expand opportunities for take part in network activities and extend these beyond those parliaments who have formally signed up to RIPALC. / - Ensure appropriate ongoing resources are committed to the digital portal as this is a critical component of the network and vital to ensuring the ongoing operation and relevance of it. / - Participants right across the region need to be encouraged to take ownership of the communities of interest and to see RIPALC as a place to learn, share and network. Ensuring the grass-roots value and use of the network will be the single most significant factor in the networks long term sustainability. / - RIPALC needs to be flexible and responsive to the needs of the users and allow them to create new communities of interest and for the model to develop to suit their requirements, it must be driven by demand, not controlled from the top down. / - It is important that RIPALC maintains the ability to run regional workshops and meetings so that parliamentary staff can network and collaborate. Digital networks are important and they help to sustain relationships and act as timely conduits for knowledge exchange, but they do not replace face to face meetings as a way of building social capital. / - Inter-parliamentary collaboration remains a priority and was seen by participants as a key pre-requisite for democratic strengthening in the region and RIPALC is an ideal vehicle to facilitate and support this.</w:t>
            </w:r>
          </w:p>
        </w:tc>
        <w:tc>
          <w:tcPr>
            <w:tcW w:w="2400" w:type="dxa"/>
          </w:tcPr>
          <w:p>
            <w:r>
              <w:t xml:space="preserve">- The RIPALC network was a timely and appropriate development for the region and has been well received by the participants in it. / - The clear weakness in the project was to rigidly implement a governance model based on the long-established ECPRD structure. This has proved restrictive and inflexible in the case of RIPALC and it has inhibited growth. A more organic and less rigid structure would have been more appropriate. / - Projects such as this need some level of formality and process if they are to be seen as reliable and trustworthy by parliaments, but the network must develop in line with the culture and expectations of the region it covers and duplicating a model from elsewhere can limit take-up. / - The network has become a force for active parliamentary development in the region, a timely catalyst to build on a growing desire for strong parliaments and recognition that it is important for parliaments to collaborate and share ideas, knowledge and experience. / - The network has successfully delivered face-to-face meetings and workshops, which are vital for building and sustaining relationships between parliaments, and has acted as a ‘role model’ for inter-parliamentary collaboration in a region where this is a relatively new and unknown concept. / - The web portal provides a fast and easy way for parliamentary staff to stay in touch and to discuss, advise and be advised about good practice and emergent issues in their field, which is particularly important for smaller legislatures. / - Though the uptake has been slower than expected, this is seen as a result of the structural limitations of RIPALC. In the medium to long term, the Secretariat needs to ensure that the portal is able to meet the needs and demands of its stakeholders and that it is promoted to all parliaments in the region, regardless of their formal membership of RIPALC.</w:t>
            </w:r>
          </w:p>
        </w:tc>
        <w:tc>
          <w:tcPr>
            <w:tcW w:w="2400" w:type="dxa"/>
          </w:tcPr>
          <w:p>
            <w:r>
              <w:t xml:space="preserve">https://unitednations.sharepoint.com/sites/DESA-CDPMO/Shared Documents/General/3. Finance Management/5 - DEVELOPMENT ACCOUNT/DA - DESA/Evaluation reports/7th tranche/ROA 163 (DPADM)/RIPALC.Evaluation.FinalReport-1.0.docx</w:t>
            </w:r>
          </w:p>
        </w:tc>
        <w:tc>
          <w:tcPr>
            <w:tcW w:w="2400" w:type="dxa"/>
          </w:tcPr>
          <w:p>
            <w:r>
              <w:t xml:space="preserve">Country standardized: 'Bolivia' -&gt; 'Bolivia (Plurinational State of)'. / Country standardized: 'St Vincent and the Grenadines' -&gt; 'Saint Vincent and the Grenadines'.</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100 (archived) and 46 (retained): Review conflicts: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221 (archived) and 187 (retained): Review conflicts: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evaluations.xlsx rows 288 (archived) and 200 (retained): Review conflicts: Countries differs: archived row has 'Argentina; Barbados; Bolivia; Brazil; Chile; Colombia; Costa Rica; Ecuador; El Salvador; Guatemala; Guyana; Mexico; Nicaragua; Panama; Paraguay; St Vincent and the Grenadines; Suriname; Trinidad and Tobago; Uruguay'; retained row has 'Argentina; Barbados; Bolivia; Brazil; Chile; Colombia; Costa Rica; El Salvador; Ecuador; Guatemala; Guyana; Mexico; Nicaragua; Panama; Paraguay; St Vincent and the Grenadines; Suriname; Trinidad and Tobago; Uruguay'. Country lists were not merged.</w:t>
            </w:r>
          </w:p>
        </w:tc>
      </w:tr>
      <w:tr>
        <w:tc>
          <w:tcPr>
            <w:tcW w:w="2400" w:type="dxa"/>
          </w:tcPr>
          <w:p>
            <w:r>
              <w:t xml:space="preserve">7</w:t>
            </w:r>
          </w:p>
        </w:tc>
        <w:tc>
          <w:tcPr>
            <w:tcW w:w="2400" w:type="dxa"/>
          </w:tcPr>
          <w:p>
            <w:r>
              <w:t xml:space="preserve">GeoData_with_ISO3166_alpha3.xlsx: last modified 2026-05-22, more than 30 days before ingestion (134 days).</w:t>
            </w:r>
          </w:p>
        </w:tc>
      </w:tr>
      <w:tr>
        <w:tc>
          <w:tcPr>
            <w:tcW w:w="2400" w:type="dxa"/>
          </w:tcPr>
          <w:p>
            <w:r>
              <w:t xml:space="preserve">8</w:t>
            </w:r>
          </w:p>
        </w:tc>
        <w:tc>
          <w:tcPr>
            <w:tcW w:w="2400" w:type="dxa"/>
          </w:tcPr>
          <w:p>
            <w:r>
              <w:t xml:space="preserve">proposals.xlsx record 'SB-001376.99.99.32|row:49': 'f_cashGov' has non-numeric value 'N/A'.</w:t>
            </w:r>
          </w:p>
        </w:tc>
      </w:tr>
      <w:tr>
        <w:tc>
          <w:tcPr>
            <w:tcW w:w="2400" w:type="dxa"/>
          </w:tcPr>
          <w:p>
            <w:r>
              <w:t xml:space="preserve">9</w:t>
            </w:r>
          </w:p>
        </w:tc>
        <w:tc>
          <w:tcPr>
            <w:tcW w:w="2400" w:type="dxa"/>
          </w:tcPr>
          <w:p>
            <w:r>
              <w:t xml:space="preserve">proposals.xlsx record 'SB-001376.99.99.32|row:49': 'f_cashOther' has non-numeric value 'N/A'.</w:t>
            </w:r>
          </w:p>
        </w:tc>
      </w:tr>
      <w:tr>
        <w:tc>
          <w:tcPr>
            <w:tcW w:w="2400" w:type="dxa"/>
          </w:tcPr>
          <w:p>
            <w:r>
              <w:t xml:space="preserve">10</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11</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12</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13</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14</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15</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16</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17</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18</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19</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20</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21</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22</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23</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24</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25</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26</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27</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28</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29</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30</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31</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32</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33</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34</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35</w:t>
            </w:r>
          </w:p>
        </w:tc>
        <w:tc>
          <w:tcPr>
            <w:tcW w:w="2400" w:type="dxa"/>
          </w:tcPr>
          <w:p>
            <w:r>
              <w:t xml:space="preserve">Resolved - Action: duplicate evaluation at evaluations.xlsx row 306 removed; retained row 297 ().</w:t>
            </w:r>
          </w:p>
        </w:tc>
      </w:tr>
      <w:tr>
        <w:tc>
          <w:tcPr>
            <w:tcW w:w="2400" w:type="dxa"/>
          </w:tcPr>
          <w:p>
            <w:r>
              <w:t xml:space="preserve">36</w:t>
            </w:r>
          </w:p>
        </w:tc>
        <w:tc>
          <w:tcPr>
            <w:tcW w:w="2400" w:type="dxa"/>
          </w:tcPr>
          <w:p>
            <w:r>
              <w:t xml:space="preserve">Resolved - Action: duplicate evaluation at evaluations.xlsx row 332 removed; retained row 302 ().</w:t>
            </w:r>
          </w:p>
        </w:tc>
      </w:tr>
      <w:tr>
        <w:tc>
          <w:tcPr>
            <w:tcW w:w="2400" w:type="dxa"/>
          </w:tcPr>
          <w:p>
            <w:r>
              <w:t xml:space="preserve">37</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38</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39</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40</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41</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42</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43</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44</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45</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46</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47</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48</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49</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50</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51</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52</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53</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54</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55</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56</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