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Syrian Arab Republic</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Syrian Arab Republic is presented in this country card as part of Asia, with Syrian Arab Republic also associated with an unspecified subregion and the no recorded country group grouping. The filtered data for Syrian Arab Republic highlights 0 projects for Syrian Arab Republic, including 0 active or planned projects for Syrian Arab Republic and 0 completed or closed projects for Syrian Arab Republic.</w:t>
      </w:r>
    </w:p>
    <w:p>
      <w:r>
        <w:t xml:space="preserve">For Syrian Arab Republic, the report includes 2 requests for Syrian Arab Republic, 0 RPTC proposals for Syrian Arab Republic, 0 RPTC activities for Syrian Arab Republic, and 0 travel records for Syrian Arab Republic. Financially, Syrian Arab Republic shows Not provided in project budget, $0 in proposal planned budget, and $0 in consumed RPTC activity budget for Syrian Arab Republic.</w:t>
      </w:r>
    </w:p>
    <w:p>
      <w:r>
        <w:t xml:space="preserve">The main organizational coverage for Syrian Arab Republic points to Statistics Division. Activity records for Syrian Arab Republic list 0 participants, including 0 women participants, the current quality review for Syrian Arab Republic includes 48 data quality notes. Current highlights for Syrian Arab Republic include a request focus for Syrian Arab Republic: 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w:t>
      </w:r>
      <w:r>
        <w:br/>
        <w:t xml:space="preserve"/>
      </w:r>
      <w:r>
        <w:br/>
        <w:t xml:space="preserve">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w:t>
      </w:r>
      <w:r>
        <w:br/>
        <w:t xml:space="preserve"/>
      </w:r>
      <w:r>
        <w:br/>
        <w:t xml:space="preserve">The proposal covers the contractual services needed to update the UNdata apps and fix some components in the SDG infrastructure, including SDG metadata..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