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Turkmenistan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Turkmenistan is presented in this country card as part of Asia, with Turkmenistan also associated with an unspecified subregion and the LLDC grouping. The filtered data for Turkmenistan highlights 0 projects for Turkmenistan, including 0 active or planned projects for Turkmenistan and 0 completed or closed projects for Turkmenistan.</w:t>
      </w:r>
    </w:p>
    <w:p>
      <w:r>
        <w:t xml:space="preserve">For Turkmenistan, the report includes 3 requests for Turkmenistan, 0 RPTC proposals for Turkmenistan, 0 RPTC activities for Turkmenistan, and 0 travel records for Turkmenistan. Financially, Turkmenistan shows Not provided in project budget, $0 in proposal planned budget, and $0 in consumed RPTC activity budget for Turkmenistan.</w:t>
      </w:r>
    </w:p>
    <w:p>
      <w:r>
        <w:t xml:space="preserve">The main organizational coverage for Turkmenistan points to Financing for Sustainable Development Office, Statistics Division. Activity records for Turkmenistan list 0 participants, including 0 women participants, the current quality review for Turkmenistan includes 48 data quality notes. Current highlights for Turkmenistan include a request focus for Turkmenistan: Request #5352 ? The Financing for Sustainable Development Office (FSDO) of the United Nations Department of Economic and Social Affairs (DESA) organized a Regional Workshop on Transfer Pricing in Asia-Pacific, held from 25 to 29 August 2025 in Incheon, Republic of Korea. </w:t>
      </w:r>
      <w:r>
        <w:br/>
        <w:t xml:space="preserve"/>
      </w:r>
      <w:r>
        <w:br/>
        <w:t xml:space="preserve">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w:t>
      </w:r>
      <w:r>
        <w:br/>
        <w:t xml:space="preserve"/>
      </w:r>
      <w:r>
        <w:br/>
        <w:t xml:space="preserve">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w:t>
      </w:r>
      <w:r>
        <w:br/>
        <w:t xml:space="preserve"/>
      </w:r>
      <w:r>
        <w:br/>
        <w:t xml:space="preserve">Delivered in English, the workshop contributed to ongoing capacity-building efforts, enhancing the ability of tax officials to effectively address complex international tax issues..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