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Trinidad and Tobago</w:t>
      </w:r>
    </w:p>
    <w:p>
      <w:r>
        <w:rPr>
          <w:sz w:val="20"/>
          <w:color w:val="4B5563"/>
        </w:rPr>
        <w:t xml:space="preserve">Americas | SIDS</w:t>
      </w:r>
    </w:p>
    <w:p>
      <w:r>
        <w:rPr>
          <w:sz w:val="20"/>
          <w:color w:val="4B5563"/>
        </w:rPr>
        <w:t xml:space="preserve">Exported 05 Oct 2026, 14:20 | Snapshot 03 Oct 2026, 21:47 GMT-4</w:t>
      </w:r>
    </w:p>
    <w:p>
      <w:r>
        <w:rPr>
          <w:b/>
          <w:sz w:val="28"/>
          <w:color w:val="174A7C"/>
        </w:rPr>
        <w:t xml:space="preserve">Summary</w:t>
      </w:r>
    </w:p>
    <w:p>
      <w:r>
        <w:t xml:space="preserve">Trinidad and Tobago is presented in this country card as part of Americas, with Trinidad and Tobago also associated with an unspecified subregion and the SIDS grouping. The filtered data for Trinidad and Tobago highlights 3 projects for Trinidad and Tobago, including 1 active or planned projects for Trinidad and Tobago and 2 completed or closed projects for Trinidad and Tobago.</w:t>
      </w:r>
    </w:p>
    <w:p>
      <w:r>
        <w:t xml:space="preserve">For Trinidad and Tobago, the report includes 7 requests for Trinidad and Tobago, 1 RPTC proposals for Trinidad and Tobago, 1 RPTC activities for Trinidad and Tobago, and 0 travel records for Trinidad and Tobago. Financially, Trinidad and Tobago shows USD 1,795,520 in project budget, $0 in proposal planned budget, and $6,688 in consumed RPTC activity budget for Trinidad and Tobago.</w:t>
      </w:r>
    </w:p>
    <w:p>
      <w:r>
        <w:t xml:space="preserve">The main organizational coverage for Trinidad and Tobago points to Division for Public Institutions and Digital Government, Financing for Sustainable Development Office, FSDO, Statistics Division. Activity records for Trinidad and Tobago list 1,299 participants, including 665 women participants, the current quality review for Trinidad and Tobago includes 56 data quality notes. Current highlights for Trinidad and Tobago include a request focus for Trinidad and Tobago: 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w:t>
      </w:r>
      <w:r>
        <w:br/>
        <w:t xml:space="preserve"/>
      </w:r>
      <w:r>
        <w:br/>
        <w:t xml:space="preserve"/>
      </w:r>
      <w:r>
        <w:br/>
        <w:t xml:space="preserve"/>
      </w:r>
      <w:r>
        <w:br/>
        <w:t xml:space="preserve">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w:t>
      </w:r>
      <w:r>
        <w:br/>
        <w:t xml:space="preserve"/>
      </w:r>
      <w:r>
        <w:br/>
        <w:t xml:space="preserve"/>
      </w:r>
      <w:r>
        <w:br/>
        <w:t xml:space="preserve"/>
      </w:r>
      <w:r>
        <w:br/>
        <w:t xml:space="preserve">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w:t>
      </w:r>
      <w:r>
        <w:br/>
        <w:t xml:space="preserve"/>
      </w:r>
      <w:r>
        <w:br/>
        <w:t xml:space="preserve"/>
      </w:r>
      <w:r>
        <w:br/>
        <w:t xml:space="preserve"/>
      </w:r>
      <w:r>
        <w:br/>
        <w:t xml:space="preserve">ALADI requested capacity-building and/or technical-assistance on MSITS 2026 for its Member States in an e-mail sent directly to DESA staff. </w:t>
      </w:r>
      <w:r>
        <w:br/>
        <w:t xml:space="preserve"/>
      </w:r>
      <w:r>
        <w:br/>
        <w:t xml:space="preserve"/>
      </w:r>
      <w:r>
        <w:br/>
        <w:t xml:space="preserve"/>
      </w:r>
      <w:r>
        <w:br/>
        <w:t xml:space="preserve">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w:t>
      </w:r>
      <w:r>
        <w:br/>
        <w:t xml:space="preserve"/>
      </w:r>
      <w:r>
        <w:br/>
        <w:t xml:space="preserve"/>
      </w:r>
      <w:r>
        <w:br/>
        <w:t xml:space="preserve"/>
      </w:r>
      <w:r>
        <w:br/>
        <w:t xml:space="preserve">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 an RPTC proposal focus for Trinidad and Tobago: Practical Workshops on the Negotiation of Tax Treaties – Seoul (2-6 November 2026) and Madrid (23-27 November 2026); an activity focus for Trinidad and Tobago: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3</w:t>
            </w:r>
          </w:p>
        </w:tc>
      </w:tr>
      <w:tr>
        <w:tc>
          <w:tcPr>
            <w:tcW w:w="2400" w:type="dxa"/>
          </w:tcPr>
          <w:p>
            <w:r>
              <w:t xml:space="preserve">Project budget</w:t>
            </w:r>
          </w:p>
        </w:tc>
        <w:tc>
          <w:tcPr>
            <w:tcW w:w="2400" w:type="dxa"/>
          </w:tcPr>
          <w:p>
            <w:r>
              <w:t xml:space="preserve">USD 1,795,520</w:t>
            </w:r>
          </w:p>
        </w:tc>
      </w:tr>
      <w:tr>
        <w:tc>
          <w:tcPr>
            <w:tcW w:w="2400" w:type="dxa"/>
          </w:tcPr>
          <w:p>
            <w:r>
              <w:t xml:space="preserve">Requests</w:t>
            </w:r>
          </w:p>
        </w:tc>
        <w:tc>
          <w:tcPr>
            <w:tcW w:w="2400" w:type="dxa"/>
          </w:tcPr>
          <w:p>
            <w:r>
              <w:t xml:space="preserve">7</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$6,688</w:t>
            </w:r>
          </w:p>
        </w:tc>
      </w:tr>
      <w:tr>
        <w:tc>
          <w:tcPr>
            <w:tcW w:w="2400" w:type="dxa"/>
          </w:tcPr>
          <w:p>
            <w:r>
              <w:t xml:space="preserve">Activity participants</w:t>
            </w:r>
          </w:p>
        </w:tc>
        <w:tc>
          <w:tcPr>
            <w:tcW w:w="2400" w:type="dxa"/>
          </w:tcPr>
          <w:p>
            <w:r>
              <w:t xml:space="preserve">1,299</w:t>
            </w:r>
          </w:p>
        </w:tc>
      </w:tr>
      <w:tr>
        <w:tc>
          <w:tcPr>
            <w:tcW w:w="2400" w:type="dxa"/>
          </w:tcPr>
          <w:p>
            <w:r>
              <w:t xml:space="preserve">Women participants</w:t>
            </w:r>
          </w:p>
        </w:tc>
        <w:tc>
          <w:tcPr>
            <w:tcW w:w="2400" w:type="dxa"/>
          </w:tcPr>
          <w:p>
            <w:r>
              <w:t xml:space="preserve">665</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3</w:t>
            </w:r>
          </w:p>
        </w:tc>
      </w:tr>
      <w:tr>
        <w:tc>
          <w:tcPr>
            <w:tcW w:w="2400" w:type="dxa"/>
          </w:tcPr>
          <w:p>
            <w:r>
              <w:t xml:space="preserve">Data quality notes</w:t>
            </w:r>
          </w:p>
        </w:tc>
        <w:tc>
          <w:tcPr>
            <w:tcW w:w="2400" w:type="dxa"/>
          </w:tcPr>
          <w:p>
            <w:r>
              <w:t xml:space="preserve">56</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Evidence-based Climate Action through Artificial Intelligence and Data Innovation for Caribbean SIDS</w:t>
            </w:r>
          </w:p>
        </w:tc>
        <w:tc>
          <w:tcPr>
            <w:tcW w:w="2400" w:type="dxa"/>
          </w:tcPr>
          <w:p>
            <w:r>
              <w:t xml:space="preserve">2528A</w:t>
            </w:r>
          </w:p>
        </w:tc>
        <w:tc>
          <w:tcPr>
            <w:tcW w:w="2400" w:type="dxa"/>
          </w:tcPr>
          <w:p>
            <w:r>
              <w:t xml:space="preserve">country</w:t>
            </w:r>
          </w:p>
        </w:tc>
        <w:tc>
          <w:tcPr>
            <w:tcW w:w="2400" w:type="dxa"/>
          </w:tcPr>
          <w:p>
            <w:r>
              <w:t xml:space="preserve">Statistics Division</w:t>
            </w:r>
          </w:p>
        </w:tc>
        <w:tc>
          <w:tcPr>
            <w:tcW w:w="2400" w:type="dxa"/>
          </w:tcPr>
          <w:p>
            <w:r>
              <w:t xml:space="preserve">Active</w:t>
            </w:r>
          </w:p>
        </w:tc>
        <w:tc>
          <w:tcPr>
            <w:tcW w:w="2400" w:type="dxa"/>
          </w:tcPr>
          <w:p>
            <w:r>
              <w:t xml:space="preserve">15 Apr 2025</w:t>
            </w:r>
          </w:p>
        </w:tc>
        <w:tc>
          <w:tcPr>
            <w:tcW w:w="2400" w:type="dxa"/>
          </w:tcPr>
          <w:p>
            <w:r>
              <w:t xml:space="preserve">31 Dec 2028</w:t>
            </w:r>
          </w:p>
        </w:tc>
        <w:tc>
          <w:tcPr>
            <w:tcW w:w="2400" w:type="dxa"/>
          </w:tcPr>
          <w:p>
            <w:r>
              <w:t xml:space="preserve">USD 803,520</w:t>
            </w:r>
          </w:p>
        </w:tc>
        <w:tc>
          <w:tcPr>
            <w:tcW w:w="2400" w:type="dxa"/>
          </w:tcPr>
          <w:p>
            <w:r>
              <w:t xml:space="preserve">Barbados, Belize, Dominican Republic, Trinidad and Tobago</w:t>
            </w:r>
          </w:p>
        </w:tc>
        <w:tc>
          <w:tcPr>
            <w:tcW w:w="2400" w:type="dxa"/>
          </w:tcPr>
          <w:p>
            <w:r>
              <w:t xml:space="preserve"/>
            </w:r>
          </w:p>
        </w:tc>
      </w:tr>
      <w:tr>
        <w:tc>
          <w:tcPr>
            <w:tcW w:w="2400" w:type="dxa"/>
          </w:tcPr>
          <w:p>
            <w:r>
              <w:t xml:space="preserve">Strengthening capacity of National Tax Administrations And Ministries of Finance in developing countries to protect and broaden their tax base for financing of sustainable development</w:t>
            </w:r>
          </w:p>
        </w:tc>
        <w:tc>
          <w:tcPr>
            <w:tcW w:w="2400" w:type="dxa"/>
          </w:tcPr>
          <w:p>
            <w:r>
              <w:t xml:space="preserve">1415AV</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14 May 2020</w:t>
            </w:r>
          </w:p>
        </w:tc>
        <w:tc>
          <w:tcPr>
            <w:tcW w:w="2400" w:type="dxa"/>
          </w:tcPr>
          <w:p>
            <w:r>
              <w:t xml:space="preserve">17 Dec 2020</w:t>
            </w:r>
          </w:p>
        </w:tc>
        <w:tc>
          <w:tcPr>
            <w:tcW w:w="2400" w:type="dxa"/>
          </w:tcPr>
          <w:p>
            <w:r>
              <w:t xml:space="preserve">USD 360,000</w:t>
            </w:r>
          </w:p>
        </w:tc>
        <w:tc>
          <w:tcPr>
            <w:tcW w:w="2400" w:type="dxa"/>
          </w:tcPr>
          <w:p>
            <w:r>
              <w:t xml:space="preserve">Angola, Dominican Republic, Panama, Paraguay, Trinidad and Tobago, United Republic of Tanzania</w:t>
            </w:r>
          </w:p>
        </w:tc>
        <w:tc>
          <w:tcPr>
            <w:tcW w:w="2400" w:type="dxa"/>
          </w:tcPr>
          <w:p>
            <w:r>
              <w:t xml:space="preserve">Country standardized: 'Tanzania' -&gt; 'United Republic of Tanzania'.</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1415A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15 Jan 2020</w:t>
            </w:r>
          </w:p>
        </w:tc>
        <w:tc>
          <w:tcPr>
            <w:tcW w:w="2400" w:type="dxa"/>
          </w:tcPr>
          <w:p>
            <w:r>
              <w:t xml:space="preserve">18 Sept 2020</w:t>
            </w:r>
          </w:p>
        </w:tc>
        <w:tc>
          <w:tcPr>
            <w:tcW w:w="2400" w:type="dxa"/>
          </w:tcPr>
          <w:p>
            <w:r>
              <w:t xml:space="preserve">USD 632,000</w:t>
            </w:r>
          </w:p>
        </w:tc>
        <w:tc>
          <w:tcPr>
            <w:tcW w:w="2400" w:type="dxa"/>
          </w:tcPr>
          <w:p>
            <w:r>
              <w:t xml:space="preserve">Barbados, Bolivia (Plurinational State of), Brazil, Chile, Colombia, Costa Rica, Cuba, Dominican Republic, Ecuador, El Salvador, Guatemala, Honduras, Jamaica, Mexico, Nicaragua, Panama, Paraguay, Peru, Trinidad and Tobago, Uruguay, Venezuela (Bolivarian Republic of)</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5567</w:t>
            </w:r>
          </w:p>
        </w:tc>
        <w:tc>
          <w:tcPr>
            <w:tcW w:w="2400" w:type="dxa"/>
          </w:tcPr>
          <w:p>
            <w:r>
              <w:t xml:space="preserve">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Dec 2026</w:t>
            </w:r>
          </w:p>
        </w:tc>
        <w:tc>
          <w:tcPr>
            <w:tcW w:w="2400" w:type="dxa"/>
          </w:tcPr>
          <w:p>
            <w:r>
              <w:t xml:space="preserve">Kimberly Bordon | kbordon@aladi.org</w:t>
            </w:r>
          </w:p>
        </w:tc>
        <w:tc>
          <w:tcPr>
            <w:tcW w:w="2400" w:type="dxa"/>
          </w:tcPr>
          <w:p>
            <w:r>
              <w:t xml:space="preserve">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r>
      <w:tr>
        <w:tc>
          <w:tcPr>
            <w:tcW w:w="2400" w:type="dxa"/>
          </w:tcPr>
          <w:p>
            <w:r>
              <w:t xml:space="preserve">5067</w:t>
            </w:r>
          </w:p>
        </w:tc>
        <w:tc>
          <w:tcPr>
            <w:tcW w:w="2400" w:type="dxa"/>
          </w:tcPr>
          <w:p>
            <w:r>
              <w:t xml:space="preserve">Request #5067 ? Organize and facilitate a Capacity Development Workshop on Building Resilient and Agile Statistical Systems in the Caribbean SIDS: Data Ethics, Governance, and Quality in a Changing Data Ecosystem</w:t>
            </w:r>
          </w:p>
        </w:tc>
        <w:tc>
          <w:tcPr>
            <w:tcW w:w="2400" w:type="dxa"/>
          </w:tcPr>
          <w:p>
            <w:r>
              <w:t xml:space="preserve">Under consideration</w:t>
            </w:r>
          </w:p>
        </w:tc>
        <w:tc>
          <w:tcPr>
            <w:tcW w:w="2400" w:type="dxa"/>
          </w:tcPr>
          <w:p>
            <w:r>
              <w:t xml:space="preserve">Statistics Division</w:t>
            </w:r>
          </w:p>
        </w:tc>
        <w:tc>
          <w:tcPr>
            <w:tcW w:w="2400" w:type="dxa"/>
          </w:tcPr>
          <w:p>
            <w:r>
              <w:t xml:space="preserve">17 Sept 2024</w:t>
            </w:r>
          </w:p>
        </w:tc>
        <w:tc>
          <w:tcPr>
            <w:tcW w:w="2400" w:type="dxa"/>
          </w:tcPr>
          <w:p>
            <w:r>
              <w:t xml:space="preserve">02 Dec 2024</w:t>
            </w:r>
          </w:p>
        </w:tc>
        <w:tc>
          <w:tcPr>
            <w:tcW w:w="2400" w:type="dxa"/>
          </w:tcPr>
          <w:p>
            <w:r>
              <w:t xml:space="preserve">06 Dec 2024</w:t>
            </w:r>
          </w:p>
        </w:tc>
        <w:tc>
          <w:tcPr>
            <w:tcW w:w="2400" w:type="dxa"/>
          </w:tcPr>
          <w:p>
            <w:r>
              <w:t xml:space="preserve">Matthias Reister | reister@un.org</w:t>
            </w:r>
          </w:p>
        </w:tc>
        <w:tc>
          <w:tcPr>
            <w:tcW w:w="2400" w:type="dxa"/>
          </w:tcPr>
          <w:p>
            <w:r>
              <w:t xml:space="preserve">Organize and facilitate a Capacity Development Workshop on Building Resilient and Agile Statistical Systems in the Caribbean SIDS: Data Ethics, Governance, and Quality in a Changing Data Ecosystem</w:t>
            </w:r>
          </w:p>
        </w:tc>
        <w:tc>
          <w:tcPr>
            <w:tcW w:w="2400" w:type="dxa"/>
          </w:tcPr>
          <w:p>
            <w:r>
              <w:t xml:space="preserve">Country standardized: 'Saint Kitts and Nevis' -&gt; 'Federation of Saint Kitts and Nevis'.</w:t>
            </w:r>
          </w:p>
        </w:tc>
      </w:tr>
      <w:tr>
        <w:tc>
          <w:tcPr>
            <w:tcW w:w="2400" w:type="dxa"/>
          </w:tcPr>
          <w:p>
            <w:r>
              <w:t xml:space="preserve">4783</w:t>
            </w:r>
          </w:p>
        </w:tc>
        <w:tc>
          <w:tcPr>
            <w:tcW w:w="2400" w:type="dxa"/>
          </w:tcPr>
          <w:p>
            <w:r>
              <w:t xml:space="preserve">Request #4783 ? This request is in response to an invitation from the CARICOM Secretariat and covers travel expenses for one UNSD staff member to attend the "Regional Capacity Building for the CARICOM Core Sustainable Development Goals (SDGs) Indicators" workshop in Port of Spain, Trinidad and Tobago on 20-23 November 2023. / The work is related to DESA sub-programme 4 as outlined in the â€œProposed programme budgetâ€ (A/77/6 (sect.9), para 9.61): â€œâ€¦to strengthen the capacity of Member States with regard to the production and use of high-quality, timely, disaggregated, open data and national statistics and geospatial information as a basis on which to inform policy and decision-making for the 2030 Agenda for Sustainable Development and for other United Nations policy agendas and to review progress at the national and international levels.â€, contributing to the specified results as shown in A/77/6 (sect.9) para. 9.63:  / (a)	Enhanced quality, availability and access to policy-relevant statistical and geospatial information; / (b)	Increased production and dissemination by Member States of better data and national statistics and geospatial information that are comparable and in line with the adopted international frameworks and standards and provision of enhanced and open access to them; / (c)	Enhanced coherence and more effective functioning and transformation of the global statistical and geospatial systems; and / (d)	Increased statistical and geospatial information capacity of Member States and the United Nations system. / Concretely, the work in this activity will provide CARICOM Member States with information and resources on technical assistance to improve the availability of SDG data and the production of SDG indicators.</w:t>
            </w:r>
          </w:p>
        </w:tc>
        <w:tc>
          <w:tcPr>
            <w:tcW w:w="2400" w:type="dxa"/>
          </w:tcPr>
          <w:p>
            <w:r>
              <w:t xml:space="preserve">Completed</w:t>
            </w:r>
          </w:p>
        </w:tc>
        <w:tc>
          <w:tcPr>
            <w:tcW w:w="2400" w:type="dxa"/>
          </w:tcPr>
          <w:p>
            <w:r>
              <w:t xml:space="preserve">Statistics Division</w:t>
            </w:r>
          </w:p>
        </w:tc>
        <w:tc>
          <w:tcPr>
            <w:tcW w:w="2400" w:type="dxa"/>
          </w:tcPr>
          <w:p>
            <w:r>
              <w:t xml:space="preserve">21 Sept 2023</w:t>
            </w:r>
          </w:p>
        </w:tc>
        <w:tc>
          <w:tcPr>
            <w:tcW w:w="2400" w:type="dxa"/>
          </w:tcPr>
          <w:p>
            <w:r>
              <w:t xml:space="preserve">20 Nov 2023</w:t>
            </w:r>
          </w:p>
        </w:tc>
        <w:tc>
          <w:tcPr>
            <w:tcW w:w="2400" w:type="dxa"/>
          </w:tcPr>
          <w:p>
            <w:r>
              <w:t xml:space="preserve">23 Nov 2023</w:t>
            </w:r>
          </w:p>
        </w:tc>
        <w:tc>
          <w:tcPr>
            <w:tcW w:w="2400" w:type="dxa"/>
          </w:tcPr>
          <w:p>
            <w:r>
              <w:t xml:space="preserve">Halim Brizan | Michelle.Chase@Caricom.org</w:t>
            </w:r>
          </w:p>
        </w:tc>
        <w:tc>
          <w:tcPr>
            <w:tcW w:w="2400" w:type="dxa"/>
          </w:tcPr>
          <w:p>
            <w:r>
              <w:t xml:space="preserve">This request is in response to an invitation from the CARICOM Secretariat and covers travel expenses for one UNSD staff member to attend the "Regional Capacity Building for the CARICOM Core Sustainable Development Goals (SDGs) Indicators" workshop in Port of Spain, Trinidad and Tobago on 20-23 November 2023. / The work is related to DESA sub-programme 4 as outlined in the â€œProposed programme budgetâ€ (A/77/6 (sect.9), para 9.61): â€œâ€¦to strengthen the capacity of Member States with regard to the production and use of high-quality, timely, disaggregated, open data and national statistics and geospatial information as a basis on which to inform policy and decision-making for the 2030 Agenda for Sustainable Development and for other United Nations policy agendas and to review progress at the national and international levels.â€, contributing to the specified results as shown in A/77/6 (sect.9) para. 9.63:  / (a)	Enhanced quality, availability and access to policy-relevant statistical and geospatial information; / (b)	Increased production and dissemination by Member States of better data and national statistics and geospatial information that are comparable and in line with the adopted international frameworks and standards and provision of enhanced and open access to them; / (c)	Enhanced coherence and more effective functioning and transformation of the global statistical and geospatial systems; and / (d)	Increased statistical and geospatial information capacity of Member States and the United Nations system. / Concretely, the work in this activity will provide CARICOM Member States with information and resources on technical assistance to improve the availability of SDG data and the production of SDG indicators.</w:t>
            </w:r>
          </w:p>
        </w:tc>
        <w:tc>
          <w:tcPr>
            <w:tcW w:w="2400" w:type="dxa"/>
          </w:tcPr>
          <w:p>
            <w:r>
              <w:t xml:space="preserve"/>
            </w:r>
          </w:p>
        </w:tc>
      </w:tr>
      <w:tr>
        <w:tc>
          <w:tcPr>
            <w:tcW w:w="2400" w:type="dxa"/>
          </w:tcPr>
          <w:p>
            <w:r>
              <w:t xml:space="preserve">4219</w:t>
            </w:r>
          </w:p>
        </w:tc>
        <w:tc>
          <w:tcPr>
            <w:tcW w:w="2400" w:type="dxa"/>
          </w:tcPr>
          <w:p>
            <w:r>
              <w:t xml:space="preserve">Request #4219 ? 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Completed</w:t>
            </w:r>
          </w:p>
        </w:tc>
        <w:tc>
          <w:tcPr>
            <w:tcW w:w="2400" w:type="dxa"/>
          </w:tcPr>
          <w:p>
            <w:r>
              <w:t xml:space="preserve">Financing for Sustainable Development Office</w:t>
            </w:r>
          </w:p>
        </w:tc>
        <w:tc>
          <w:tcPr>
            <w:tcW w:w="2400" w:type="dxa"/>
          </w:tcPr>
          <w:p>
            <w:r>
              <w:t xml:space="preserve">02 Jun 2022</w:t>
            </w:r>
          </w:p>
        </w:tc>
        <w:tc>
          <w:tcPr>
            <w:tcW w:w="2400" w:type="dxa"/>
          </w:tcPr>
          <w:p>
            <w:r>
              <w:t xml:space="preserve">05 Dec 2022</w:t>
            </w:r>
          </w:p>
        </w:tc>
        <w:tc>
          <w:tcPr>
            <w:tcW w:w="2400" w:type="dxa"/>
          </w:tcPr>
          <w:p>
            <w:r>
              <w:t xml:space="preserve">09 Dec 2022</w:t>
            </w:r>
          </w:p>
        </w:tc>
        <w:tc>
          <w:tcPr>
            <w:tcW w:w="2400" w:type="dxa"/>
          </w:tcPr>
          <w:p>
            <w:r>
              <w:t xml:space="preserve">Ms. Evelyn Wayne | Evelyn.Wayne@Caricom.org</w:t>
            </w:r>
          </w:p>
        </w:tc>
        <w:tc>
          <w:tcPr>
            <w:tcW w:w="2400" w:type="dxa"/>
          </w:tcPr>
          <w:p>
            <w:r>
              <w:t xml:space="preserve">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Country standardized: 'Saint Kitts and Nevis' -&gt; 'Federation of Saint Kitts and Nevis'.</w:t>
            </w:r>
          </w:p>
        </w:tc>
      </w:tr>
      <w:tr>
        <w:tc>
          <w:tcPr>
            <w:tcW w:w="2400" w:type="dxa"/>
          </w:tcPr>
          <w:p>
            <w:r>
              <w:t xml:space="preserve">3920</w:t>
            </w:r>
          </w:p>
        </w:tc>
        <w:tc>
          <w:tcPr>
            <w:tcW w:w="2400" w:type="dxa"/>
          </w:tcPr>
          <w:p>
            <w:r>
              <w:t xml:space="preserve">Request #3920 ? RPTC Minute SB-001375.75 was approved in October 2021 to address the requests from Governments. In 2022, funding switched to UNOSD. In 2023, funding for the final workshop is covered under RPTC activity SB-001375.90</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01 Jun 2021</w:t>
            </w:r>
          </w:p>
        </w:tc>
        <w:tc>
          <w:tcPr>
            <w:tcW w:w="2400" w:type="dxa"/>
          </w:tcPr>
          <w:p>
            <w:r>
              <w:t xml:space="preserve">01 Sept 2021</w:t>
            </w:r>
          </w:p>
        </w:tc>
        <w:tc>
          <w:tcPr>
            <w:tcW w:w="2400" w:type="dxa"/>
          </w:tcPr>
          <w:p>
            <w:r>
              <w:t xml:space="preserve">31 Mar 2023</w:t>
            </w:r>
          </w:p>
        </w:tc>
        <w:tc>
          <w:tcPr>
            <w:tcW w:w="2400" w:type="dxa"/>
          </w:tcPr>
          <w:p>
            <w:r>
              <w:t xml:space="preserve">various (see attachment) | various@various.var</w:t>
            </w:r>
          </w:p>
        </w:tc>
        <w:tc>
          <w:tcPr>
            <w:tcW w:w="2400" w:type="dxa"/>
          </w:tcPr>
          <w:p>
            <w:r>
              <w:t xml:space="preserve">RPTC Minute SB-001375.75 was approved in October 2021 to address the requests from Governments. In 2022, funding switched to UNOSD. In 2023, funding for the final workshop is covered under RPTC activity SB-001375.90</w:t>
            </w:r>
          </w:p>
        </w:tc>
        <w:tc>
          <w:tcPr>
            <w:tcW w:w="2400" w:type="dxa"/>
          </w:tcPr>
          <w:p>
            <w:r>
              <w:t xml:space="preserve"/>
            </w:r>
          </w:p>
        </w:tc>
      </w:tr>
      <w:tr>
        <w:tc>
          <w:tcPr>
            <w:tcW w:w="2400" w:type="dxa"/>
          </w:tcPr>
          <w:p>
            <w:r>
              <w:t xml:space="preserve">2771</w:t>
            </w:r>
          </w:p>
        </w:tc>
        <w:tc>
          <w:tcPr>
            <w:tcW w:w="2400" w:type="dxa"/>
          </w:tcPr>
          <w:p>
            <w:r>
              <w:t xml:space="preserve">Request #2771 ? Description not provided</w:t>
            </w:r>
          </w:p>
        </w:tc>
        <w:tc>
          <w:tcPr>
            <w:tcW w:w="2400" w:type="dxa"/>
          </w:tcPr>
          <w:p>
            <w:r>
              <w:t xml:space="preserve">Completed</w:t>
            </w:r>
          </w:p>
        </w:tc>
        <w:tc>
          <w:tcPr>
            <w:tcW w:w="2400" w:type="dxa"/>
          </w:tcPr>
          <w:p>
            <w:r>
              <w:t xml:space="preserve">Financing for Sustainable Development Office</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SB-001380.92</w:t>
            </w:r>
          </w:p>
        </w:tc>
        <w:tc>
          <w:tcPr>
            <w:tcW w:w="2400" w:type="dxa"/>
          </w:tcPr>
          <w:p>
            <w:r>
              <w:t xml:space="preserve">Practical Workshops on the Negotiation of Tax Treaties – Seoul (2-6 November 2026) and Madrid (23-27 November 2026)</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$0</w:t>
            </w:r>
          </w:p>
        </w:tc>
        <w:tc>
          <w:tcPr>
            <w:tcW w:w="2400" w:type="dxa"/>
          </w:tcPr>
          <w:p>
            <w:r>
              <w:t xml:space="preserve">Algeria, Bahamas, Belize, Côte d’Ivoire, Democratic Socialist Republic of Sri Lanka, Ghana, Guinea-Bissau, Guyana, Lao People's Democratic Republic, Lesotho, Mozambique, North Macedonia, Peru, Trinidad and Tobago, Tunisia, Zimbabwe</w:t>
            </w:r>
          </w:p>
        </w:tc>
        <w:tc>
          <w:tcPr>
            <w:tcW w:w="2400" w:type="dxa"/>
          </w:tcPr>
          <w:p>
            <w:r>
              <w:t xml:space="preserve">Country standardized: 'Côte d'Ivoire' -&gt; 'Côte d’Ivoire'. / Country standardized: 'Sri Lanka' -&gt; 'Democratic Socialist Republic of Sri Lanka'.</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 / proposals.xlsx record 'SB-001380.92|row:48': 'f_cashGov' has non-numeric value 'N/A'. / proposals.xlsx record 'SB-001380.92|row:48': 'f_cashOther' has non-numeric value 'Organzing partners will fund the travel of participants to the workshops.'. / proposals.xlsx record 'SB-001380.92|row:48': 'Total Budget' is blank.</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Supporting the establishment of a Latin American Parliamentary Knowledge Network</w:t>
            </w:r>
          </w:p>
        </w:tc>
        <w:tc>
          <w:tcPr>
            <w:tcW w:w="2400" w:type="dxa"/>
          </w:tcPr>
          <w:p>
            <w:r>
              <w:t xml:space="preserve">2014</w:t>
            </w:r>
          </w:p>
        </w:tc>
        <w:tc>
          <w:tcPr>
            <w:tcW w:w="2400" w:type="dxa"/>
          </w:tcPr>
          <w:p>
            <w:r>
              <w:t xml:space="preserve">DPIDG</w:t>
            </w:r>
          </w:p>
        </w:tc>
        <w:tc>
          <w:tcPr>
            <w:tcW w:w="2400" w:type="dxa"/>
          </w:tcPr>
          <w:p>
            <w:r>
              <w:t xml:space="preserve">Argentina, Barbados, Bolivia (Plurinational State of), Brazil, Chile, Colombia, Costa Rica, Ecuador, El Salvador, Guatemala, Guyana, Mexico, Nicaragua, Panama, Paraguay, Saint Vincent and the Grenadines, Suriname, Trinidad and Tobago, Uruguay</w:t>
            </w:r>
          </w:p>
        </w:tc>
        <w:tc>
          <w:tcPr>
            <w:tcW w:w="2400" w:type="dxa"/>
          </w:tcPr>
          <w:p>
            <w:r>
              <w:t xml:space="preserve">- Establish regional agreement and resources for hosting of the Secretariat to ensure that it is properly funded and resourced and that the commitment for this is shared amongst those parliaments that can afford it. / - Expand opportunities for take part in network activities and extend these beyond those parliaments who have formally signed up to RIPALC. / - Ensure appropriate ongoing resources are committed to the digital portal as this is a critical component of the network and vital to ensuring the ongoing operation and relevance of it. / - Participants right across the region need to be encouraged to take ownership of the communities of interest and to see RIPALC as a place to learn, share and network. Ensuring the grass-roots value and use of the network will be the single most significant factor in the networks long term sustainability. / - RIPALC needs to be flexible and responsive to the needs of the users and allow them to create new communities of interest and for the model to develop to suit their requirements, it must be driven by demand, not controlled from the top down. / - It is important that RIPALC maintains the ability to run regional workshops and meetings so that parliamentary staff can network and collaborate. Digital networks are important and they help to sustain relationships and act as timely conduits for knowledge exchange, but they do not replace face to face meetings as a way of building social capital. / - Inter-parliamentary collaboration remains a priority and was seen by participants as a key pre-requisite for democratic strengthening in the region and RIPALC is an ideal vehicle to facilitate and support this.</w:t>
            </w:r>
          </w:p>
        </w:tc>
        <w:tc>
          <w:tcPr>
            <w:tcW w:w="2400" w:type="dxa"/>
          </w:tcPr>
          <w:p>
            <w:r>
              <w:t xml:space="preserve">- The RIPALC network was a timely and appropriate development for the region and has been well received by the participants in it. / - The clear weakness in the project was to rigidly implement a governance model based on the long-established ECPRD structure. This has proved restrictive and inflexible in the case of RIPALC and it has inhibited growth. A more organic and less rigid structure would have been more appropriate. / - Projects such as this need some level of formality and process if they are to be seen as reliable and trustworthy by parliaments, but the network must develop in line with the culture and expectations of the region it covers and duplicating a model from elsewhere can limit take-up. / - The network has become a force for active parliamentary development in the region, a timely catalyst to build on a growing desire for strong parliaments and recognition that it is important for parliaments to collaborate and share ideas, knowledge and experience. / - The network has successfully delivered face-to-face meetings and workshops, which are vital for building and sustaining relationships between parliaments, and has acted as a ‘role model’ for inter-parliamentary collaboration in a region where this is a relatively new and unknown concept. / - The web portal provides a fast and easy way for parliamentary staff to stay in touch and to discuss, advise and be advised about good practice and emergent issues in their field, which is particularly important for smaller legislatures. / - Though the uptake has been slower than expected, this is seen as a result of the structural limitations of RIPALC. In the medium to long term, the Secretariat needs to ensure that the portal is able to meet the needs and demands of its stakeholders and that it is promoted to all parliaments in the region, regardless of their formal membership of RIPALC.</w:t>
            </w:r>
          </w:p>
        </w:tc>
        <w:tc>
          <w:tcPr>
            <w:tcW w:w="2400" w:type="dxa"/>
          </w:tcPr>
          <w:p>
            <w:r>
              <w:t xml:space="preserve">https://unitednations.sharepoint.com/sites/DESA-CDPMO/Shared Documents/General/3. Finance Management/5 - DEVELOPMENT ACCOUNT/DA - DESA/Evaluation reports/7th tranche/ROA 163 (DPADM)/RIPALC.Evaluation.FinalReport-1.0.docx</w:t>
            </w:r>
          </w:p>
        </w:tc>
        <w:tc>
          <w:tcPr>
            <w:tcW w:w="2400" w:type="dxa"/>
          </w:tcPr>
          <w:p>
            <w:r>
              <w:t xml:space="preserve">Country standardized: 'Bolivia' -&gt; 'Bolivia (Plurinational State of)'. / Country standardized: 'St Vincent and the Grenadines' -&gt; 'Saint Vincent and the Grenadines'.</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5</w:t>
            </w:r>
          </w:p>
        </w:tc>
        <w:tc>
          <w:tcPr>
            <w:tcW w:w="2400" w:type="dxa"/>
          </w:tcPr>
          <w:p>
            <w:r>
              <w:t xml:space="preserve">GeoData_with_ISO3166_alpha3.xlsx: last modified 2026-05-22, more than 30 days before ingestion (134 days).</w:t>
            </w:r>
          </w:p>
        </w:tc>
      </w:tr>
      <w:tr>
        <w:tc>
          <w:tcPr>
            <w:tcW w:w="2400" w:type="dxa"/>
          </w:tcPr>
          <w:p>
            <w:r>
              <w:t xml:space="preserve">6</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w:t>
            </w:r>
          </w:p>
        </w:tc>
      </w:tr>
      <w:tr>
        <w:tc>
          <w:tcPr>
            <w:tcW w:w="2400" w:type="dxa"/>
          </w:tcPr>
          <w:p>
            <w:r>
              <w:t xml:space="preserve">7</w:t>
            </w:r>
          </w:p>
        </w:tc>
        <w:tc>
          <w:tcPr>
            <w:tcW w:w="2400" w:type="dxa"/>
          </w:tcPr>
          <w:p>
            <w:r>
              <w:t xml:space="preserve">proposals.xlsx record 'SB-001380.92|row:48': 'f_cashGov' has non-numeric value 'N/A'.</w:t>
            </w:r>
          </w:p>
        </w:tc>
      </w:tr>
      <w:tr>
        <w:tc>
          <w:tcPr>
            <w:tcW w:w="2400" w:type="dxa"/>
          </w:tcPr>
          <w:p>
            <w:r>
              <w:t xml:space="preserve">8</w:t>
            </w:r>
          </w:p>
        </w:tc>
        <w:tc>
          <w:tcPr>
            <w:tcW w:w="2400" w:type="dxa"/>
          </w:tcPr>
          <w:p>
            <w:r>
              <w:t xml:space="preserve">proposals.xlsx record 'SB-001380.92|row:48': 'f_cashOther' has non-numeric value 'Organzing partners will fund the travel of participants to the workshops.'.</w:t>
            </w:r>
          </w:p>
        </w:tc>
      </w:tr>
      <w:tr>
        <w:tc>
          <w:tcPr>
            <w:tcW w:w="2400" w:type="dxa"/>
          </w:tcPr>
          <w:p>
            <w:r>
              <w:t xml:space="preserve">9</w:t>
            </w:r>
          </w:p>
        </w:tc>
        <w:tc>
          <w:tcPr>
            <w:tcW w:w="2400" w:type="dxa"/>
          </w:tcPr>
          <w:p>
            <w:r>
              <w:t xml:space="preserve">proposals.xlsx record 'SB-001380.92|row:48': 'Total Budget' is blank.</w:t>
            </w:r>
          </w:p>
        </w:tc>
      </w:tr>
      <w:tr>
        <w:tc>
          <w:tcPr>
            <w:tcW w:w="2400" w:type="dxa"/>
          </w:tcPr>
          <w:p>
            <w:r>
              <w:t xml:space="preserve">10</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11</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12</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13</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14</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15</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16</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17</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18</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19</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20</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21</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22</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23</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24</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25</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26</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27</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28</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29</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30</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31</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32</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33</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34</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35</w:t>
            </w:r>
          </w:p>
        </w:tc>
        <w:tc>
          <w:tcPr>
            <w:tcW w:w="2400" w:type="dxa"/>
          </w:tcPr>
          <w:p>
            <w:r>
              <w:t xml:space="preserve">Resolved - Action: duplicate evaluation at evaluations.xlsx row 306 removed; retained row 297 ().</w:t>
            </w:r>
          </w:p>
        </w:tc>
      </w:tr>
      <w:tr>
        <w:tc>
          <w:tcPr>
            <w:tcW w:w="2400" w:type="dxa"/>
          </w:tcPr>
          <w:p>
            <w:r>
              <w:t xml:space="preserve">36</w:t>
            </w:r>
          </w:p>
        </w:tc>
        <w:tc>
          <w:tcPr>
            <w:tcW w:w="2400" w:type="dxa"/>
          </w:tcPr>
          <w:p>
            <w:r>
              <w:t xml:space="preserve">Resolved - Action: duplicate evaluation at evaluations.xlsx row 332 removed; retained row 302 ().</w:t>
            </w:r>
          </w:p>
        </w:tc>
      </w:tr>
      <w:tr>
        <w:tc>
          <w:tcPr>
            <w:tcW w:w="2400" w:type="dxa"/>
          </w:tcPr>
          <w:p>
            <w:r>
              <w:t xml:space="preserve">37</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38</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39</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40</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41</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42</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43</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44</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45</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46</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47</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48</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49</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50</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51</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52</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53</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54</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55</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56</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