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Uruguay</w:t>
      </w:r>
    </w:p>
    <w:p>
      <w:r>
        <w:rPr>
          <w:sz w:val="20"/>
          <w:color w:val="4B5563"/>
        </w:rPr>
        <w:t xml:space="preserve">Americas</w:t>
      </w:r>
    </w:p>
    <w:p>
      <w:r>
        <w:rPr>
          <w:sz w:val="20"/>
          <w:color w:val="4B5563"/>
        </w:rPr>
        <w:t xml:space="preserve">Exported 05 Oct 2026, 14:20 | Snapshot 03 Oct 2026, 21:47 GMT-4</w:t>
      </w:r>
    </w:p>
    <w:p>
      <w:r>
        <w:rPr>
          <w:b/>
          <w:sz w:val="28"/>
          <w:color w:val="174A7C"/>
        </w:rPr>
        <w:t xml:space="preserve">Summary</w:t>
      </w:r>
    </w:p>
    <w:p>
      <w:r>
        <w:t xml:space="preserve">Uruguay is presented in this country card as part of Americas, with Uruguay also associated with an unspecified subregion and the no recorded country group grouping. The filtered data for Uruguay highlights 2 projects for Uruguay, including 1 active or planned projects for Uruguay and 1 completed or closed projects for Uruguay.</w:t>
      </w:r>
    </w:p>
    <w:p>
      <w:r>
        <w:t xml:space="preserve">For Uruguay, the report includes 10 requests for Uruguay, 5 RPTC proposals for Uruguay, 3 RPTC activities for Uruguay, and 0 travel records for Uruguay. Financially, Uruguay shows USD 1,512,000 in project budget, $252,528 in proposal planned budget, and $316,554 in consumed RPTC activity budget for Uruguay.</w:t>
      </w:r>
    </w:p>
    <w:p>
      <w:r>
        <w:t xml:space="preserve">The main organizational coverage for Uruguay points to Division for Inclusive Social Development, Financing for Sustainable Development Office, FSDO, OISC. Activity records for Uruguay list 3,407 participants, including 761 women participants, the current quality review for Uruguay includes 65 data quality notes. Current highlights for Uruguay include a request focus for Uruguay: 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w:t>
      </w:r>
      <w:r>
        <w:br/>
        <w:t xml:space="preserve"/>
      </w:r>
      <w:r>
        <w:br/>
        <w:t xml:space="preserve"/>
      </w:r>
      <w:r>
        <w:br/>
        <w:t xml:space="preserve"/>
      </w:r>
      <w:r>
        <w:br/>
        <w:t xml:space="preserve">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w:t>
      </w:r>
      <w:r>
        <w:br/>
        <w:t xml:space="preserve"/>
      </w:r>
      <w:r>
        <w:br/>
        <w:t xml:space="preserve"/>
      </w:r>
      <w:r>
        <w:br/>
        <w:t xml:space="preserve"/>
      </w:r>
      <w:r>
        <w:br/>
        <w:t xml:space="preserve">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w:t>
      </w:r>
      <w:r>
        <w:br/>
        <w:t xml:space="preserve"/>
      </w:r>
      <w:r>
        <w:br/>
        <w:t xml:space="preserve"/>
      </w:r>
      <w:r>
        <w:br/>
        <w:t xml:space="preserve"/>
      </w:r>
      <w:r>
        <w:br/>
        <w:t xml:space="preserve">ALADI requested capacity-building and/or technical-assistance on MSITS 2026 for its Member States in an e-mail sent directly to DESA staff. </w:t>
      </w:r>
      <w:r>
        <w:br/>
        <w:t xml:space="preserve"/>
      </w:r>
      <w:r>
        <w:br/>
        <w:t xml:space="preserve"/>
      </w:r>
      <w:r>
        <w:br/>
        <w:t xml:space="preserve"/>
      </w:r>
      <w:r>
        <w:br/>
        <w:t xml:space="preserve">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w:t>
      </w:r>
      <w:r>
        <w:br/>
        <w:t xml:space="preserve"/>
      </w:r>
      <w:r>
        <w:br/>
        <w:t xml:space="preserve"/>
      </w:r>
      <w:r>
        <w:br/>
        <w:t xml:space="preserve"/>
      </w:r>
      <w:r>
        <w:br/>
        <w:t xml:space="preserve">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 an RPTC proposal focus for Uruguay: Capacity building workshop for developing countries presenting voluntary national reviews at the 2026 HLPF ; an activity focus for Uruguay: Capacity building workshop for developing countries presenting voluntary national reviews at the 2026 HLPF.</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2</w:t>
            </w:r>
          </w:p>
        </w:tc>
      </w:tr>
      <w:tr>
        <w:tc>
          <w:tcPr>
            <w:tcW w:w="2400" w:type="dxa"/>
          </w:tcPr>
          <w:p>
            <w:r>
              <w:t xml:space="preserve">Project budget</w:t>
            </w:r>
          </w:p>
        </w:tc>
        <w:tc>
          <w:tcPr>
            <w:tcW w:w="2400" w:type="dxa"/>
          </w:tcPr>
          <w:p>
            <w:r>
              <w:t xml:space="preserve">USD 1,512,000</w:t>
            </w:r>
          </w:p>
        </w:tc>
      </w:tr>
      <w:tr>
        <w:tc>
          <w:tcPr>
            <w:tcW w:w="2400" w:type="dxa"/>
          </w:tcPr>
          <w:p>
            <w:r>
              <w:t xml:space="preserve">Requests</w:t>
            </w:r>
          </w:p>
        </w:tc>
        <w:tc>
          <w:tcPr>
            <w:tcW w:w="2400" w:type="dxa"/>
          </w:tcPr>
          <w:p>
            <w:r>
              <w:t xml:space="preserve">10</w:t>
            </w:r>
          </w:p>
        </w:tc>
      </w:tr>
      <w:tr>
        <w:tc>
          <w:tcPr>
            <w:tcW w:w="2400" w:type="dxa"/>
          </w:tcPr>
          <w:p>
            <w:r>
              <w:t xml:space="preserve">RPTC proposals</w:t>
            </w:r>
          </w:p>
        </w:tc>
        <w:tc>
          <w:tcPr>
            <w:tcW w:w="2400" w:type="dxa"/>
          </w:tcPr>
          <w:p>
            <w:r>
              <w:t xml:space="preserve">5</w:t>
            </w:r>
          </w:p>
        </w:tc>
      </w:tr>
      <w:tr>
        <w:tc>
          <w:tcPr>
            <w:tcW w:w="2400" w:type="dxa"/>
          </w:tcPr>
          <w:p>
            <w:r>
              <w:t xml:space="preserve">Proposal planned budget</w:t>
            </w:r>
          </w:p>
        </w:tc>
        <w:tc>
          <w:tcPr>
            <w:tcW w:w="2400" w:type="dxa"/>
          </w:tcPr>
          <w:p>
            <w:r>
              <w:t xml:space="preserve">$252,528</w:t>
            </w:r>
          </w:p>
        </w:tc>
      </w:tr>
      <w:tr>
        <w:tc>
          <w:tcPr>
            <w:tcW w:w="2400" w:type="dxa"/>
          </w:tcPr>
          <w:p>
            <w:r>
              <w:t xml:space="preserve">RPTC activities</w:t>
            </w:r>
          </w:p>
        </w:tc>
        <w:tc>
          <w:tcPr>
            <w:tcW w:w="2400" w:type="dxa"/>
          </w:tcPr>
          <w:p>
            <w:r>
              <w:t xml:space="preserve">3</w:t>
            </w:r>
          </w:p>
        </w:tc>
      </w:tr>
      <w:tr>
        <w:tc>
          <w:tcPr>
            <w:tcW w:w="2400" w:type="dxa"/>
          </w:tcPr>
          <w:p>
            <w:r>
              <w:t xml:space="preserve">Consumed RPTC budget</w:t>
            </w:r>
          </w:p>
        </w:tc>
        <w:tc>
          <w:tcPr>
            <w:tcW w:w="2400" w:type="dxa"/>
          </w:tcPr>
          <w:p>
            <w:r>
              <w:t xml:space="preserve">$316,554</w:t>
            </w:r>
          </w:p>
        </w:tc>
      </w:tr>
      <w:tr>
        <w:tc>
          <w:tcPr>
            <w:tcW w:w="2400" w:type="dxa"/>
          </w:tcPr>
          <w:p>
            <w:r>
              <w:t xml:space="preserve">Activity participants</w:t>
            </w:r>
          </w:p>
        </w:tc>
        <w:tc>
          <w:tcPr>
            <w:tcW w:w="2400" w:type="dxa"/>
          </w:tcPr>
          <w:p>
            <w:r>
              <w:t xml:space="preserve">3,407</w:t>
            </w:r>
          </w:p>
        </w:tc>
      </w:tr>
      <w:tr>
        <w:tc>
          <w:tcPr>
            <w:tcW w:w="2400" w:type="dxa"/>
          </w:tcPr>
          <w:p>
            <w:r>
              <w:t xml:space="preserve">Women participants</w:t>
            </w:r>
          </w:p>
        </w:tc>
        <w:tc>
          <w:tcPr>
            <w:tcW w:w="2400" w:type="dxa"/>
          </w:tcPr>
          <w:p>
            <w:r>
              <w:t xml:space="preserve">761</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6</w:t>
            </w:r>
          </w:p>
        </w:tc>
      </w:tr>
      <w:tr>
        <w:tc>
          <w:tcPr>
            <w:tcW w:w="2400" w:type="dxa"/>
          </w:tcPr>
          <w:p>
            <w:r>
              <w:t xml:space="preserve">Data quality notes</w:t>
            </w:r>
          </w:p>
        </w:tc>
        <w:tc>
          <w:tcPr>
            <w:tcW w:w="2400" w:type="dxa"/>
          </w:tcPr>
          <w:p>
            <w:r>
              <w:t xml:space="preserve">65</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Inclusive and sustainable economic growth in a society for all ages in the post-COVID-19 era in Asia and Latin America and the Caribbean.</w:t>
            </w:r>
          </w:p>
        </w:tc>
        <w:tc>
          <w:tcPr>
            <w:tcW w:w="2400" w:type="dxa"/>
          </w:tcPr>
          <w:p>
            <w:r>
              <w:t xml:space="preserve">2326A</w:t>
            </w:r>
          </w:p>
        </w:tc>
        <w:tc>
          <w:tcPr>
            <w:tcW w:w="2400" w:type="dxa"/>
          </w:tcPr>
          <w:p>
            <w:r>
              <w:t xml:space="preserve">country</w:t>
            </w:r>
          </w:p>
        </w:tc>
        <w:tc>
          <w:tcPr>
            <w:tcW w:w="2400" w:type="dxa"/>
          </w:tcPr>
          <w:p>
            <w:r>
              <w:t xml:space="preserve">Population Division</w:t>
            </w:r>
          </w:p>
        </w:tc>
        <w:tc>
          <w:tcPr>
            <w:tcW w:w="2400" w:type="dxa"/>
          </w:tcPr>
          <w:p>
            <w:r>
              <w:t xml:space="preserve">Active</w:t>
            </w:r>
          </w:p>
        </w:tc>
        <w:tc>
          <w:tcPr>
            <w:tcW w:w="2400" w:type="dxa"/>
          </w:tcPr>
          <w:p>
            <w:r>
              <w:t xml:space="preserve"/>
            </w:r>
          </w:p>
        </w:tc>
        <w:tc>
          <w:tcPr>
            <w:tcW w:w="2400" w:type="dxa"/>
          </w:tcPr>
          <w:p>
            <w:r>
              <w:t xml:space="preserve"/>
            </w:r>
          </w:p>
        </w:tc>
        <w:tc>
          <w:tcPr>
            <w:tcW w:w="2400" w:type="dxa"/>
          </w:tcPr>
          <w:p>
            <w:r>
              <w:t xml:space="preserve">USD 880,000</w:t>
            </w:r>
          </w:p>
        </w:tc>
        <w:tc>
          <w:tcPr>
            <w:tcW w:w="2400" w:type="dxa"/>
          </w:tcPr>
          <w:p>
            <w:r>
              <w:t xml:space="preserve">Colombia, Costa Rica, Jamaica, Lao People's Democratic Republic, Malaysia, Maldives, Uruguay, Viet Nam</w:t>
            </w:r>
          </w:p>
        </w:tc>
        <w:tc>
          <w:tcPr>
            <w:tcW w:w="2400" w:type="dxa"/>
          </w:tcPr>
          <w:p>
            <w:r>
              <w:t xml:space="preserve">Country standardized: 'Lao PDR' -&gt; 'Lao People's Democratic Republic'.</w:t>
            </w:r>
          </w:p>
        </w:tc>
        <w:tc>
          <w:tcPr>
            <w:tcW w:w="2400" w:type="dxa"/>
          </w:tcPr>
          <w:p>
            <w:r>
              <w:t xml:space="preserve">projects.csv record 'Inclusive and sustainable economic growth in a society for all ages in the post-COVID-19 era in Asia and Latin America and the Caribbean. |  | 2326A': End Date End Date is blank. / projects.csv record 'Inclusive and sustainable economic growth in a society for all ages in the post-COVID-19 era in Asia and Latin America and the Caribbean. |  | 2326A': Start Date Start Date is blank.</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1415A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15 Jan 2020</w:t>
            </w:r>
          </w:p>
        </w:tc>
        <w:tc>
          <w:tcPr>
            <w:tcW w:w="2400" w:type="dxa"/>
          </w:tcPr>
          <w:p>
            <w:r>
              <w:t xml:space="preserve">18 Sept 2020</w:t>
            </w:r>
          </w:p>
        </w:tc>
        <w:tc>
          <w:tcPr>
            <w:tcW w:w="2400" w:type="dxa"/>
          </w:tcPr>
          <w:p>
            <w:r>
              <w:t xml:space="preserve">USD 632,000</w:t>
            </w:r>
          </w:p>
        </w:tc>
        <w:tc>
          <w:tcPr>
            <w:tcW w:w="2400" w:type="dxa"/>
          </w:tcPr>
          <w:p>
            <w:r>
              <w:t xml:space="preserve">Barbados, Bolivia (Plurinational State of), Brazil, Chile, Colombia, Costa Rica, Cuba, Dominican Republic, Ecuador, El Salvador, Guatemala, Honduras, Jamaica, Mexico, Nicaragua, Panama, Paraguay, Peru, Trinidad and Tobago, Uruguay, Venezuela (Bolivarian Republic of)</w:t>
            </w:r>
          </w:p>
        </w:tc>
        <w:tc>
          <w:tcPr>
            <w:tcW w:w="2400" w:type="dxa"/>
          </w:tcPr>
          <w:p>
            <w:r>
              <w:t xml:space="preserve"/>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5567</w:t>
            </w:r>
          </w:p>
        </w:tc>
        <w:tc>
          <w:tcPr>
            <w:tcW w:w="2400" w:type="dxa"/>
          </w:tcPr>
          <w:p>
            <w:r>
              <w:t xml:space="preserve">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Dec 2026</w:t>
            </w:r>
          </w:p>
        </w:tc>
        <w:tc>
          <w:tcPr>
            <w:tcW w:w="2400" w:type="dxa"/>
          </w:tcPr>
          <w:p>
            <w:r>
              <w:t xml:space="preserve">Kimberly Bordon | kbordon@aladi.org</w:t>
            </w:r>
          </w:p>
        </w:tc>
        <w:tc>
          <w:tcPr>
            <w:tcW w:w="2400" w:type="dxa"/>
          </w:tcPr>
          <w:p>
            <w:r>
              <w:t xml:space="preserve">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
            </w:r>
          </w:p>
        </w:tc>
      </w:tr>
      <w:tr>
        <w:tc>
          <w:tcPr>
            <w:tcW w:w="2400" w:type="dxa"/>
          </w:tcPr>
          <w:p>
            <w:r>
              <w:t xml:space="preserve">5373</w:t>
            </w:r>
          </w:p>
        </w:tc>
        <w:tc>
          <w:tcPr>
            <w:tcW w:w="2400" w:type="dxa"/>
          </w:tcPr>
          <w:p>
            <w:r>
              <w:t xml:space="preserve">Request #5373 ? 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May 2026</w:t>
            </w:r>
          </w:p>
        </w:tc>
        <w:tc>
          <w:tcPr>
            <w:tcW w:w="2400" w:type="dxa"/>
          </w:tcPr>
          <w:p>
            <w:r>
              <w:t xml:space="preserve">Kimberly Bordon | kbordon@aladi.org</w:t>
            </w:r>
          </w:p>
        </w:tc>
        <w:tc>
          <w:tcPr>
            <w:tcW w:w="2400" w:type="dxa"/>
          </w:tcPr>
          <w:p>
            <w:r>
              <w:t xml:space="preserve">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
            </w:r>
          </w:p>
        </w:tc>
      </w:tr>
      <w:tr>
        <w:tc>
          <w:tcPr>
            <w:tcW w:w="2400" w:type="dxa"/>
          </w:tcPr>
          <w:p>
            <w:r>
              <w:t xml:space="preserve">5246</w:t>
            </w:r>
          </w:p>
        </w:tc>
        <w:tc>
          <w:tcPr>
            <w:tcW w:w="2400" w:type="dxa"/>
          </w:tcPr>
          <w:p>
            <w:r>
              <w:t xml:space="preserve">Request #5246 ? 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Under consideration</w:t>
            </w:r>
          </w:p>
        </w:tc>
        <w:tc>
          <w:tcPr>
            <w:tcW w:w="2400" w:type="dxa"/>
          </w:tcPr>
          <w:p>
            <w:r>
              <w:t xml:space="preserve">Statistics Division</w:t>
            </w:r>
          </w:p>
        </w:tc>
        <w:tc>
          <w:tcPr>
            <w:tcW w:w="2400" w:type="dxa"/>
          </w:tcPr>
          <w:p>
            <w:r>
              <w:t xml:space="preserve">02 May 2025</w:t>
            </w:r>
          </w:p>
        </w:tc>
        <w:tc>
          <w:tcPr>
            <w:tcW w:w="2400" w:type="dxa"/>
          </w:tcPr>
          <w:p>
            <w:r>
              <w:t xml:space="preserve">11 Aug 2025</w:t>
            </w:r>
          </w:p>
        </w:tc>
        <w:tc>
          <w:tcPr>
            <w:tcW w:w="2400" w:type="dxa"/>
          </w:tcPr>
          <w:p>
            <w:r>
              <w:t xml:space="preserve">14 Aug 2025</w:t>
            </w:r>
          </w:p>
        </w:tc>
        <w:tc>
          <w:tcPr>
            <w:tcW w:w="2400" w:type="dxa"/>
          </w:tcPr>
          <w:p>
            <w:r>
              <w:t xml:space="preserve">Mark Iliffe | mark.iliffe@un.org</w:t>
            </w:r>
          </w:p>
        </w:tc>
        <w:tc>
          <w:tcPr>
            <w:tcW w:w="2400" w:type="dxa"/>
          </w:tcPr>
          <w:p>
            <w:r>
              <w:t xml:space="preserve">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
            </w:r>
          </w:p>
        </w:tc>
      </w:tr>
      <w:tr>
        <w:tc>
          <w:tcPr>
            <w:tcW w:w="2400" w:type="dxa"/>
          </w:tcPr>
          <w:p>
            <w:r>
              <w:t xml:space="preserve">5226</w:t>
            </w:r>
          </w:p>
        </w:tc>
        <w:tc>
          <w:tcPr>
            <w:tcW w:w="2400" w:type="dxa"/>
          </w:tcPr>
          <w:p>
            <w:r>
              <w:t xml:space="preserve">Request #5226 ? The technical workshop on time, places, people and relationships to organize social and demographic outcomes and statistics is organized by UNSD and hosted by Statistics Canada.  / The workshop aims to: / â€¢	Enhance national capacities, particularly in developing countries, to test and operationalize the building blocks TIME, PLACES, PEOPLE and RELATIONSHIPS as a lens to better organize social and demographic outcomes and statistics. / â€¢	Promote a shared understanding of the conceptual framework being advanced by the Friends of the Chair Group on Social and Demographic Statistics and how it can be applied to organize social and demographic statistics  in a coherent and integrated manner; / â€¢	Refine the conceptual framework based on national experiences, technical inputs, and emerging user needs; / â€¢	Exchange national experiences and innovations in data production, integration, and dissemination that align with the proposed framework, including practical applications, institutional arrangements, and lessons learned; / â€¢	Identify technical and operational priorities for piloting and implementing the new approach at the national level, including tools, guidance, capacity-building needs, and opportunities for collaboration; / â€¢	Strengthen the alignment of the conceptual framework with global agendas, including the 2030 Agenda for Sustainable Development, the Pact for the Future, and initiatives to develop new measures of progress beyond GDP; / â€¢	Foster partnerships and peer learning among national statistical offices, regional and international organizations, and other stakeholders to support coherent implementation and promote long-term sustainability of the approach. / The Statistical Commission in its decision 55/112 (E/2024/24-E/CN.3/2024/36 ), endorsed the revised Guide to Producing Statistics on Time Use; took note of the interest expressed by countries in using the proposed methods, and requested the Statistics Division and partners to support countries in the implementation of the Guide, in collaboration with regional actors, to ensure its national relevance and effective implementation.  Moreover, in its decision 56/108 (E/2025/24-E/CN.3/2025/37) the Commission, approved further research on a conceptual framework for social and demographic statistics, building on the elements TIME, PLACES, PEOPLE and RELATIONSHIPS to organize social outcomes and emphasize the need to consider innovative approaches as well as country contexts, available resources and implementation capacity.</w:t>
            </w:r>
          </w:p>
        </w:tc>
        <w:tc>
          <w:tcPr>
            <w:tcW w:w="2400" w:type="dxa"/>
          </w:tcPr>
          <w:p>
            <w:r>
              <w:t xml:space="preserve">Completed</w:t>
            </w:r>
          </w:p>
        </w:tc>
        <w:tc>
          <w:tcPr>
            <w:tcW w:w="2400" w:type="dxa"/>
          </w:tcPr>
          <w:p>
            <w:r>
              <w:t xml:space="preserve">Statistics Division</w:t>
            </w:r>
          </w:p>
        </w:tc>
        <w:tc>
          <w:tcPr>
            <w:tcW w:w="2400" w:type="dxa"/>
          </w:tcPr>
          <w:p>
            <w:r>
              <w:t xml:space="preserve">21 May 2025</w:t>
            </w:r>
          </w:p>
        </w:tc>
        <w:tc>
          <w:tcPr>
            <w:tcW w:w="2400" w:type="dxa"/>
          </w:tcPr>
          <w:p>
            <w:r>
              <w:t xml:space="preserve">09 Sept 2025</w:t>
            </w:r>
          </w:p>
        </w:tc>
        <w:tc>
          <w:tcPr>
            <w:tcW w:w="2400" w:type="dxa"/>
          </w:tcPr>
          <w:p>
            <w:r>
              <w:t xml:space="preserve">11 Sept 2025</w:t>
            </w:r>
          </w:p>
        </w:tc>
        <w:tc>
          <w:tcPr>
            <w:tcW w:w="2400" w:type="dxa"/>
          </w:tcPr>
          <w:p>
            <w:r>
              <w:t xml:space="preserve">Iliana Vaca Trigo | iliana.vaca-trigo@un.org</w:t>
            </w:r>
          </w:p>
        </w:tc>
        <w:tc>
          <w:tcPr>
            <w:tcW w:w="2400" w:type="dxa"/>
          </w:tcPr>
          <w:p>
            <w:r>
              <w:t xml:space="preserve">The technical workshop on time, places, people and relationships to organize social and demographic outcomes and statistics is organized by UNSD and hosted by Statistics Canada.  / The workshop aims to: / â€¢	Enhance national capacities, particularly in developing countries, to test and operationalize the building blocks TIME, PLACES, PEOPLE and RELATIONSHIPS as a lens to better organize social and demographic outcomes and statistics. / â€¢	Promote a shared understanding of the conceptual framework being advanced by the Friends of the Chair Group on Social and Demographic Statistics and how it can be applied to organize social and demographic statistics  in a coherent and integrated manner; / â€¢	Refine the conceptual framework based on national experiences, technical inputs, and emerging user needs; / â€¢	Exchange national experiences and innovations in data production, integration, and dissemination that align with the proposed framework, including practical applications, institutional arrangements, and lessons learned; / â€¢	Identify technical and operational priorities for piloting and implementing the new approach at the national level, including tools, guidance, capacity-building needs, and opportunities for collaboration; / â€¢	Strengthen the alignment of the conceptual framework with global agendas, including the 2030 Agenda for Sustainable Development, the Pact for the Future, and initiatives to develop new measures of progress beyond GDP; / â€¢	Foster partnerships and peer learning among national statistical offices, regional and international organizations, and other stakeholders to support coherent implementation and promote long-term sustainability of the approach. / The Statistical Commission in its decision 55/112 (E/2024/24-E/CN.3/2024/36 ), endorsed the revised Guide to Producing Statistics on Time Use; took note of the interest expressed by countries in using the proposed methods, and requested the Statistics Division and partners to support countries in the implementation of the Guide, in collaboration with regional actors, to ensure its national relevance and effective implementation.  Moreover, in its decision 56/108 (E/2025/24-E/CN.3/2025/37) the Commission, approved further research on a conceptual framework for social and demographic statistics, building on the elements TIME, PLACES, PEOPLE and RELATIONSHIPS to organize social outcomes and emphasize the need to consider innovative approaches as well as country contexts, available resources and implementation capacity.</w:t>
            </w:r>
          </w:p>
        </w:tc>
        <w:tc>
          <w:tcPr>
            <w:tcW w:w="2400" w:type="dxa"/>
          </w:tcPr>
          <w:p>
            <w:r>
              <w:t xml:space="preserve"/>
            </w:r>
          </w:p>
        </w:tc>
      </w:tr>
      <w:tr>
        <w:tc>
          <w:tcPr>
            <w:tcW w:w="2400" w:type="dxa"/>
          </w:tcPr>
          <w:p>
            <w:r>
              <w:t xml:space="preserve">5136</w:t>
            </w:r>
          </w:p>
        </w:tc>
        <w:tc>
          <w:tcPr>
            <w:tcW w:w="2400" w:type="dxa"/>
          </w:tcPr>
          <w:p>
            <w:r>
              <w:t xml:space="preserve">Request #5136 ? 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Under consideration</w:t>
            </w:r>
          </w:p>
        </w:tc>
        <w:tc>
          <w:tcPr>
            <w:tcW w:w="2400" w:type="dxa"/>
          </w:tcPr>
          <w:p>
            <w:r>
              <w:t xml:space="preserve">Statistics Division</w:t>
            </w:r>
          </w:p>
        </w:tc>
        <w:tc>
          <w:tcPr>
            <w:tcW w:w="2400" w:type="dxa"/>
          </w:tcPr>
          <w:p>
            <w:r>
              <w:t xml:space="preserve">03 Mar 2025</w:t>
            </w:r>
          </w:p>
        </w:tc>
        <w:tc>
          <w:tcPr>
            <w:tcW w:w="2400" w:type="dxa"/>
          </w:tcPr>
          <w:p>
            <w:r>
              <w:t xml:space="preserve">17 Mar 2025</w:t>
            </w:r>
          </w:p>
        </w:tc>
        <w:tc>
          <w:tcPr>
            <w:tcW w:w="2400" w:type="dxa"/>
          </w:tcPr>
          <w:p>
            <w:r>
              <w:t xml:space="preserve">27 May 2025</w:t>
            </w:r>
          </w:p>
        </w:tc>
        <w:tc>
          <w:tcPr>
            <w:tcW w:w="2400" w:type="dxa"/>
          </w:tcPr>
          <w:p>
            <w:r>
              <w:t xml:space="preserve">Pedro Farinas | farinas@un.org</w:t>
            </w:r>
          </w:p>
        </w:tc>
        <w:tc>
          <w:tcPr>
            <w:tcW w:w="2400" w:type="dxa"/>
          </w:tcPr>
          <w:p>
            <w:r>
              <w:t xml:space="preserve">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
            </w:r>
          </w:p>
        </w:tc>
      </w:tr>
      <w:tr>
        <w:tc>
          <w:tcPr>
            <w:tcW w:w="2400" w:type="dxa"/>
          </w:tcPr>
          <w:p>
            <w:r>
              <w:t xml:space="preserve">4945</w:t>
            </w:r>
          </w:p>
        </w:tc>
        <w:tc>
          <w:tcPr>
            <w:tcW w:w="2400" w:type="dxa"/>
          </w:tcPr>
          <w:p>
            <w:r>
              <w:t xml:space="preserve">Request #4945 ? The objective of this support is to disseminate and strengthen local capacities for the use of data and information from the Survey in the country to guide social protection policies for families in situations of socioeconomic vulnerability in the country.</w:t>
            </w:r>
          </w:p>
        </w:tc>
        <w:tc>
          <w:tcPr>
            <w:tcW w:w="2400" w:type="dxa"/>
          </w:tcPr>
          <w:p>
            <w:r>
              <w:t xml:space="preserve">Completed</w:t>
            </w:r>
          </w:p>
        </w:tc>
        <w:tc>
          <w:tcPr>
            <w:tcW w:w="2400" w:type="dxa"/>
          </w:tcPr>
          <w:p>
            <w:r>
              <w:t xml:space="preserve">Division for Inclusive Social Development</w:t>
            </w:r>
          </w:p>
        </w:tc>
        <w:tc>
          <w:tcPr>
            <w:tcW w:w="2400" w:type="dxa"/>
          </w:tcPr>
          <w:p>
            <w:r>
              <w:t xml:space="preserve">03 Apr 2024</w:t>
            </w:r>
          </w:p>
        </w:tc>
        <w:tc>
          <w:tcPr>
            <w:tcW w:w="2400" w:type="dxa"/>
          </w:tcPr>
          <w:p>
            <w:r>
              <w:t xml:space="preserve">01 May 2024</w:t>
            </w:r>
          </w:p>
        </w:tc>
        <w:tc>
          <w:tcPr>
            <w:tcW w:w="2400" w:type="dxa"/>
          </w:tcPr>
          <w:p>
            <w:r>
              <w:t xml:space="preserve">30 Sept 2024</w:t>
            </w:r>
          </w:p>
        </w:tc>
        <w:tc>
          <w:tcPr>
            <w:tcW w:w="2400" w:type="dxa"/>
          </w:tcPr>
          <w:p>
            <w:r>
              <w:t xml:space="preserve">Mag. Cecilia Sena | na@na.org</w:t>
            </w:r>
          </w:p>
        </w:tc>
        <w:tc>
          <w:tcPr>
            <w:tcW w:w="2400" w:type="dxa"/>
          </w:tcPr>
          <w:p>
            <w:r>
              <w:t xml:space="preserve">The objective of this support is to disseminate and strengthen local capacities for the use of data and information from the Survey in the country to guide social protection policies for families in situations of socioeconomic vulnerability in the country.</w:t>
            </w:r>
          </w:p>
        </w:tc>
        <w:tc>
          <w:tcPr>
            <w:tcW w:w="2400" w:type="dxa"/>
          </w:tcPr>
          <w:p>
            <w:r>
              <w:t xml:space="preserve"/>
            </w:r>
          </w:p>
        </w:tc>
      </w:tr>
      <w:tr>
        <w:tc>
          <w:tcPr>
            <w:tcW w:w="2400" w:type="dxa"/>
          </w:tcPr>
          <w:p>
            <w:r>
              <w:t xml:space="preserve">4730</w:t>
            </w:r>
          </w:p>
        </w:tc>
        <w:tc>
          <w:tcPr>
            <w:tcW w:w="2400" w:type="dxa"/>
          </w:tcPr>
          <w:p>
            <w:r>
              <w:t xml:space="preserve">Request #4730 ? This proposal is a response to country requests for training in support of estimation and use of National Transfer Accounts. Eight countries (Colombia, Costa Rica, Jamaica, Lao PDR, Malaysia, Maldives, Uruguay, and Viet Nam) will be participating in the 15th Tranche development account project on â€œInclusive and sustainable economic growth in a society for all ages in the post-COVID-19 era in Asia and Latin America and the Caribbeanâ€ â€“ jointly implemented by DESA, ECLAC, and ESCAP.  A key prerequisite for successful participation in this DA project is the completion of a recent, full set of National Transfer Accounts by the end of 2023.   / To this end and to strengthen the technical capacity in these 8 countries, this proposal will fund 8 participants (one from each of the DA project countries) to participate and receive training at the Fourteenth Global Meeting of the National Transfer Accounts project (NTA14): â€œBuilding Sustainable Generational Economiesâ€ which will take place 14-17 February 2023 at the UniversitÃ© Paris-Dauphine, France.   DESA staff will co-organize and co-teach training workshops offered to participants from all countries (an estimated 60 to 80) participating at the global conference â€“ utilizing the UN manuals on National Transfer Accounts (DESA, 2013) and on National Time Transfer Accounts (DESA, 2023).</w:t>
            </w:r>
          </w:p>
        </w:tc>
        <w:tc>
          <w:tcPr>
            <w:tcW w:w="2400" w:type="dxa"/>
          </w:tcPr>
          <w:p>
            <w:r>
              <w:t xml:space="preserve">Completed</w:t>
            </w:r>
          </w:p>
        </w:tc>
        <w:tc>
          <w:tcPr>
            <w:tcW w:w="2400" w:type="dxa"/>
          </w:tcPr>
          <w:p>
            <w:r>
              <w:t xml:space="preserve">Population Division</w:t>
            </w:r>
          </w:p>
        </w:tc>
        <w:tc>
          <w:tcPr>
            <w:tcW w:w="2400" w:type="dxa"/>
          </w:tcPr>
          <w:p>
            <w:r>
              <w:t xml:space="preserve">06 Jan 2023</w:t>
            </w:r>
          </w:p>
        </w:tc>
        <w:tc>
          <w:tcPr>
            <w:tcW w:w="2400" w:type="dxa"/>
          </w:tcPr>
          <w:p>
            <w:r>
              <w:t xml:space="preserve">14 Feb 2023</w:t>
            </w:r>
          </w:p>
        </w:tc>
        <w:tc>
          <w:tcPr>
            <w:tcW w:w="2400" w:type="dxa"/>
          </w:tcPr>
          <w:p>
            <w:r>
              <w:t xml:space="preserve">17 Feb 2023</w:t>
            </w:r>
          </w:p>
        </w:tc>
        <w:tc>
          <w:tcPr>
            <w:tcW w:w="2400" w:type="dxa"/>
          </w:tcPr>
          <w:p>
            <w:r>
              <w:t xml:space="preserve">Tim Miller | tim.miller@un.org</w:t>
            </w:r>
          </w:p>
        </w:tc>
        <w:tc>
          <w:tcPr>
            <w:tcW w:w="2400" w:type="dxa"/>
          </w:tcPr>
          <w:p>
            <w:r>
              <w:t xml:space="preserve">This proposal is a response to country requests for training in support of estimation and use of National Transfer Accounts. Eight countries (Colombia, Costa Rica, Jamaica, Lao PDR, Malaysia, Maldives, Uruguay, and Viet Nam) will be participating in the 15th Tranche development account project on â€œInclusive and sustainable economic growth in a society for all ages in the post-COVID-19 era in Asia and Latin America and the Caribbeanâ€ â€“ jointly implemented by DESA, ECLAC, and ESCAP.  A key prerequisite for successful participation in this DA project is the completion of a recent, full set of National Transfer Accounts by the end of 2023.   / To this end and to strengthen the technical capacity in these 8 countries, this proposal will fund 8 participants (one from each of the DA project countries) to participate and receive training at the Fourteenth Global Meeting of the National Transfer Accounts project (NTA14): â€œBuilding Sustainable Generational Economiesâ€ which will take place 14-17 February 2023 at the UniversitÃ© Paris-Dauphine, France.   DESA staff will co-organize and co-teach training workshops offered to participants from all countries (an estimated 60 to 80) participating at the global conference â€“ utilizing the UN manuals on National Transfer Accounts (DESA, 2013) and on National Time Transfer Accounts (DESA, 2023).</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r>
        <w:tc>
          <w:tcPr>
            <w:tcW w:w="2400" w:type="dxa"/>
          </w:tcPr>
          <w:p>
            <w:r>
              <w:t xml:space="preserve">3922</w:t>
            </w:r>
          </w:p>
        </w:tc>
        <w:tc>
          <w:tcPr>
            <w:tcW w:w="2400" w:type="dxa"/>
          </w:tcPr>
          <w:p>
            <w:r>
              <w:t xml:space="preserve">Request #3922 ? 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Ongoing</w:t>
            </w:r>
          </w:p>
        </w:tc>
        <w:tc>
          <w:tcPr>
            <w:tcW w:w="2400" w:type="dxa"/>
          </w:tcPr>
          <w:p>
            <w:r>
              <w:t xml:space="preserve">Statistics Division</w:t>
            </w:r>
          </w:p>
        </w:tc>
        <w:tc>
          <w:tcPr>
            <w:tcW w:w="2400" w:type="dxa"/>
          </w:tcPr>
          <w:p>
            <w:r>
              <w:t xml:space="preserve">01 Mar 2021</w:t>
            </w:r>
          </w:p>
        </w:tc>
        <w:tc>
          <w:tcPr>
            <w:tcW w:w="2400" w:type="dxa"/>
          </w:tcPr>
          <w:p>
            <w:r>
              <w:t xml:space="preserve">01 Mar 2021</w:t>
            </w:r>
          </w:p>
        </w:tc>
        <w:tc>
          <w:tcPr>
            <w:tcW w:w="2400" w:type="dxa"/>
          </w:tcPr>
          <w:p>
            <w:r>
              <w:t xml:space="preserve">01 Mar 2022</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
            </w:r>
          </w:p>
        </w:tc>
      </w:tr>
      <w:tr>
        <w:tc>
          <w:tcPr>
            <w:tcW w:w="2400" w:type="dxa"/>
          </w:tcPr>
          <w:p>
            <w:r>
              <w:t xml:space="preserve">3435</w:t>
            </w:r>
          </w:p>
        </w:tc>
        <w:tc>
          <w:tcPr>
            <w:tcW w:w="2400" w:type="dxa"/>
          </w:tcPr>
          <w:p>
            <w:r>
              <w:t xml:space="preserve">Request #3435 ? Joint DESA-ECLAC initiative in support of the Madrid International Plan of Action on Ageing (MIPAA). Held training workshop on forecasting the national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23 May 2019</w:t>
            </w:r>
          </w:p>
        </w:tc>
        <w:tc>
          <w:tcPr>
            <w:tcW w:w="2400" w:type="dxa"/>
          </w:tcPr>
          <w:p>
            <w:r>
              <w:t xml:space="preserve">09 Sept 2019</w:t>
            </w:r>
          </w:p>
        </w:tc>
        <w:tc>
          <w:tcPr>
            <w:tcW w:w="2400" w:type="dxa"/>
          </w:tcPr>
          <w:p>
            <w:r>
              <w:t xml:space="preserve">11 Sept 2019</w:t>
            </w:r>
          </w:p>
        </w:tc>
        <w:tc>
          <w:tcPr>
            <w:tcW w:w="2400" w:type="dxa"/>
          </w:tcPr>
          <w:p>
            <w:r>
              <w:t xml:space="preserve">Mr. Paulo Saad | paulo.saad@un.org</w:t>
            </w:r>
          </w:p>
        </w:tc>
        <w:tc>
          <w:tcPr>
            <w:tcW w:w="2400" w:type="dxa"/>
          </w:tcPr>
          <w:p>
            <w:r>
              <w:t xml:space="preserve">Joint DESA-ECLAC initiative in support of the Madrid International Plan of Action on Ageing (MIPAA). Held training workshop on forecasting the national economic and fiscal impacts of population ageing.</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SB-001376.99.99.19</w:t>
            </w:r>
          </w:p>
        </w:tc>
        <w:tc>
          <w:tcPr>
            <w:tcW w:w="2400" w:type="dxa"/>
          </w:tcPr>
          <w:p>
            <w:r>
              <w:t xml:space="preserve">Workshop on the use of interoperability standards for the management of geographical names “Linking Geographical Names, the Disaggregation and Localization of Sustainable Development Goals and the Semantic Web”</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$43,886</w:t>
            </w:r>
          </w:p>
        </w:tc>
        <w:tc>
          <w:tcPr>
            <w:tcW w:w="2400" w:type="dxa"/>
          </w:tcPr>
          <w:p>
            <w:r>
              <w:t xml:space="preserve">Argentina, Barbados, Brazil, Colombia, Costa Rica, Dominican Republic, Ecuador, Jamaica, Mexico, Panama, Uruguay</w:t>
            </w:r>
          </w:p>
        </w:tc>
        <w:tc>
          <w:tcPr>
            <w:tcW w:w="2400" w:type="dxa"/>
          </w:tcPr>
          <w:p>
            <w:r>
              <w:t xml:space="preserve"/>
            </w:r>
          </w:p>
        </w:tc>
        <w:tc>
          <w:tcPr>
            <w:tcW w:w="2400" w:type="dxa"/>
          </w:tcPr>
          <w:p>
            <w:r>
              <w:t xml:space="preserve">Proposal past due</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SB-001376.99.99.32</w:t>
            </w:r>
          </w:p>
        </w:tc>
        <w:tc>
          <w:tcPr>
            <w:tcW w:w="2400" w:type="dxa"/>
          </w:tcPr>
          <w:p>
            <w:r>
              <w:t xml:space="preserve">Regional Workshop on the Implementation of the Revised MSITS 2026</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$62,098</w:t>
            </w:r>
          </w:p>
        </w:tc>
        <w:tc>
          <w:tcPr>
            <w:tcW w:w="2400" w:type="dxa"/>
          </w:tcPr>
          <w:p>
            <w:r>
              <w:t xml:space="preserve">Argentina, Bolivia (Plurinational State of), Brazil, Chile, Colombia, Costa Rica, Cuba, Dominican Republic, Ecuador, El Salvador, Guatemala, Guyana, Honduras, Mexico, Nicaragua, Panama, Paraguay, Peru, Uruguay, Venezuela (Bolivarian Republic of)</w:t>
            </w:r>
          </w:p>
        </w:tc>
        <w:tc>
          <w:tcPr>
            <w:tcW w:w="2400" w:type="dxa"/>
          </w:tcPr>
          <w:p>
            <w:r>
              <w:t xml:space="preserve">Country standardized: 'Bolivia' -&gt; 'Bolivia (Plurinational State of)'. / Country standardized: 'Venezuela' -&gt; 'Venezuela (Bolivarian Republic of)'.</w:t>
            </w:r>
          </w:p>
        </w:tc>
        <w:tc>
          <w:tcPr>
            <w:tcW w:w="2400" w:type="dxa"/>
          </w:tcPr>
          <w:p>
            <w:r>
              <w:t xml:space="preserve">proposals.xlsx record 'SB-001376.99.99.32|row:49': 'f_cashGov' has non-numeric value 'N/A'. / proposals.xlsx record 'SB-001376.99.99.32|row:49': 'f_cashOther' has non-numeric value 'N/A'.</w:t>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capacities of Developing Countries to provide access to Information for sustainable Development through Open Government Data</w:t>
            </w:r>
          </w:p>
        </w:tc>
        <w:tc>
          <w:tcPr>
            <w:tcW w:w="2400" w:type="dxa"/>
          </w:tcPr>
          <w:p>
            <w:r>
              <w:t xml:space="preserve">2018</w:t>
            </w:r>
          </w:p>
        </w:tc>
        <w:tc>
          <w:tcPr>
            <w:tcW w:w="2400" w:type="dxa"/>
          </w:tcPr>
          <w:p>
            <w:r>
              <w:t xml:space="preserve">DPIDG</w:t>
            </w:r>
          </w:p>
        </w:tc>
        <w:tc>
          <w:tcPr>
            <w:tcW w:w="2400" w:type="dxa"/>
          </w:tcPr>
          <w:p>
            <w:r>
              <w:t xml:space="preserve">Bangladesh, Nepal, Panama, Uruguay</w:t>
            </w:r>
          </w:p>
        </w:tc>
        <w:tc>
          <w:tcPr>
            <w:tcW w:w="2400" w:type="dxa"/>
          </w:tcPr>
          <w:p>
            <w:r>
              <w:t xml:space="preserve">- Increase the number of participants in regional and international workshops and pursue new avenues of funding for additional participants from the target country, including contributions from local governments, private sector, and host countries. / - Translate the Guide on Lessons for OGD Action Planning for Sustainable Development into Spanish and regularly publicize its location on the UNDESA website. / - DPADM should recommend to the three Governments that have adopted the OGD National Action Plan to publicize this milestone to increase awareness among government and non-government stakeholders of its achievement and potential benefits.</w:t>
            </w:r>
          </w:p>
        </w:tc>
        <w:tc>
          <w:tcPr>
            <w:tcW w:w="2400" w:type="dxa"/>
          </w:tcPr>
          <w:p>
            <w:r>
              <w:t xml:space="preserve">- The selection of target countries should be based on in-depth feasibility study and assessment of demand, including analysis of needs, motivation, presence of a 'champion', political conditions, risks of political transitions, and early consultation with relevant regional organizations or networks. / - Future project design and planning should prioritize distributing benefits more widely within a region by leveraging the knowledge and capacity of key networks and more advanced countries. / - Greater planning and local consultation are needed to ensure participants have sufficient preparation and technical skills, relevant topics receive adequate time, and more country-specific case studies and local experts are included in workshops. / - More time should be allocated for group discussions and exercises, and documents and materials should be shared before the workshop.</w:t>
            </w:r>
          </w:p>
        </w:tc>
        <w:tc>
          <w:tcPr>
            <w:tcW w:w="2400" w:type="dxa"/>
          </w:tcPr>
          <w:p>
            <w:r>
              <w:t xml:space="preserve">https://unitednations.sharepoint.com/sites/DESA-CDPMO/Shared Documents/General/3. Finance Management/5 - DEVELOPMENT ACCOUNT/DA - DESA/02 PROJECTS - CURRENT/UNSD/OGD FINAL_Eval Report_ Klein21March_submitted to CDO on 21 March 2018.docx</w:t>
            </w:r>
          </w:p>
        </w:tc>
        <w:tc>
          <w:tcPr>
            <w:tcW w:w="2400" w:type="dxa"/>
          </w:tcPr>
          <w:p>
            <w:r>
              <w:t xml:space="preserve"/>
            </w:r>
          </w:p>
        </w:tc>
        <w:tc>
          <w:tcPr>
            <w:tcW w:w="2400" w:type="dxa"/>
          </w:tcPr>
          <w:p>
            <w:r>
              <w:t xml:space="preserve">evaluations.xlsx rows 171 (archived) and 38 (retained): Review conflicts: RecommendationsList differs between document copies; LessonsLearnedList differs between document copies. Country lists were not merged. / evaluations.xlsx rows 199 (archived) and 38 (retained): Review conflicts: RecommendationsList differs between document copies; LessonsLearnedList differs between document copies. Country lists were not merged. / evaluations.xlsx rows 252 (archived) and 38 (retained): Review conflicts: RecommendationsList differs between document copies; LessonsLearnedList differs between document copies. Country lists were not merged.</w:t>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Strengthening capacity of National Tax Administrations of Developing Countries in Latin America to reduce Tax Transaction Costs and thereby maximize tax revenues</w:t>
            </w:r>
          </w:p>
        </w:tc>
        <w:tc>
          <w:tcPr>
            <w:tcW w:w="2400" w:type="dxa"/>
          </w:tcPr>
          <w:p>
            <w:r>
              <w:t xml:space="preserve">2014</w:t>
            </w:r>
          </w:p>
        </w:tc>
        <w:tc>
          <w:tcPr>
            <w:tcW w:w="2400" w:type="dxa"/>
          </w:tcPr>
          <w:p>
            <w:r>
              <w:t xml:space="preserve">FSDO</w:t>
            </w:r>
          </w:p>
        </w:tc>
        <w:tc>
          <w:tcPr>
            <w:tcW w:w="2400" w:type="dxa"/>
          </w:tcPr>
          <w:p>
            <w:r>
              <w:t xml:space="preserve">Bolivia (Plurinational State of), Brazil, Chile, Colombia, Costa Rica, Dominican Republic, Ecuador, El Salvador, Guatemala, Honduras, Mexico, Nicaragua, Panama, Paraguay, Peru, Uruguay</w:t>
            </w:r>
          </w:p>
        </w:tc>
        <w:tc>
          <w:tcPr>
            <w:tcW w:w="2400" w:type="dxa"/>
          </w:tcPr>
          <w:p>
            <w:r>
              <w:t xml:space="preserve">- Ensure pilot countries have all necessary data available, including up-to-date and filtered taxpayer databases and appropriate sample weighting, before selection. / - Select countries that have not recently undergone major tax reforms to avoid distortion of TTCs due to adaptation processes. / - Include qualitative aspects such as psychological costs as part of non-economic costs in future TTCs studies to better understand results. / - Adapt survey implementation methods to the context (e.g., face-to-face vs. online) and include control questions to improve data quality. / - Encourage NTAs to seek synergies with other public institutions for information gathering and fieldwork support.</w:t>
            </w:r>
          </w:p>
        </w:tc>
        <w:tc>
          <w:tcPr>
            <w:tcW w:w="2400" w:type="dxa"/>
          </w:tcPr>
          <w:p>
            <w:r>
              <w:t xml:space="preserve">- Institutional support and commitment from NTAs are decisive factors for successful project implementation and sustainability. / - A thorough methodology that includes both administrative and compliance costs, considers the taxpayer cycle, and covers all relevant taxes is effective for TTC measurement. / - Allowing each country to choose its own survey method, considering size and cultural context, can improve implementation but may affect comparability. / - CIAT's coordination and reputation are critical for engaging countries and ensuring project sustainability. / - The methodology is generally easy to apply in interested countries, but successful implementation depends on institutional support and well-designed databases.</w:t>
            </w:r>
          </w:p>
        </w:tc>
        <w:tc>
          <w:tcPr>
            <w:tcW w:w="2400" w:type="dxa"/>
          </w:tcPr>
          <w:p>
            <w:r>
              <w:t xml:space="preserve">https://unitednations.sharepoint.com/sites/DESA-CDPMO/Shared Documents/General/3. Finance Management/5 - DEVELOPMENT ACCOUNT/DA - DESA/03 PROJECTS - CLOSED/FSDO/ROA181-6B/Evaluation/Evaluation Report- FINAL.pdf</w:t>
            </w:r>
          </w:p>
        </w:tc>
        <w:tc>
          <w:tcPr>
            <w:tcW w:w="2400" w:type="dxa"/>
          </w:tcPr>
          <w:p>
            <w:r>
              <w:t xml:space="preserve">Country standardized: 'Bolivia' -&gt; 'Bolivia (Plurinational State of)'.</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Supporting the establishment of a Latin American Parliamentary Knowledge Network</w:t>
            </w:r>
          </w:p>
        </w:tc>
        <w:tc>
          <w:tcPr>
            <w:tcW w:w="2400" w:type="dxa"/>
          </w:tcPr>
          <w:p>
            <w:r>
              <w:t xml:space="preserve">2014</w:t>
            </w:r>
          </w:p>
        </w:tc>
        <w:tc>
          <w:tcPr>
            <w:tcW w:w="2400" w:type="dxa"/>
          </w:tcPr>
          <w:p>
            <w:r>
              <w:t xml:space="preserve">DPIDG</w:t>
            </w:r>
          </w:p>
        </w:tc>
        <w:tc>
          <w:tcPr>
            <w:tcW w:w="2400" w:type="dxa"/>
          </w:tcPr>
          <w:p>
            <w:r>
              <w:t xml:space="preserve">Argentina, Barbados, Bolivia (Plurinational State of), Brazil, Chile, Colombia, Costa Rica, Ecuador, El Salvador, Guatemala, Guyana, Mexico, Nicaragua, Panama, Paraguay, Saint Vincent and the Grenadines, Suriname, Trinidad and Tobago, Uruguay</w:t>
            </w:r>
          </w:p>
        </w:tc>
        <w:tc>
          <w:tcPr>
            <w:tcW w:w="2400" w:type="dxa"/>
          </w:tcPr>
          <w:p>
            <w:r>
              <w:t xml:space="preserve">- Establish regional agreement and resources for hosting of the Secretariat to ensure that it is properly funded and resourced and that the commitment for this is shared amongst those parliaments that can afford it. / - Expand opportunities for take part in network activities and extend these beyond those parliaments who have formally signed up to RIPALC. / - Ensure appropriate ongoing resources are committed to the digital portal as this is a critical component of the network and vital to ensuring the ongoing operation and relevance of it. / - Participants right across the region need to be encouraged to take ownership of the communities of interest and to see RIPALC as a place to learn, share and network. Ensuring the grass-roots value and use of the network will be the single most significant factor in the networks long term sustainability. / - RIPALC needs to be flexible and responsive to the needs of the users and allow them to create new communities of interest and for the model to develop to suit their requirements, it must be driven by demand, not controlled from the top down. / - It is important that RIPALC maintains the ability to run regional workshops and meetings so that parliamentary staff can network and collaborate. Digital networks are important and they help to sustain relationships and act as timely conduits for knowledge exchange, but they do not replace face to face meetings as a way of building social capital. / - Inter-parliamentary collaboration remains a priority and was seen by participants as a key pre-requisite for democratic strengthening in the region and RIPALC is an ideal vehicle to facilitate and support this.</w:t>
            </w:r>
          </w:p>
        </w:tc>
        <w:tc>
          <w:tcPr>
            <w:tcW w:w="2400" w:type="dxa"/>
          </w:tcPr>
          <w:p>
            <w:r>
              <w:t xml:space="preserve">- The RIPALC network was a timely and appropriate development for the region and has been well received by the participants in it. / - The clear weakness in the project was to rigidly implement a governance model based on the long-established ECPRD structure. This has proved restrictive and inflexible in the case of RIPALC and it has inhibited growth. A more organic and less rigid structure would have been more appropriate. / - Projects such as this need some level of formality and process if they are to be seen as reliable and trustworthy by parliaments, but the network must develop in line with the culture and expectations of the region it covers and duplicating a model from elsewhere can limit take-up. / - The network has become a force for active parliamentary development in the region, a timely catalyst to build on a growing desire for strong parliaments and recognition that it is important for parliaments to collaborate and share ideas, knowledge and experience. / - The network has successfully delivered face-to-face meetings and workshops, which are vital for building and sustaining relationships between parliaments, and has acted as a ‘role model’ for inter-parliamentary collaboration in a region where this is a relatively new and unknown concept. / - The web portal provides a fast and easy way for parliamentary staff to stay in touch and to discuss, advise and be advised about good practice and emergent issues in their field, which is particularly important for smaller legislatures. / - Though the uptake has been slower than expected, this is seen as a result of the structural limitations of RIPALC. In the medium to long term, the Secretariat needs to ensure that the portal is able to meet the needs and demands of its stakeholders and that it is promoted to all parliaments in the region, regardless of their formal membership of RIPALC.</w:t>
            </w:r>
          </w:p>
        </w:tc>
        <w:tc>
          <w:tcPr>
            <w:tcW w:w="2400" w:type="dxa"/>
          </w:tcPr>
          <w:p>
            <w:r>
              <w:t xml:space="preserve">https://unitednations.sharepoint.com/sites/DESA-CDPMO/Shared Documents/General/3. Finance Management/5 - DEVELOPMENT ACCOUNT/DA - DESA/Evaluation reports/7th tranche/ROA 163 (DPADM)/RIPALC.Evaluation.FinalReport-1.0.docx</w:t>
            </w:r>
          </w:p>
        </w:tc>
        <w:tc>
          <w:tcPr>
            <w:tcW w:w="2400" w:type="dxa"/>
          </w:tcPr>
          <w:p>
            <w:r>
              <w:t xml:space="preserve">Country standardized: 'Bolivia' -&gt; 'Bolivia (Plurinational State of)'. / Country standardized: 'St Vincent and the Grenadines' -&gt; 'Saint Vincent and the Grenadines'.</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'SB-001375.99.31|row:4': '#Conventions' has non-numeric value 'no'.</w:t>
            </w:r>
          </w:p>
        </w:tc>
      </w:tr>
      <w:tr>
        <w:tc>
          <w:tcPr>
            <w:tcW w:w="2400" w:type="dxa"/>
          </w:tcPr>
          <w:p>
            <w:r>
              <w:t xml:space="preserve">2</w:t>
            </w:r>
          </w:p>
        </w:tc>
        <w:tc>
          <w:tcPr>
            <w:tcW w:w="2400" w:type="dxa"/>
          </w:tcPr>
          <w:p>
            <w:r>
              <w:t xml:space="preserve">activity.xlsx record 'SB-001375.99.31|row:4': '#Laws' has non-numeric value 'yes'.</w:t>
            </w:r>
          </w:p>
        </w:tc>
      </w:tr>
      <w:tr>
        <w:tc>
          <w:tcPr>
            <w:tcW w:w="2400" w:type="dxa"/>
          </w:tcPr>
          <w:p>
            <w:r>
              <w:t xml:space="preserve">3</w:t>
            </w:r>
          </w:p>
        </w:tc>
        <w:tc>
          <w:tcPr>
            <w:tcW w:w="2400" w:type="dxa"/>
          </w:tcPr>
          <w:p>
            <w:r>
              <w:t xml:space="preserve">activity.xlsx record 'SB-001375.99.31|row:4': '#National Plans' has non-numeric value 'yes'.</w:t>
            </w:r>
          </w:p>
        </w:tc>
      </w:tr>
      <w:tr>
        <w:tc>
          <w:tcPr>
            <w:tcW w:w="2400" w:type="dxa"/>
          </w:tcPr>
          <w:p>
            <w:r>
              <w:t xml:space="preserve">4</w:t>
            </w:r>
          </w:p>
        </w:tc>
        <w:tc>
          <w:tcPr>
            <w:tcW w:w="2400" w:type="dxa"/>
          </w:tcPr>
          <w:p>
            <w:r>
              <w:t xml:space="preserve">activity.xlsx record 'SB-001375.99.31|row:4': '#Policies' has non-numeric value 'yes'.</w:t>
            </w:r>
          </w:p>
        </w:tc>
      </w:tr>
      <w:tr>
        <w:tc>
          <w:tcPr>
            <w:tcW w:w="2400" w:type="dxa"/>
          </w:tcPr>
          <w:p>
            <w:r>
              <w:t xml:space="preserve">5</w:t>
            </w:r>
          </w:p>
        </w:tc>
        <w:tc>
          <w:tcPr>
            <w:tcW w:w="2400" w:type="dxa"/>
          </w:tcPr>
          <w:p>
            <w:r>
              <w:t xml:space="preserve">activity.xlsx record 'SB-001375.99.31|row:4': '#Reporting Obligations' has non-numeric value 'yes'.</w:t>
            </w:r>
          </w:p>
        </w:tc>
      </w:tr>
      <w:tr>
        <w:tc>
          <w:tcPr>
            <w:tcW w:w="2400" w:type="dxa"/>
          </w:tcPr>
          <w:p>
            <w:r>
              <w:t xml:space="preserve">6</w:t>
            </w:r>
          </w:p>
        </w:tc>
        <w:tc>
          <w:tcPr>
            <w:tcW w:w="2400" w:type="dxa"/>
          </w:tcPr>
          <w:p>
            <w:r>
              <w:t xml:space="preserve">activity.xlsx record 'SB-001375.99.31|row:4': '#Strategies' has non-numeric value 'yes'.</w:t>
            </w:r>
          </w:p>
        </w:tc>
      </w:tr>
      <w:tr>
        <w:tc>
          <w:tcPr>
            <w:tcW w:w="2400" w:type="dxa"/>
          </w:tcPr>
          <w:p>
            <w:r>
              <w:t xml:space="preserve">7</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8</w:t>
            </w:r>
          </w:p>
        </w:tc>
        <w:tc>
          <w:tcPr>
            <w:tcW w:w="2400" w:type="dxa"/>
          </w:tcPr>
          <w:p>
            <w:r>
              <w:t xml:space="preserve">evaluations.xlsx record 'row:206': Country text 'French Guiana' could not be matched; no country assignment was inferred.</w:t>
            </w:r>
          </w:p>
        </w:tc>
      </w:tr>
      <w:tr>
        <w:tc>
          <w:tcPr>
            <w:tcW w:w="2400" w:type="dxa"/>
          </w:tcPr>
          <w:p>
            <w:r>
              <w:t xml:space="preserve">9</w:t>
            </w:r>
          </w:p>
        </w:tc>
        <w:tc>
          <w:tcPr>
            <w:tcW w:w="2400" w:type="dxa"/>
          </w:tcPr>
          <w:p>
            <w:r>
              <w:t xml:space="preserve">evaluations.xlsx rows 171 (archived) and 38 (retained): Review conflicts: RecommendationsList differs between document copies; LessonsLearnedList differs between document copies. Country lists were not merged.</w:t>
            </w:r>
          </w:p>
        </w:tc>
      </w:tr>
      <w:tr>
        <w:tc>
          <w:tcPr>
            <w:tcW w:w="2400" w:type="dxa"/>
          </w:tcPr>
          <w:p>
            <w:r>
              <w:t xml:space="preserve">10</w:t>
            </w:r>
          </w:p>
        </w:tc>
        <w:tc>
          <w:tcPr>
            <w:tcW w:w="2400" w:type="dxa"/>
          </w:tcPr>
          <w:p>
            <w:r>
              <w:t xml:space="preserve">evaluations.xlsx rows 199 (archived) and 38 (retained): Review conflicts: RecommendationsList differs between document copies; LessonsLearnedList differs between document copies. Country lists were not merged.</w:t>
            </w:r>
          </w:p>
        </w:tc>
      </w:tr>
      <w:tr>
        <w:tc>
          <w:tcPr>
            <w:tcW w:w="2400" w:type="dxa"/>
          </w:tcPr>
          <w:p>
            <w:r>
              <w:t xml:space="preserve">11</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12</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13</w:t>
            </w:r>
          </w:p>
        </w:tc>
        <w:tc>
          <w:tcPr>
            <w:tcW w:w="2400" w:type="dxa"/>
          </w:tcPr>
          <w:p>
            <w:r>
              <w:t xml:space="preserve">evaluations.xlsx rows 252 (archived) and 38 (retained): Review conflicts: RecommendationsList differs between document copies; LessonsLearnedList differs between document copies. Country lists were not merged.</w:t>
            </w:r>
          </w:p>
        </w:tc>
      </w:tr>
      <w:tr>
        <w:tc>
          <w:tcPr>
            <w:tcW w:w="2400" w:type="dxa"/>
          </w:tcPr>
          <w:p>
            <w:r>
              <w:t xml:space="preserve">14</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15</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16</w:t>
            </w:r>
          </w:p>
        </w:tc>
        <w:tc>
          <w:tcPr>
            <w:tcW w:w="2400" w:type="dxa"/>
          </w:tcPr>
          <w:p>
            <w:r>
              <w:t xml:space="preserve">GeoData_with_ISO3166_alpha3.xlsx: last modified 2026-05-22, more than 30 days before ingestion (134 days).</w:t>
            </w:r>
          </w:p>
        </w:tc>
      </w:tr>
      <w:tr>
        <w:tc>
          <w:tcPr>
            <w:tcW w:w="2400" w:type="dxa"/>
          </w:tcPr>
          <w:p>
            <w:r>
              <w:t xml:space="preserve">17</w:t>
            </w:r>
          </w:p>
        </w:tc>
        <w:tc>
          <w:tcPr>
            <w:tcW w:w="2400" w:type="dxa"/>
          </w:tcPr>
          <w:p>
            <w:r>
              <w:t xml:space="preserve">proposals.xlsx record 'SB-001376.99.99.32|row:49': 'f_cashGov' has non-numeric value 'N/A'.</w:t>
            </w:r>
          </w:p>
        </w:tc>
      </w:tr>
      <w:tr>
        <w:tc>
          <w:tcPr>
            <w:tcW w:w="2400" w:type="dxa"/>
          </w:tcPr>
          <w:p>
            <w:r>
              <w:t xml:space="preserve">18</w:t>
            </w:r>
          </w:p>
        </w:tc>
        <w:tc>
          <w:tcPr>
            <w:tcW w:w="2400" w:type="dxa"/>
          </w:tcPr>
          <w:p>
            <w:r>
              <w:t xml:space="preserve">proposals.xlsx record 'SB-001376.99.99.32|row:49': 'f_cashOther' has non-numeric value 'N/A'.</w:t>
            </w:r>
          </w:p>
        </w:tc>
      </w:tr>
      <w:tr>
        <w:tc>
          <w:tcPr>
            <w:tcW w:w="2400" w:type="dxa"/>
          </w:tcPr>
          <w:p>
            <w:r>
              <w:t xml:space="preserve">19</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20</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21</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22</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23</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24</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25</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26</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27</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28</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29</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30</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31</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32</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33</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35</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36</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37</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38</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39</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40</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41</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42</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43</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44</w:t>
            </w:r>
          </w:p>
        </w:tc>
        <w:tc>
          <w:tcPr>
            <w:tcW w:w="2400" w:type="dxa"/>
          </w:tcPr>
          <w:p>
            <w:r>
              <w:t xml:space="preserve">Resolved - Action: duplicate evaluation at evaluations.xlsx row 306 removed; retained row 297 ().</w:t>
            </w:r>
          </w:p>
        </w:tc>
      </w:tr>
      <w:tr>
        <w:tc>
          <w:tcPr>
            <w:tcW w:w="2400" w:type="dxa"/>
          </w:tcPr>
          <w:p>
            <w:r>
              <w:t xml:space="preserve">45</w:t>
            </w:r>
          </w:p>
        </w:tc>
        <w:tc>
          <w:tcPr>
            <w:tcW w:w="2400" w:type="dxa"/>
          </w:tcPr>
          <w:p>
            <w:r>
              <w:t xml:space="preserve">Resolved - Action: duplicate evaluation at evaluations.xlsx row 332 removed; retained row 302 ().</w:t>
            </w:r>
          </w:p>
        </w:tc>
      </w:tr>
      <w:tr>
        <w:tc>
          <w:tcPr>
            <w:tcW w:w="2400" w:type="dxa"/>
          </w:tcPr>
          <w:p>
            <w:r>
              <w:t xml:space="preserve">46</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47</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48</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49</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50</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51</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52</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53</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54</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55</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56</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57</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58</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59</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60</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61</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62</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63</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64</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65</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