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A6132" w14:textId="77777777" w:rsidR="003B2DB6" w:rsidRDefault="003B2DB6" w:rsidP="003B2DB6">
      <w:pPr>
        <w:suppressLineNumbers/>
        <w:spacing w:after="0" w:line="360" w:lineRule="auto"/>
        <w:jc w:val="center"/>
        <w:rPr>
          <w:b/>
          <w:sz w:val="36"/>
          <w:szCs w:val="24"/>
        </w:rPr>
      </w:pPr>
      <w:r w:rsidRPr="003B2DB6">
        <w:rPr>
          <w:b/>
          <w:sz w:val="36"/>
          <w:szCs w:val="24"/>
        </w:rPr>
        <w:t xml:space="preserve">Altered early resting R-locked EEG field expression in bipolar depression: A comparison of patients, unaffected siblings, and healthy controls </w:t>
      </w:r>
    </w:p>
    <w:p w14:paraId="35EF7C34" w14:textId="77777777" w:rsidR="00FD02B8" w:rsidRPr="007007ED" w:rsidRDefault="00FD02B8" w:rsidP="003B2DB6">
      <w:pPr>
        <w:suppressLineNumbers/>
        <w:spacing w:after="0" w:line="360" w:lineRule="auto"/>
        <w:jc w:val="center"/>
        <w:rPr>
          <w:rFonts w:cs="Times New Roman"/>
          <w:sz w:val="24"/>
          <w:szCs w:val="24"/>
          <w:vertAlign w:val="superscript"/>
        </w:rPr>
      </w:pPr>
      <w:r w:rsidRPr="007007ED">
        <w:rPr>
          <w:rFonts w:cs="Times New Roman"/>
          <w:sz w:val="24"/>
          <w:szCs w:val="24"/>
        </w:rPr>
        <w:t>Ronen Sosnik</w:t>
      </w:r>
      <w:r w:rsidRPr="00820DCE">
        <w:rPr>
          <w:rFonts w:cs="Times New Roman"/>
          <w:sz w:val="12"/>
          <w:szCs w:val="12"/>
        </w:rPr>
        <w:t xml:space="preserve"> </w:t>
      </w:r>
      <w:r>
        <w:rPr>
          <w:rFonts w:cs="Times New Roman"/>
          <w:sz w:val="24"/>
          <w:szCs w:val="24"/>
          <w:vertAlign w:val="superscript"/>
        </w:rPr>
        <w:t>a</w:t>
      </w:r>
      <w:r>
        <w:rPr>
          <w:rFonts w:cs="Times New Roman"/>
          <w:sz w:val="24"/>
          <w:szCs w:val="24"/>
        </w:rPr>
        <w:t>,</w:t>
      </w:r>
      <w:r w:rsidRPr="007007ED">
        <w:rPr>
          <w:rFonts w:cs="Times New Roman"/>
          <w:sz w:val="24"/>
          <w:szCs w:val="24"/>
        </w:rPr>
        <w:t xml:space="preserve"> </w:t>
      </w:r>
      <w:bookmarkStart w:id="0" w:name="_Hlk211842295"/>
      <w:r>
        <w:rPr>
          <w:rFonts w:cs="Times New Roman"/>
          <w:sz w:val="24"/>
          <w:szCs w:val="24"/>
        </w:rPr>
        <w:t>Arnaud Pouchon</w:t>
      </w:r>
      <w:bookmarkEnd w:id="0"/>
      <w:r>
        <w:rPr>
          <w:rFonts w:cs="Times New Roman"/>
          <w:sz w:val="24"/>
          <w:szCs w:val="24"/>
          <w:vertAlign w:val="superscript"/>
        </w:rPr>
        <w:t>b</w:t>
      </w:r>
      <w:r>
        <w:rPr>
          <w:rFonts w:cs="Times New Roman"/>
          <w:sz w:val="24"/>
          <w:szCs w:val="24"/>
        </w:rPr>
        <w:t>,</w:t>
      </w:r>
      <w:r w:rsidRPr="00820DCE">
        <w:rPr>
          <w:rFonts w:cs="Times New Roman"/>
          <w:sz w:val="12"/>
          <w:szCs w:val="12"/>
        </w:rPr>
        <w:t xml:space="preserve"> </w:t>
      </w:r>
      <w:r w:rsidRPr="007007ED">
        <w:rPr>
          <w:rFonts w:cs="Times New Roman"/>
          <w:sz w:val="24"/>
          <w:szCs w:val="24"/>
        </w:rPr>
        <w:t>Antoine Bertrand</w:t>
      </w:r>
      <w:r w:rsidRPr="00820DCE">
        <w:rPr>
          <w:rFonts w:cs="Times New Roman"/>
          <w:sz w:val="12"/>
          <w:szCs w:val="12"/>
        </w:rPr>
        <w:t xml:space="preserve"> </w:t>
      </w:r>
      <w:r>
        <w:rPr>
          <w:rFonts w:cs="Times New Roman"/>
          <w:sz w:val="24"/>
          <w:szCs w:val="24"/>
          <w:vertAlign w:val="superscript"/>
        </w:rPr>
        <w:t>b</w:t>
      </w:r>
      <w:r>
        <w:rPr>
          <w:rFonts w:cs="Times New Roman"/>
          <w:sz w:val="24"/>
          <w:szCs w:val="24"/>
        </w:rPr>
        <w:t>,</w:t>
      </w:r>
      <w:r w:rsidRPr="007007ED">
        <w:rPr>
          <w:rFonts w:cs="Times New Roman"/>
          <w:sz w:val="24"/>
          <w:szCs w:val="24"/>
        </w:rPr>
        <w:t xml:space="preserve"> Muli Linder</w:t>
      </w:r>
      <w:r w:rsidRPr="00820DCE">
        <w:rPr>
          <w:rFonts w:cs="Times New Roman"/>
          <w:sz w:val="12"/>
          <w:szCs w:val="12"/>
        </w:rPr>
        <w:t xml:space="preserve"> </w:t>
      </w:r>
      <w:r>
        <w:rPr>
          <w:rFonts w:cs="Times New Roman"/>
          <w:sz w:val="24"/>
          <w:szCs w:val="24"/>
          <w:vertAlign w:val="superscript"/>
        </w:rPr>
        <w:t>c</w:t>
      </w:r>
      <w:r w:rsidRPr="007007ED">
        <w:rPr>
          <w:rFonts w:cs="Times New Roman"/>
          <w:sz w:val="24"/>
          <w:szCs w:val="24"/>
          <w:vertAlign w:val="superscript"/>
        </w:rPr>
        <w:t xml:space="preserve">, </w:t>
      </w:r>
      <w:r>
        <w:rPr>
          <w:rFonts w:cs="Times New Roman"/>
          <w:sz w:val="24"/>
          <w:szCs w:val="24"/>
          <w:vertAlign w:val="superscript"/>
        </w:rPr>
        <w:t>d</w:t>
      </w:r>
      <w:r>
        <w:rPr>
          <w:rFonts w:cs="Times New Roman"/>
          <w:sz w:val="24"/>
          <w:szCs w:val="24"/>
        </w:rPr>
        <w:t>,</w:t>
      </w:r>
      <w:r w:rsidRPr="007007ED">
        <w:rPr>
          <w:rFonts w:cs="Times New Roman"/>
          <w:sz w:val="24"/>
          <w:szCs w:val="24"/>
        </w:rPr>
        <w:t xml:space="preserve"> Mircea Polosan</w:t>
      </w:r>
      <w:r w:rsidRPr="001168FD">
        <w:rPr>
          <w:rFonts w:cs="Times New Roman"/>
          <w:sz w:val="12"/>
          <w:szCs w:val="12"/>
        </w:rPr>
        <w:t xml:space="preserve"> </w:t>
      </w:r>
      <w:r>
        <w:rPr>
          <w:rFonts w:cs="Times New Roman"/>
          <w:sz w:val="24"/>
          <w:szCs w:val="24"/>
          <w:vertAlign w:val="superscript"/>
        </w:rPr>
        <w:t>b</w:t>
      </w:r>
      <w:r w:rsidRPr="007007ED">
        <w:rPr>
          <w:rFonts w:cs="Times New Roman"/>
          <w:sz w:val="24"/>
          <w:szCs w:val="24"/>
          <w:vertAlign w:val="superscript"/>
        </w:rPr>
        <w:t xml:space="preserve">, </w:t>
      </w:r>
      <w:r>
        <w:rPr>
          <w:rFonts w:cs="Times New Roman"/>
          <w:sz w:val="24"/>
          <w:szCs w:val="24"/>
          <w:vertAlign w:val="superscript"/>
        </w:rPr>
        <w:t>e</w:t>
      </w:r>
    </w:p>
    <w:p w14:paraId="3F7CA3D8" w14:textId="77777777" w:rsidR="00FD02B8" w:rsidRDefault="00FD02B8" w:rsidP="00D23C0E">
      <w:pPr>
        <w:spacing w:after="0" w:line="360" w:lineRule="auto"/>
        <w:jc w:val="both"/>
        <w:rPr>
          <w:rFonts w:cs="Times New Roman"/>
          <w:b/>
          <w:sz w:val="24"/>
          <w:szCs w:val="24"/>
        </w:rPr>
      </w:pPr>
    </w:p>
    <w:p w14:paraId="2BA65DDA" w14:textId="77777777" w:rsidR="008677DA" w:rsidRDefault="00FD02B8" w:rsidP="001C166F">
      <w:pPr>
        <w:spacing w:after="0" w:line="360" w:lineRule="auto"/>
        <w:jc w:val="both"/>
      </w:pPr>
      <w:r w:rsidRPr="007007ED">
        <w:rPr>
          <w:rFonts w:cs="Times New Roman"/>
          <w:b/>
          <w:sz w:val="24"/>
          <w:szCs w:val="24"/>
        </w:rPr>
        <w:t>Running title:</w:t>
      </w:r>
      <w:r w:rsidRPr="007007ED">
        <w:rPr>
          <w:rFonts w:cs="Times New Roman"/>
          <w:sz w:val="24"/>
          <w:szCs w:val="24"/>
        </w:rPr>
        <w:t xml:space="preserve"> </w:t>
      </w:r>
      <w:r w:rsidR="001C166F" w:rsidRPr="00CF7609">
        <w:rPr>
          <w:sz w:val="24"/>
          <w:szCs w:val="24"/>
        </w:rPr>
        <w:t>Early R-locked EEG field in bipolar depression</w:t>
      </w:r>
    </w:p>
    <w:p w14:paraId="286B3981" w14:textId="77777777" w:rsidR="00FD02B8" w:rsidRDefault="00FD02B8" w:rsidP="00FD02B8">
      <w:pPr>
        <w:spacing w:after="0" w:line="360" w:lineRule="auto"/>
      </w:pPr>
    </w:p>
    <w:p w14:paraId="3489E461" w14:textId="77777777" w:rsidR="00FD02B8" w:rsidRPr="0010164B" w:rsidRDefault="00FD02B8" w:rsidP="001A60E5">
      <w:pPr>
        <w:suppressLineNumbers/>
        <w:spacing w:after="0" w:line="360" w:lineRule="auto"/>
        <w:jc w:val="both"/>
        <w:rPr>
          <w:rFonts w:cs="Times New Roman"/>
          <w:b/>
          <w:sz w:val="24"/>
          <w:szCs w:val="32"/>
        </w:rPr>
      </w:pPr>
      <w:r w:rsidRPr="00A8155E">
        <w:rPr>
          <w:rFonts w:cs="Times New Roman"/>
          <w:b/>
          <w:sz w:val="24"/>
          <w:szCs w:val="32"/>
        </w:rPr>
        <w:t>Author affiliations:</w:t>
      </w:r>
    </w:p>
    <w:p w14:paraId="290B20E6" w14:textId="77777777" w:rsidR="00FD02B8" w:rsidRPr="007007ED" w:rsidRDefault="00FD02B8" w:rsidP="001A60E5">
      <w:pPr>
        <w:suppressLineNumbers/>
        <w:spacing w:after="0" w:line="360" w:lineRule="auto"/>
        <w:ind w:left="181" w:hanging="181"/>
        <w:contextualSpacing/>
        <w:jc w:val="both"/>
        <w:rPr>
          <w:rFonts w:cs="Times New Roman"/>
          <w:sz w:val="24"/>
          <w:szCs w:val="24"/>
        </w:rPr>
      </w:pPr>
      <w:r w:rsidRPr="00820DCE">
        <w:rPr>
          <w:rFonts w:cs="Times New Roman"/>
          <w:sz w:val="28"/>
          <w:szCs w:val="28"/>
          <w:vertAlign w:val="superscript"/>
        </w:rPr>
        <w:t>a</w:t>
      </w:r>
      <w:r w:rsidRPr="007007ED">
        <w:rPr>
          <w:rFonts w:cs="Times New Roman"/>
          <w:sz w:val="24"/>
          <w:szCs w:val="24"/>
        </w:rPr>
        <w:t xml:space="preserve"> Faculty of Electrical and Electronics Engineering, Holon Institute of Technology (HIT), Holon, Israel</w:t>
      </w:r>
    </w:p>
    <w:p w14:paraId="2AF9F238" w14:textId="77777777" w:rsidR="00FD02B8" w:rsidRPr="007007ED" w:rsidRDefault="00FD02B8" w:rsidP="001A60E5">
      <w:pPr>
        <w:suppressLineNumbers/>
        <w:spacing w:after="0" w:line="360" w:lineRule="auto"/>
        <w:contextualSpacing/>
        <w:jc w:val="both"/>
        <w:rPr>
          <w:rFonts w:cs="Times New Roman"/>
          <w:sz w:val="24"/>
          <w:szCs w:val="24"/>
          <w:lang w:val="fr-FR"/>
        </w:rPr>
      </w:pPr>
      <w:r w:rsidRPr="00820DCE">
        <w:rPr>
          <w:rFonts w:cs="Times New Roman"/>
          <w:sz w:val="28"/>
          <w:szCs w:val="28"/>
          <w:vertAlign w:val="superscript"/>
          <w:lang w:val="fr-FR"/>
        </w:rPr>
        <w:t>b</w:t>
      </w:r>
      <w:r w:rsidRPr="007007ED">
        <w:rPr>
          <w:rFonts w:cs="Times New Roman"/>
          <w:sz w:val="24"/>
          <w:szCs w:val="24"/>
          <w:lang w:val="fr-FR"/>
        </w:rPr>
        <w:t xml:space="preserve"> </w:t>
      </w:r>
      <w:bookmarkStart w:id="1" w:name="_Hlk211842307"/>
      <w:r w:rsidRPr="007007ED">
        <w:rPr>
          <w:rFonts w:cs="Times New Roman"/>
          <w:sz w:val="24"/>
          <w:szCs w:val="24"/>
          <w:lang w:val="fr-FR"/>
        </w:rPr>
        <w:t>Pôle de Psychiatrie et Neurologie, CHU de Grenoble – Hôpital Nord, Grenoble, France</w:t>
      </w:r>
      <w:bookmarkEnd w:id="1"/>
    </w:p>
    <w:p w14:paraId="51CE1FF1" w14:textId="77777777" w:rsidR="00FD02B8" w:rsidRPr="007007ED" w:rsidRDefault="00FD02B8" w:rsidP="001A60E5">
      <w:pPr>
        <w:suppressLineNumbers/>
        <w:spacing w:after="0" w:line="360" w:lineRule="auto"/>
        <w:contextualSpacing/>
        <w:jc w:val="both"/>
        <w:rPr>
          <w:rFonts w:cs="Times New Roman"/>
          <w:sz w:val="24"/>
          <w:szCs w:val="24"/>
        </w:rPr>
      </w:pPr>
      <w:r w:rsidRPr="00820DCE">
        <w:rPr>
          <w:rFonts w:cs="Times New Roman"/>
          <w:sz w:val="28"/>
          <w:szCs w:val="28"/>
          <w:vertAlign w:val="superscript"/>
        </w:rPr>
        <w:t>c</w:t>
      </w:r>
      <w:r w:rsidRPr="007007ED">
        <w:rPr>
          <w:rFonts w:cs="Times New Roman"/>
          <w:sz w:val="24"/>
          <w:szCs w:val="24"/>
        </w:rPr>
        <w:t xml:space="preserve"> Sha’ar</w:t>
      </w:r>
      <w:r w:rsidRPr="007007ED">
        <w:rPr>
          <w:rFonts w:cs="Times New Roman"/>
          <w:sz w:val="24"/>
          <w:szCs w:val="24"/>
          <w:vertAlign w:val="superscript"/>
        </w:rPr>
        <w:t xml:space="preserve"> </w:t>
      </w:r>
      <w:r w:rsidRPr="007007ED">
        <w:rPr>
          <w:rFonts w:cs="Times New Roman"/>
          <w:sz w:val="24"/>
          <w:szCs w:val="24"/>
        </w:rPr>
        <w:t>Menashe Mental Health Center, Sha’ar</w:t>
      </w:r>
      <w:r w:rsidRPr="007007ED">
        <w:rPr>
          <w:rFonts w:cs="Times New Roman"/>
          <w:sz w:val="24"/>
          <w:szCs w:val="24"/>
          <w:vertAlign w:val="superscript"/>
        </w:rPr>
        <w:t xml:space="preserve"> </w:t>
      </w:r>
      <w:r w:rsidRPr="007007ED">
        <w:rPr>
          <w:rFonts w:cs="Times New Roman"/>
          <w:sz w:val="24"/>
          <w:szCs w:val="24"/>
        </w:rPr>
        <w:t xml:space="preserve">Menashe, Israel        </w:t>
      </w:r>
    </w:p>
    <w:p w14:paraId="6BAC32F8" w14:textId="77777777" w:rsidR="00FD02B8" w:rsidRPr="007007ED" w:rsidRDefault="00FD02B8" w:rsidP="001A60E5">
      <w:pPr>
        <w:suppressLineNumbers/>
        <w:spacing w:after="0" w:line="360" w:lineRule="auto"/>
        <w:contextualSpacing/>
        <w:jc w:val="both"/>
        <w:rPr>
          <w:rFonts w:cs="Times New Roman"/>
          <w:sz w:val="24"/>
          <w:szCs w:val="24"/>
        </w:rPr>
      </w:pPr>
      <w:r w:rsidRPr="00820DCE">
        <w:rPr>
          <w:rFonts w:cs="Times New Roman"/>
          <w:sz w:val="28"/>
          <w:szCs w:val="28"/>
          <w:vertAlign w:val="superscript"/>
        </w:rPr>
        <w:t>d</w:t>
      </w:r>
      <w:r w:rsidRPr="007007ED">
        <w:rPr>
          <w:rFonts w:cs="Times New Roman"/>
          <w:sz w:val="24"/>
          <w:szCs w:val="24"/>
        </w:rPr>
        <w:t xml:space="preserve"> The Ruth and Bruce Rappaport</w:t>
      </w:r>
      <w:r w:rsidRPr="007007ED">
        <w:rPr>
          <w:sz w:val="24"/>
          <w:szCs w:val="24"/>
        </w:rPr>
        <w:t xml:space="preserve"> </w:t>
      </w:r>
      <w:r w:rsidRPr="007007ED">
        <w:rPr>
          <w:rFonts w:cs="Times New Roman"/>
          <w:sz w:val="24"/>
          <w:szCs w:val="24"/>
        </w:rPr>
        <w:t>Faculty of Medicine, Technion, Haifa, Israel</w:t>
      </w:r>
    </w:p>
    <w:p w14:paraId="482C4CCE" w14:textId="77777777" w:rsidR="00FD02B8" w:rsidRDefault="00FD02B8" w:rsidP="001A60E5">
      <w:pPr>
        <w:suppressLineNumbers/>
        <w:spacing w:after="0" w:line="360" w:lineRule="auto"/>
        <w:ind w:left="142" w:hanging="142"/>
        <w:jc w:val="both"/>
        <w:rPr>
          <w:rFonts w:cs="Times New Roman"/>
          <w:sz w:val="24"/>
          <w:szCs w:val="24"/>
          <w:lang w:val="fr-FR"/>
        </w:rPr>
      </w:pPr>
      <w:r w:rsidRPr="00820DCE">
        <w:rPr>
          <w:rFonts w:cs="Times New Roman"/>
          <w:sz w:val="28"/>
          <w:szCs w:val="28"/>
          <w:vertAlign w:val="superscript"/>
          <w:lang w:val="fr-FR"/>
        </w:rPr>
        <w:t>e</w:t>
      </w:r>
      <w:r w:rsidRPr="007007ED">
        <w:rPr>
          <w:rFonts w:cs="Times New Roman"/>
          <w:sz w:val="24"/>
          <w:szCs w:val="24"/>
          <w:lang w:val="fr-FR"/>
        </w:rPr>
        <w:t xml:space="preserve"> </w:t>
      </w:r>
      <w:r w:rsidRPr="00D67FA2">
        <w:rPr>
          <w:rFonts w:cs="Times New Roman"/>
          <w:sz w:val="24"/>
          <w:szCs w:val="24"/>
          <w:lang w:val="fr-FR"/>
        </w:rPr>
        <w:t>Univ. Grenoble Alpes; Inserm U1216, Grenoble Institut de</w:t>
      </w:r>
      <w:r>
        <w:rPr>
          <w:rFonts w:cs="Times New Roman"/>
          <w:sz w:val="24"/>
          <w:szCs w:val="24"/>
          <w:lang w:val="fr-FR"/>
        </w:rPr>
        <w:t>s</w:t>
      </w:r>
      <w:r w:rsidRPr="00D67FA2">
        <w:rPr>
          <w:rFonts w:cs="Times New Roman"/>
          <w:sz w:val="24"/>
          <w:szCs w:val="24"/>
          <w:lang w:val="fr-FR"/>
        </w:rPr>
        <w:t xml:space="preserve"> Neurosciences, CHU de Grenoble, F-38000 Grenoble, </w:t>
      </w:r>
      <w:r>
        <w:rPr>
          <w:rFonts w:cs="Times New Roman"/>
          <w:sz w:val="24"/>
          <w:szCs w:val="24"/>
          <w:lang w:val="fr-FR"/>
        </w:rPr>
        <w:t>France</w:t>
      </w:r>
    </w:p>
    <w:p w14:paraId="668B4649" w14:textId="77777777" w:rsidR="008677DA" w:rsidRPr="00FD02B8" w:rsidRDefault="008677DA" w:rsidP="00FD02B8">
      <w:pPr>
        <w:spacing w:after="0" w:line="360" w:lineRule="auto"/>
        <w:rPr>
          <w:lang w:val="fr-FR"/>
        </w:rPr>
      </w:pPr>
    </w:p>
    <w:p w14:paraId="08145B5B" w14:textId="77777777" w:rsidR="00FD02B8" w:rsidRPr="00A8155E" w:rsidRDefault="00FD02B8" w:rsidP="00FD02B8">
      <w:pPr>
        <w:suppressLineNumbers/>
        <w:spacing w:after="0" w:line="360" w:lineRule="auto"/>
        <w:ind w:firstLine="720"/>
        <w:jc w:val="center"/>
        <w:rPr>
          <w:rFonts w:cs="Times New Roman"/>
          <w:color w:val="000000"/>
          <w:sz w:val="24"/>
          <w:szCs w:val="28"/>
        </w:rPr>
      </w:pPr>
      <w:r w:rsidRPr="00A8155E">
        <w:rPr>
          <w:rFonts w:cs="Times New Roman"/>
          <w:color w:val="1C1D1E"/>
          <w:sz w:val="24"/>
          <w:szCs w:val="28"/>
          <w:shd w:val="clear" w:color="auto" w:fill="FFFFFF"/>
        </w:rPr>
        <w:t xml:space="preserve">Abstract: </w:t>
      </w:r>
      <w:r w:rsidR="00544F18">
        <w:rPr>
          <w:rFonts w:cs="Times New Roman"/>
          <w:color w:val="1C1D1E"/>
          <w:sz w:val="24"/>
          <w:szCs w:val="28"/>
          <w:shd w:val="clear" w:color="auto" w:fill="FFFFFF"/>
        </w:rPr>
        <w:t>24</w:t>
      </w:r>
      <w:r w:rsidR="0057633A">
        <w:rPr>
          <w:rFonts w:cs="Times New Roman"/>
          <w:color w:val="1C1D1E"/>
          <w:sz w:val="24"/>
          <w:szCs w:val="28"/>
          <w:shd w:val="clear" w:color="auto" w:fill="FFFFFF"/>
        </w:rPr>
        <w:t>0</w:t>
      </w:r>
    </w:p>
    <w:p w14:paraId="100156B4" w14:textId="6F48AF05" w:rsidR="00FD02B8" w:rsidRPr="00A8155E" w:rsidRDefault="00FD02B8" w:rsidP="00FD02B8">
      <w:pPr>
        <w:suppressLineNumbers/>
        <w:spacing w:after="0" w:line="360" w:lineRule="auto"/>
        <w:ind w:firstLine="720"/>
        <w:jc w:val="center"/>
        <w:rPr>
          <w:rFonts w:cs="Times New Roman"/>
          <w:color w:val="1C1D1E"/>
          <w:sz w:val="24"/>
          <w:szCs w:val="28"/>
          <w:shd w:val="clear" w:color="auto" w:fill="FFFFFF"/>
        </w:rPr>
      </w:pPr>
      <w:r w:rsidRPr="00A8155E">
        <w:rPr>
          <w:rFonts w:cs="Times New Roman"/>
          <w:color w:val="1C1D1E"/>
          <w:sz w:val="24"/>
          <w:szCs w:val="28"/>
          <w:shd w:val="clear" w:color="auto" w:fill="FFFFFF"/>
        </w:rPr>
        <w:t xml:space="preserve">Manuscript: </w:t>
      </w:r>
      <w:r w:rsidR="00105DD5">
        <w:rPr>
          <w:rFonts w:cs="Times New Roman"/>
          <w:color w:val="1C1D1E"/>
          <w:sz w:val="24"/>
          <w:szCs w:val="28"/>
          <w:shd w:val="clear" w:color="auto" w:fill="FFFFFF"/>
        </w:rPr>
        <w:t>4692</w:t>
      </w:r>
    </w:p>
    <w:p w14:paraId="1E67E40D" w14:textId="6D932C71" w:rsidR="00FD02B8" w:rsidRPr="00A8155E" w:rsidRDefault="00FD02B8" w:rsidP="00FD02B8">
      <w:pPr>
        <w:suppressLineNumbers/>
        <w:spacing w:after="0" w:line="360" w:lineRule="auto"/>
        <w:ind w:firstLine="720"/>
        <w:jc w:val="center"/>
        <w:rPr>
          <w:rFonts w:cs="Times New Roman"/>
          <w:color w:val="1C1D1E"/>
          <w:sz w:val="24"/>
          <w:szCs w:val="28"/>
          <w:shd w:val="clear" w:color="auto" w:fill="FFFFFF"/>
        </w:rPr>
      </w:pPr>
      <w:r w:rsidRPr="00A8155E">
        <w:rPr>
          <w:rFonts w:cs="Times New Roman"/>
          <w:color w:val="1C1D1E"/>
          <w:sz w:val="24"/>
          <w:szCs w:val="28"/>
          <w:shd w:val="clear" w:color="auto" w:fill="FFFFFF"/>
        </w:rPr>
        <w:t xml:space="preserve">References: </w:t>
      </w:r>
      <w:r w:rsidR="00223478">
        <w:rPr>
          <w:rFonts w:cs="Times New Roman"/>
          <w:color w:val="1C1D1E"/>
          <w:sz w:val="24"/>
          <w:szCs w:val="28"/>
          <w:shd w:val="clear" w:color="auto" w:fill="FFFFFF"/>
        </w:rPr>
        <w:t>21</w:t>
      </w:r>
    </w:p>
    <w:p w14:paraId="12A48418" w14:textId="77777777" w:rsidR="00FD02B8" w:rsidRPr="00A8155E" w:rsidRDefault="00FD02B8" w:rsidP="00FD02B8">
      <w:pPr>
        <w:suppressLineNumbers/>
        <w:spacing w:after="0" w:line="360" w:lineRule="auto"/>
        <w:ind w:firstLine="720"/>
        <w:jc w:val="center"/>
        <w:rPr>
          <w:rFonts w:cs="Times New Roman"/>
          <w:color w:val="000000"/>
          <w:sz w:val="24"/>
          <w:szCs w:val="28"/>
        </w:rPr>
      </w:pPr>
      <w:r w:rsidRPr="00A8155E">
        <w:rPr>
          <w:rFonts w:cs="Times New Roman"/>
          <w:color w:val="000000"/>
          <w:sz w:val="24"/>
          <w:szCs w:val="28"/>
        </w:rPr>
        <w:t xml:space="preserve">Figures: </w:t>
      </w:r>
      <w:r w:rsidR="00544F18">
        <w:rPr>
          <w:rFonts w:cs="Times New Roman"/>
          <w:color w:val="000000"/>
          <w:sz w:val="24"/>
          <w:szCs w:val="28"/>
        </w:rPr>
        <w:t>4</w:t>
      </w:r>
    </w:p>
    <w:p w14:paraId="4C6C3721" w14:textId="77777777" w:rsidR="00FD02B8" w:rsidRPr="00A8155E" w:rsidRDefault="00FD02B8" w:rsidP="00FD02B8">
      <w:pPr>
        <w:suppressLineNumbers/>
        <w:spacing w:after="0" w:line="360" w:lineRule="auto"/>
        <w:ind w:firstLine="720"/>
        <w:jc w:val="center"/>
        <w:rPr>
          <w:rFonts w:cs="Times New Roman"/>
          <w:color w:val="000000"/>
          <w:sz w:val="24"/>
          <w:szCs w:val="28"/>
          <w:rtl/>
          <w:lang w:bidi="he-IL"/>
        </w:rPr>
      </w:pPr>
      <w:r w:rsidRPr="00A8155E">
        <w:rPr>
          <w:rFonts w:cs="Times New Roman"/>
          <w:color w:val="000000"/>
          <w:sz w:val="24"/>
          <w:szCs w:val="28"/>
        </w:rPr>
        <w:t xml:space="preserve">Tables: </w:t>
      </w:r>
      <w:r w:rsidR="00DC7DCE">
        <w:rPr>
          <w:rFonts w:cs="Times New Roman"/>
          <w:color w:val="000000"/>
          <w:sz w:val="24"/>
          <w:szCs w:val="28"/>
        </w:rPr>
        <w:t>1</w:t>
      </w:r>
    </w:p>
    <w:p w14:paraId="6E8BBF7B" w14:textId="77777777" w:rsidR="008677DA" w:rsidRDefault="008677DA" w:rsidP="00FD02B8">
      <w:pPr>
        <w:spacing w:after="0" w:line="360" w:lineRule="auto"/>
      </w:pPr>
    </w:p>
    <w:p w14:paraId="023DD15E" w14:textId="77777777" w:rsidR="00FD02B8" w:rsidRPr="00A8155E" w:rsidRDefault="00FD02B8" w:rsidP="001A60E5">
      <w:pPr>
        <w:suppressLineNumbers/>
        <w:spacing w:after="0" w:line="360" w:lineRule="auto"/>
        <w:contextualSpacing/>
        <w:jc w:val="both"/>
        <w:rPr>
          <w:rFonts w:cs="Times New Roman"/>
          <w:b/>
          <w:bCs/>
          <w:sz w:val="24"/>
          <w:szCs w:val="24"/>
        </w:rPr>
      </w:pPr>
      <w:r w:rsidRPr="00A8155E">
        <w:rPr>
          <w:rFonts w:cs="Times New Roman"/>
          <w:b/>
          <w:bCs/>
          <w:sz w:val="24"/>
          <w:szCs w:val="24"/>
        </w:rPr>
        <w:t>Address for Correspondence and Proofs</w:t>
      </w:r>
    </w:p>
    <w:p w14:paraId="1895A40B" w14:textId="77777777" w:rsidR="00FD02B8" w:rsidRPr="007007ED" w:rsidRDefault="00FD02B8" w:rsidP="001A60E5">
      <w:pPr>
        <w:suppressLineNumbers/>
        <w:spacing w:after="0" w:line="360" w:lineRule="auto"/>
        <w:contextualSpacing/>
        <w:jc w:val="both"/>
        <w:rPr>
          <w:rFonts w:cs="Times New Roman"/>
          <w:sz w:val="24"/>
          <w:szCs w:val="24"/>
        </w:rPr>
      </w:pPr>
      <w:r w:rsidRPr="007007ED">
        <w:rPr>
          <w:rFonts w:cs="Times New Roman"/>
          <w:sz w:val="24"/>
          <w:szCs w:val="24"/>
        </w:rPr>
        <w:t>Ronen Sosnik, PhD</w:t>
      </w:r>
    </w:p>
    <w:p w14:paraId="3FC309DF" w14:textId="77777777" w:rsidR="00FD02B8" w:rsidRPr="007007ED" w:rsidRDefault="00FD02B8" w:rsidP="001A60E5">
      <w:pPr>
        <w:suppressLineNumbers/>
        <w:spacing w:after="0" w:line="360" w:lineRule="auto"/>
        <w:contextualSpacing/>
        <w:jc w:val="both"/>
        <w:rPr>
          <w:rFonts w:cs="Times New Roman"/>
          <w:sz w:val="24"/>
          <w:szCs w:val="24"/>
        </w:rPr>
      </w:pPr>
      <w:r w:rsidRPr="007007ED">
        <w:rPr>
          <w:rFonts w:cs="Times New Roman"/>
          <w:sz w:val="24"/>
          <w:szCs w:val="24"/>
        </w:rPr>
        <w:t>Faculty of Electrical and Electronics Engineering</w:t>
      </w:r>
    </w:p>
    <w:p w14:paraId="385E929E" w14:textId="77777777" w:rsidR="00FD02B8" w:rsidRPr="007007ED" w:rsidRDefault="00FD02B8" w:rsidP="001A60E5">
      <w:pPr>
        <w:suppressLineNumbers/>
        <w:spacing w:after="0" w:line="360" w:lineRule="auto"/>
        <w:contextualSpacing/>
        <w:jc w:val="both"/>
        <w:rPr>
          <w:rFonts w:cs="Times New Roman"/>
          <w:sz w:val="24"/>
          <w:szCs w:val="24"/>
        </w:rPr>
      </w:pPr>
      <w:r w:rsidRPr="007007ED">
        <w:rPr>
          <w:rFonts w:cs="Times New Roman"/>
          <w:sz w:val="24"/>
          <w:szCs w:val="24"/>
        </w:rPr>
        <w:t>Holon Institute of Technology (HIT)</w:t>
      </w:r>
    </w:p>
    <w:p w14:paraId="1F2B92BD" w14:textId="77777777" w:rsidR="00FD02B8" w:rsidRPr="007007ED" w:rsidRDefault="00FD02B8" w:rsidP="001A60E5">
      <w:pPr>
        <w:suppressLineNumbers/>
        <w:spacing w:after="0" w:line="360" w:lineRule="auto"/>
        <w:contextualSpacing/>
        <w:jc w:val="both"/>
        <w:rPr>
          <w:rFonts w:cs="Times New Roman"/>
          <w:sz w:val="24"/>
          <w:szCs w:val="24"/>
        </w:rPr>
      </w:pPr>
      <w:r w:rsidRPr="007007ED">
        <w:rPr>
          <w:rFonts w:cs="Times New Roman"/>
          <w:sz w:val="24"/>
          <w:szCs w:val="24"/>
        </w:rPr>
        <w:t>52 Golomb St., Holon, Israel</w:t>
      </w:r>
    </w:p>
    <w:p w14:paraId="65A9203E" w14:textId="77777777" w:rsidR="00FD02B8" w:rsidRPr="007007ED" w:rsidRDefault="00FD02B8" w:rsidP="001A60E5">
      <w:pPr>
        <w:suppressLineNumbers/>
        <w:spacing w:after="0" w:line="360" w:lineRule="auto"/>
        <w:contextualSpacing/>
        <w:jc w:val="both"/>
        <w:rPr>
          <w:rFonts w:cs="Times New Roman"/>
          <w:sz w:val="24"/>
          <w:szCs w:val="24"/>
        </w:rPr>
      </w:pPr>
      <w:r w:rsidRPr="007007ED">
        <w:rPr>
          <w:rFonts w:cs="Times New Roman"/>
          <w:sz w:val="24"/>
          <w:szCs w:val="24"/>
        </w:rPr>
        <w:t>E-mail: ronens@hit.ac.il</w:t>
      </w:r>
    </w:p>
    <w:p w14:paraId="2446E495" w14:textId="77777777" w:rsidR="00FD02B8" w:rsidRPr="00306AA8" w:rsidRDefault="00FD02B8" w:rsidP="001A60E5">
      <w:pPr>
        <w:suppressLineNumbers/>
        <w:spacing w:after="0" w:line="360" w:lineRule="auto"/>
        <w:contextualSpacing/>
        <w:jc w:val="both"/>
        <w:rPr>
          <w:rFonts w:cs="Times New Roman"/>
        </w:rPr>
      </w:pPr>
    </w:p>
    <w:p w14:paraId="4EBBFDD9" w14:textId="77777777" w:rsidR="00FD02B8" w:rsidRPr="00A8155E" w:rsidRDefault="00FD02B8" w:rsidP="001A60E5">
      <w:pPr>
        <w:suppressLineNumbers/>
        <w:spacing w:after="0" w:line="360" w:lineRule="auto"/>
        <w:contextualSpacing/>
        <w:jc w:val="both"/>
        <w:rPr>
          <w:rFonts w:cs="Times New Roman"/>
          <w:color w:val="000000" w:themeColor="text1"/>
          <w:sz w:val="24"/>
          <w:szCs w:val="32"/>
        </w:rPr>
      </w:pPr>
      <w:r w:rsidRPr="00A8155E">
        <w:rPr>
          <w:rFonts w:cs="Times New Roman"/>
          <w:b/>
          <w:bCs/>
          <w:color w:val="000000" w:themeColor="text1"/>
          <w:sz w:val="24"/>
          <w:szCs w:val="32"/>
        </w:rPr>
        <w:t>Conflict of interest:</w:t>
      </w:r>
      <w:r w:rsidRPr="00A8155E">
        <w:rPr>
          <w:rFonts w:cs="Times New Roman"/>
          <w:color w:val="000000" w:themeColor="text1"/>
          <w:sz w:val="24"/>
          <w:szCs w:val="32"/>
        </w:rPr>
        <w:t xml:space="preserve"> The authors report no conflicts of interest</w:t>
      </w:r>
      <w:r>
        <w:rPr>
          <w:rFonts w:cs="Times New Roman"/>
          <w:color w:val="000000" w:themeColor="text1"/>
          <w:sz w:val="24"/>
          <w:szCs w:val="32"/>
        </w:rPr>
        <w:t>.</w:t>
      </w:r>
    </w:p>
    <w:p w14:paraId="1D063FE2" w14:textId="77777777" w:rsidR="008677DA" w:rsidRDefault="00FD02B8" w:rsidP="00D531D7">
      <w:pPr>
        <w:spacing w:after="0" w:line="360" w:lineRule="auto"/>
        <w:contextualSpacing/>
        <w:jc w:val="both"/>
      </w:pPr>
      <w:r w:rsidRPr="007007ED">
        <w:rPr>
          <w:rFonts w:cs="Times New Roman"/>
          <w:b/>
          <w:sz w:val="24"/>
          <w:szCs w:val="24"/>
        </w:rPr>
        <w:t>Keywords</w:t>
      </w:r>
      <w:r w:rsidRPr="00FD02B8">
        <w:rPr>
          <w:b/>
          <w:bCs/>
          <w:sz w:val="24"/>
          <w:szCs w:val="24"/>
        </w:rPr>
        <w:t>:</w:t>
      </w:r>
      <w:r>
        <w:t xml:space="preserve"> </w:t>
      </w:r>
      <w:r w:rsidR="007B49AA" w:rsidRPr="007B49AA">
        <w:rPr>
          <w:sz w:val="24"/>
          <w:szCs w:val="24"/>
        </w:rPr>
        <w:t>Bipolar disorder; Bipolar depression; Electroencephalography; Heartbeat-evoked potentials; Cardio-cortical coupling</w:t>
      </w:r>
      <w:r w:rsidR="00E10BD7">
        <w:rPr>
          <w:sz w:val="24"/>
          <w:szCs w:val="24"/>
          <w:highlight w:val="yellow"/>
        </w:rPr>
        <w:br w:type="page"/>
      </w:r>
    </w:p>
    <w:p w14:paraId="13CD709C" w14:textId="77777777" w:rsidR="008677DA" w:rsidRPr="001A60E5" w:rsidRDefault="00000000" w:rsidP="00D23C0E">
      <w:pPr>
        <w:pStyle w:val="Heading1"/>
        <w:spacing w:before="0" w:line="360" w:lineRule="auto"/>
        <w:contextualSpacing/>
        <w:jc w:val="both"/>
        <w:rPr>
          <w:color w:val="000000" w:themeColor="text1"/>
          <w:sz w:val="40"/>
          <w:szCs w:val="40"/>
        </w:rPr>
      </w:pPr>
      <w:r w:rsidRPr="001A60E5">
        <w:rPr>
          <w:rFonts w:ascii="Times New Roman" w:eastAsia="Times New Roman" w:hAnsi="Times New Roman"/>
          <w:color w:val="000000" w:themeColor="text1"/>
          <w:sz w:val="32"/>
          <w:szCs w:val="40"/>
        </w:rPr>
        <w:lastRenderedPageBreak/>
        <w:t>Abstract</w:t>
      </w:r>
      <w:r w:rsidR="00E10BD7">
        <w:rPr>
          <w:rFonts w:ascii="Times New Roman" w:eastAsia="Times New Roman" w:hAnsi="Times New Roman"/>
          <w:color w:val="000000" w:themeColor="text1"/>
          <w:sz w:val="32"/>
          <w:szCs w:val="40"/>
        </w:rPr>
        <w:t xml:space="preserve"> </w:t>
      </w:r>
    </w:p>
    <w:p w14:paraId="4B65CA4B" w14:textId="5E1CDD1E" w:rsidR="008677DA" w:rsidRPr="001A60E5" w:rsidRDefault="00000000" w:rsidP="00A11B06">
      <w:pPr>
        <w:spacing w:after="0" w:line="360" w:lineRule="auto"/>
        <w:contextualSpacing/>
        <w:jc w:val="both"/>
        <w:rPr>
          <w:sz w:val="24"/>
          <w:szCs w:val="24"/>
        </w:rPr>
      </w:pPr>
      <w:r w:rsidRPr="00F85320">
        <w:rPr>
          <w:bCs/>
          <w:i/>
          <w:iCs/>
          <w:sz w:val="24"/>
          <w:szCs w:val="24"/>
        </w:rPr>
        <w:t>Background:</w:t>
      </w:r>
      <w:r w:rsidRPr="001A60E5">
        <w:rPr>
          <w:b/>
          <w:sz w:val="24"/>
          <w:szCs w:val="24"/>
        </w:rPr>
        <w:t xml:space="preserve"> </w:t>
      </w:r>
      <w:r w:rsidR="00A11B06" w:rsidRPr="00A11B06">
        <w:rPr>
          <w:bCs/>
          <w:sz w:val="24"/>
          <w:szCs w:val="24"/>
        </w:rPr>
        <w:t>Bipolar disorder (BD) is associated with altered neural network dynamics and autonomic regulation. Passive resting heartbeat-locked EEG may index spontaneous cardio-cortical coupling</w:t>
      </w:r>
      <w:r w:rsidR="00E37BDC">
        <w:rPr>
          <w:bCs/>
          <w:sz w:val="24"/>
          <w:szCs w:val="24"/>
        </w:rPr>
        <w:t>.</w:t>
      </w:r>
      <w:r w:rsidR="00A11B06" w:rsidRPr="00A11B06">
        <w:rPr>
          <w:bCs/>
          <w:sz w:val="24"/>
          <w:szCs w:val="24"/>
        </w:rPr>
        <w:t xml:space="preserve"> </w:t>
      </w:r>
      <w:r w:rsidR="0057633A">
        <w:rPr>
          <w:bCs/>
          <w:sz w:val="24"/>
          <w:szCs w:val="24"/>
        </w:rPr>
        <w:t xml:space="preserve"> </w:t>
      </w:r>
      <w:r w:rsidR="00A11B06" w:rsidRPr="00A11B06">
        <w:rPr>
          <w:bCs/>
          <w:sz w:val="24"/>
          <w:szCs w:val="24"/>
        </w:rPr>
        <w:t>We tested whether bipolar depression is associated with altered early R-locked EEG field expression.</w:t>
      </w:r>
    </w:p>
    <w:p w14:paraId="1B0E6CE0" w14:textId="77777777" w:rsidR="008677DA" w:rsidRPr="001A60E5" w:rsidRDefault="00000000" w:rsidP="00A11B06">
      <w:pPr>
        <w:spacing w:before="120" w:after="0" w:line="360" w:lineRule="auto"/>
        <w:jc w:val="both"/>
        <w:rPr>
          <w:sz w:val="24"/>
          <w:szCs w:val="24"/>
        </w:rPr>
      </w:pPr>
      <w:r w:rsidRPr="001A60E5">
        <w:rPr>
          <w:bCs/>
          <w:i/>
          <w:iCs/>
          <w:sz w:val="24"/>
          <w:szCs w:val="24"/>
        </w:rPr>
        <w:t xml:space="preserve">Methods: </w:t>
      </w:r>
      <w:r w:rsidR="00A11B06" w:rsidRPr="00A11B06">
        <w:rPr>
          <w:bCs/>
          <w:sz w:val="24"/>
          <w:szCs w:val="24"/>
        </w:rPr>
        <w:t xml:space="preserve">Resting eyes-closed EEG/ECG data were analyzed from </w:t>
      </w:r>
      <w:r w:rsidR="00164029">
        <w:rPr>
          <w:bCs/>
          <w:sz w:val="24"/>
          <w:szCs w:val="24"/>
        </w:rPr>
        <w:t>70</w:t>
      </w:r>
      <w:r w:rsidR="00A11B06" w:rsidRPr="00A11B06">
        <w:rPr>
          <w:bCs/>
          <w:sz w:val="24"/>
          <w:szCs w:val="24"/>
        </w:rPr>
        <w:t xml:space="preserve"> participants: 21 depressed BD patients, 19 euthymic BD patients, 14 unaffected siblings of BD patients, and 1</w:t>
      </w:r>
      <w:r w:rsidR="00164029">
        <w:rPr>
          <w:bCs/>
          <w:sz w:val="24"/>
          <w:szCs w:val="24"/>
        </w:rPr>
        <w:t>6</w:t>
      </w:r>
      <w:r w:rsidR="00A11B06" w:rsidRPr="00A11B06">
        <w:rPr>
          <w:bCs/>
          <w:sz w:val="24"/>
          <w:szCs w:val="24"/>
        </w:rPr>
        <w:t xml:space="preserve"> healthy controls. R-peaks were manually corrected, and all-channel EEG waveforms were extracted time-locked to accepted R-peaks. The primary outcome was a 100–200 ms R-locked distributed-field score computed as a leave-one-subject-out</w:t>
      </w:r>
      <w:r w:rsidR="007B7918">
        <w:rPr>
          <w:bCs/>
          <w:sz w:val="24"/>
          <w:szCs w:val="24"/>
        </w:rPr>
        <w:t xml:space="preserve"> (LOSO)</w:t>
      </w:r>
      <w:r w:rsidR="00A11B06" w:rsidRPr="00A11B06">
        <w:rPr>
          <w:bCs/>
          <w:sz w:val="24"/>
          <w:szCs w:val="24"/>
        </w:rPr>
        <w:t>, group-blind topographic projection orthogonalized to the peri-R cardiac-field/topography template. Clinical</w:t>
      </w:r>
      <w:r w:rsidR="00FC6512">
        <w:rPr>
          <w:bCs/>
          <w:sz w:val="24"/>
          <w:szCs w:val="24"/>
        </w:rPr>
        <w:t xml:space="preserve"> </w:t>
      </w:r>
      <w:r w:rsidR="001F7B3C">
        <w:rPr>
          <w:bCs/>
          <w:sz w:val="24"/>
          <w:szCs w:val="24"/>
        </w:rPr>
        <w:t>group</w:t>
      </w:r>
      <w:r w:rsidR="00A11B06" w:rsidRPr="00A11B06">
        <w:rPr>
          <w:bCs/>
          <w:sz w:val="24"/>
          <w:szCs w:val="24"/>
        </w:rPr>
        <w:t xml:space="preserve"> effects were tested using age- and sex-adjusted ordinary least-squares models with Freedman–Lane permutation inference.</w:t>
      </w:r>
    </w:p>
    <w:p w14:paraId="137387BF" w14:textId="77777777" w:rsidR="008677DA" w:rsidRPr="001A60E5" w:rsidRDefault="00000000" w:rsidP="0073511A">
      <w:pPr>
        <w:spacing w:before="120" w:after="0" w:line="360" w:lineRule="auto"/>
        <w:jc w:val="both"/>
        <w:rPr>
          <w:sz w:val="24"/>
          <w:szCs w:val="24"/>
        </w:rPr>
      </w:pPr>
      <w:r w:rsidRPr="001A60E5">
        <w:rPr>
          <w:bCs/>
          <w:i/>
          <w:iCs/>
          <w:sz w:val="24"/>
          <w:szCs w:val="24"/>
        </w:rPr>
        <w:t xml:space="preserve">Results: </w:t>
      </w:r>
      <w:r w:rsidRPr="00544F18">
        <w:rPr>
          <w:bCs/>
          <w:sz w:val="24"/>
          <w:szCs w:val="24"/>
        </w:rPr>
        <w:t xml:space="preserve">The primary 100-200 ms field score differed by clinical </w:t>
      </w:r>
      <w:r w:rsidR="001F7B3C">
        <w:rPr>
          <w:bCs/>
          <w:sz w:val="24"/>
          <w:szCs w:val="24"/>
        </w:rPr>
        <w:t>group</w:t>
      </w:r>
      <w:r w:rsidRPr="00544F18">
        <w:rPr>
          <w:bCs/>
          <w:sz w:val="24"/>
          <w:szCs w:val="24"/>
        </w:rPr>
        <w:t>, F(3,64) = 4.09, permutation p = 0.0</w:t>
      </w:r>
      <w:r w:rsidR="0057633A">
        <w:rPr>
          <w:bCs/>
          <w:sz w:val="24"/>
          <w:szCs w:val="24"/>
        </w:rPr>
        <w:t>10</w:t>
      </w:r>
      <w:r w:rsidRPr="00544F18">
        <w:rPr>
          <w:bCs/>
          <w:sz w:val="24"/>
          <w:szCs w:val="24"/>
        </w:rPr>
        <w:t>. Depressed BD patients showed reduced expression relative to healthy controls, estimate = -0.241, 95% CI [-0.401, -0.081], permutation p = 0.003, Holm p = 0.017, and relative to euthymic BD patients, estimate = -0.198, 95% CI [-0.347, -0.048], permutation p = 0.010, Holm p = 0.041. Siblings showed intermediate, non-significant values. Exploratory localization identified a posterior 100-300 ms cluster, p_FWER = 0.024. The primary effect persisted after cardiac-field, heart-rate, and lnRMSSD adjustment, and was absent in the pseudo-event control.</w:t>
      </w:r>
    </w:p>
    <w:p w14:paraId="522B70F8" w14:textId="77777777" w:rsidR="00014F2A" w:rsidRPr="008D4146" w:rsidRDefault="00000000" w:rsidP="00A11B06">
      <w:pPr>
        <w:spacing w:before="120" w:after="0" w:line="360" w:lineRule="auto"/>
        <w:jc w:val="both"/>
        <w:rPr>
          <w:sz w:val="24"/>
          <w:szCs w:val="24"/>
        </w:rPr>
      </w:pPr>
      <w:r w:rsidRPr="001A60E5">
        <w:rPr>
          <w:bCs/>
          <w:i/>
          <w:iCs/>
          <w:sz w:val="24"/>
          <w:szCs w:val="24"/>
        </w:rPr>
        <w:t xml:space="preserve">Conclusions: </w:t>
      </w:r>
      <w:r w:rsidRPr="00544F18">
        <w:rPr>
          <w:bCs/>
          <w:sz w:val="24"/>
          <w:szCs w:val="24"/>
        </w:rPr>
        <w:t>Bipolar depression was associated with attenuated early passive resting R-locked EEG field expression, supporting altered spontaneous cardio-cortical coupling during bipolar depression.</w:t>
      </w:r>
    </w:p>
    <w:p w14:paraId="6799B7FA" w14:textId="77777777" w:rsidR="00014F2A" w:rsidRDefault="00014F2A">
      <w:pPr>
        <w:rPr>
          <w:sz w:val="24"/>
          <w:szCs w:val="24"/>
        </w:rPr>
      </w:pPr>
      <w:r>
        <w:rPr>
          <w:sz w:val="24"/>
          <w:szCs w:val="24"/>
        </w:rPr>
        <w:br w:type="page"/>
      </w:r>
    </w:p>
    <w:p w14:paraId="0F33E284" w14:textId="77777777" w:rsidR="008677DA" w:rsidRDefault="00000000" w:rsidP="00D23C0E">
      <w:pPr>
        <w:pStyle w:val="Heading1"/>
        <w:spacing w:after="120" w:line="259" w:lineRule="auto"/>
        <w:jc w:val="both"/>
        <w:rPr>
          <w:rFonts w:ascii="Times New Roman" w:eastAsia="Times New Roman" w:hAnsi="Times New Roman"/>
          <w:color w:val="000000" w:themeColor="text1"/>
          <w:sz w:val="32"/>
          <w:szCs w:val="40"/>
        </w:rPr>
      </w:pPr>
      <w:r w:rsidRPr="00014F2A">
        <w:rPr>
          <w:rFonts w:ascii="Times New Roman" w:eastAsia="Times New Roman" w:hAnsi="Times New Roman"/>
          <w:color w:val="000000" w:themeColor="text1"/>
          <w:sz w:val="32"/>
          <w:szCs w:val="40"/>
        </w:rPr>
        <w:lastRenderedPageBreak/>
        <w:t>Introduction</w:t>
      </w:r>
    </w:p>
    <w:p w14:paraId="54859C9F" w14:textId="77777777" w:rsidR="006E6D4D" w:rsidRPr="00256424" w:rsidRDefault="00000000" w:rsidP="00C03C68">
      <w:pPr>
        <w:spacing w:after="0" w:line="360" w:lineRule="auto"/>
        <w:jc w:val="both"/>
        <w:rPr>
          <w:sz w:val="24"/>
          <w:szCs w:val="24"/>
        </w:rPr>
      </w:pPr>
      <w:r w:rsidRPr="00256424">
        <w:rPr>
          <w:sz w:val="24"/>
          <w:szCs w:val="24"/>
        </w:rPr>
        <w:t xml:space="preserve">Bipolar disorder (BD) is a recurrent mood disorder characterized by depressive, manic, or hypomanic episodes, substantial functional burden, and frequent diagnostic delay. Accurate diagnosis is often difficult because the illness commonly begins with depressive symptoms that can resemble unipolar depression, whereas subsequent course varies across subtype, current mood state, treatment history, and illness stage </w:t>
      </w:r>
      <w:sdt>
        <w:sdtPr>
          <w:rPr>
            <w:sz w:val="24"/>
            <w:szCs w:val="24"/>
          </w:rPr>
          <w:id w:val="153337972"/>
          <w:citation/>
        </w:sdtPr>
        <w:sdtContent>
          <w:r w:rsidR="00E3278A">
            <w:rPr>
              <w:sz w:val="24"/>
              <w:szCs w:val="24"/>
            </w:rPr>
            <w:fldChar w:fldCharType="begin"/>
          </w:r>
          <w:r w:rsidR="00E3278A">
            <w:rPr>
              <w:sz w:val="24"/>
              <w:szCs w:val="24"/>
            </w:rPr>
            <w:instrText xml:space="preserve"> CITATION Gra16 \l 1033 </w:instrText>
          </w:r>
          <w:r w:rsidR="00421CFF">
            <w:rPr>
              <w:sz w:val="24"/>
              <w:szCs w:val="24"/>
            </w:rPr>
            <w:instrText xml:space="preserve"> \m Vie18</w:instrText>
          </w:r>
          <w:r w:rsidR="00E3278A">
            <w:rPr>
              <w:sz w:val="24"/>
              <w:szCs w:val="24"/>
            </w:rPr>
            <w:fldChar w:fldCharType="separate"/>
          </w:r>
          <w:r w:rsidR="00D675DF" w:rsidRPr="00D675DF">
            <w:rPr>
              <w:noProof/>
              <w:sz w:val="24"/>
              <w:szCs w:val="24"/>
            </w:rPr>
            <w:t>[1, 2]</w:t>
          </w:r>
          <w:r w:rsidR="00E3278A">
            <w:rPr>
              <w:sz w:val="24"/>
              <w:szCs w:val="24"/>
            </w:rPr>
            <w:fldChar w:fldCharType="end"/>
          </w:r>
        </w:sdtContent>
      </w:sdt>
      <w:r w:rsidRPr="00256424">
        <w:rPr>
          <w:sz w:val="24"/>
          <w:szCs w:val="24"/>
        </w:rPr>
        <w:t xml:space="preserve">. BD is also highly familial and increasingly conceptualized as a disorder of distributed neural dynamics rather than dysfunction of isolated regions. Functional neuroimaging and connectomics studies implicate fronto-limbic, reward, cognitive-control, and interoceptive circuits, and abnormalities in these networks may be present both during symptomatic episodes and euthymia </w:t>
      </w:r>
      <w:sdt>
        <w:sdtPr>
          <w:rPr>
            <w:sz w:val="24"/>
            <w:szCs w:val="24"/>
          </w:rPr>
          <w:id w:val="-1311254555"/>
          <w:citation/>
        </w:sdtPr>
        <w:sdtContent>
          <w:r w:rsidR="00EF5860">
            <w:rPr>
              <w:sz w:val="24"/>
              <w:szCs w:val="24"/>
            </w:rPr>
            <w:fldChar w:fldCharType="begin"/>
          </w:r>
          <w:r w:rsidR="008144E2">
            <w:rPr>
              <w:sz w:val="24"/>
              <w:szCs w:val="24"/>
            </w:rPr>
            <w:instrText xml:space="preserve">CITATION Mes23 \m Per19 \l 1033 </w:instrText>
          </w:r>
          <w:r w:rsidR="00EF5860">
            <w:rPr>
              <w:sz w:val="24"/>
              <w:szCs w:val="24"/>
            </w:rPr>
            <w:fldChar w:fldCharType="separate"/>
          </w:r>
          <w:r w:rsidR="00D675DF" w:rsidRPr="00D675DF">
            <w:rPr>
              <w:noProof/>
              <w:sz w:val="24"/>
              <w:szCs w:val="24"/>
            </w:rPr>
            <w:t>[3, 4]</w:t>
          </w:r>
          <w:r w:rsidR="00EF5860">
            <w:rPr>
              <w:sz w:val="24"/>
              <w:szCs w:val="24"/>
            </w:rPr>
            <w:fldChar w:fldCharType="end"/>
          </w:r>
        </w:sdtContent>
      </w:sdt>
      <w:r w:rsidRPr="00256424">
        <w:rPr>
          <w:sz w:val="24"/>
          <w:szCs w:val="24"/>
        </w:rPr>
        <w:t xml:space="preserve">. Studies of unaffected first-degree relatives further suggest that familial-risk groups can show subtle cognitive or neuroimaging alterations, although the literature is heterogeneous and not always consistent with a simple linear endophenotype model </w:t>
      </w:r>
      <w:sdt>
        <w:sdtPr>
          <w:rPr>
            <w:sz w:val="24"/>
            <w:szCs w:val="24"/>
          </w:rPr>
          <w:id w:val="-2098242985"/>
          <w:citation/>
        </w:sdtPr>
        <w:sdtContent>
          <w:r w:rsidR="00910B20">
            <w:rPr>
              <w:sz w:val="24"/>
              <w:szCs w:val="24"/>
            </w:rPr>
            <w:fldChar w:fldCharType="begin"/>
          </w:r>
          <w:r w:rsidR="00910B20">
            <w:rPr>
              <w:sz w:val="24"/>
              <w:szCs w:val="24"/>
            </w:rPr>
            <w:instrText xml:space="preserve"> CITATION Mis17 \l 1033 </w:instrText>
          </w:r>
          <w:r w:rsidR="00910B20">
            <w:rPr>
              <w:sz w:val="24"/>
              <w:szCs w:val="24"/>
            </w:rPr>
            <w:fldChar w:fldCharType="separate"/>
          </w:r>
          <w:r w:rsidR="00D675DF" w:rsidRPr="00D675DF">
            <w:rPr>
              <w:noProof/>
              <w:sz w:val="24"/>
              <w:szCs w:val="24"/>
            </w:rPr>
            <w:t>[5]</w:t>
          </w:r>
          <w:r w:rsidR="00910B20">
            <w:rPr>
              <w:sz w:val="24"/>
              <w:szCs w:val="24"/>
            </w:rPr>
            <w:fldChar w:fldCharType="end"/>
          </w:r>
        </w:sdtContent>
      </w:sdt>
      <w:r w:rsidRPr="00256424">
        <w:rPr>
          <w:sz w:val="24"/>
          <w:szCs w:val="24"/>
        </w:rPr>
        <w:t>.</w:t>
      </w:r>
      <w:r w:rsidR="00C03C68">
        <w:rPr>
          <w:sz w:val="24"/>
          <w:szCs w:val="24"/>
        </w:rPr>
        <w:t xml:space="preserve"> </w:t>
      </w:r>
      <w:r w:rsidR="00C03C68" w:rsidRPr="00C03C68">
        <w:rPr>
          <w:sz w:val="24"/>
          <w:szCs w:val="24"/>
        </w:rPr>
        <w:t>More recent resting-state fMRI evidence in first-degree relatives of individuals with BD similarly suggests alterations in circuits involved in emotion regulation, cognition, reward processing, and psychosis susceptibility, while emphasizing substantial heterogeneity across relative samples and analytic approaches</w:t>
      </w:r>
      <w:r w:rsidR="00C03C68">
        <w:rPr>
          <w:sz w:val="24"/>
          <w:szCs w:val="24"/>
        </w:rPr>
        <w:t xml:space="preserve"> </w:t>
      </w:r>
      <w:sdt>
        <w:sdtPr>
          <w:rPr>
            <w:sz w:val="24"/>
            <w:szCs w:val="24"/>
          </w:rPr>
          <w:id w:val="-70432783"/>
          <w:citation/>
        </w:sdtPr>
        <w:sdtContent>
          <w:r w:rsidR="00C03C68">
            <w:rPr>
              <w:sz w:val="24"/>
              <w:szCs w:val="24"/>
            </w:rPr>
            <w:fldChar w:fldCharType="begin"/>
          </w:r>
          <w:r w:rsidR="00C03C68">
            <w:rPr>
              <w:sz w:val="24"/>
              <w:szCs w:val="24"/>
            </w:rPr>
            <w:instrText xml:space="preserve"> CITATION Cat24 \l 1033 </w:instrText>
          </w:r>
          <w:r w:rsidR="00C03C68">
            <w:rPr>
              <w:sz w:val="24"/>
              <w:szCs w:val="24"/>
            </w:rPr>
            <w:fldChar w:fldCharType="separate"/>
          </w:r>
          <w:r w:rsidR="00D675DF" w:rsidRPr="00D675DF">
            <w:rPr>
              <w:noProof/>
              <w:sz w:val="24"/>
              <w:szCs w:val="24"/>
            </w:rPr>
            <w:t>[6]</w:t>
          </w:r>
          <w:r w:rsidR="00C03C68">
            <w:rPr>
              <w:sz w:val="24"/>
              <w:szCs w:val="24"/>
            </w:rPr>
            <w:fldChar w:fldCharType="end"/>
          </w:r>
        </w:sdtContent>
      </w:sdt>
      <w:r w:rsidR="00C03C68">
        <w:rPr>
          <w:sz w:val="24"/>
          <w:szCs w:val="24"/>
        </w:rPr>
        <w:t>.</w:t>
      </w:r>
    </w:p>
    <w:p w14:paraId="24D66238" w14:textId="77777777" w:rsidR="006E6D4D" w:rsidRPr="00256424" w:rsidRDefault="00000000" w:rsidP="00256424">
      <w:pPr>
        <w:spacing w:before="120" w:after="0" w:line="360" w:lineRule="auto"/>
        <w:jc w:val="both"/>
        <w:rPr>
          <w:sz w:val="24"/>
          <w:szCs w:val="24"/>
        </w:rPr>
      </w:pPr>
      <w:r w:rsidRPr="00256424">
        <w:rPr>
          <w:sz w:val="24"/>
          <w:szCs w:val="24"/>
        </w:rPr>
        <w:t xml:space="preserve">Affective regulation depends on continuous interactions between central neural systems and bodily regulatory signals. Cardiac autonomic regulation provides one accessible axis of this brain-body interaction. Heart rate variability (HRV) indexes beat-to-beat variation in cardiac timing and is often interpreted, when measured and analyzed appropriately, as reflecting flexible autonomic regulation and cardiac vagal control </w:t>
      </w:r>
      <w:sdt>
        <w:sdtPr>
          <w:rPr>
            <w:sz w:val="24"/>
            <w:szCs w:val="24"/>
          </w:rPr>
          <w:id w:val="3025529"/>
          <w:citation/>
        </w:sdtPr>
        <w:sdtContent>
          <w:r w:rsidR="00910B20">
            <w:rPr>
              <w:sz w:val="24"/>
              <w:szCs w:val="24"/>
            </w:rPr>
            <w:fldChar w:fldCharType="begin"/>
          </w:r>
          <w:r w:rsidR="00910B20">
            <w:rPr>
              <w:sz w:val="24"/>
              <w:szCs w:val="24"/>
            </w:rPr>
            <w:instrText xml:space="preserve"> CITATION Tha09 \l 1033 </w:instrText>
          </w:r>
          <w:r w:rsidR="00116CC2">
            <w:rPr>
              <w:sz w:val="24"/>
              <w:szCs w:val="24"/>
            </w:rPr>
            <w:instrText xml:space="preserve"> \m Lab17</w:instrText>
          </w:r>
          <w:r w:rsidR="00910B20">
            <w:rPr>
              <w:sz w:val="24"/>
              <w:szCs w:val="24"/>
            </w:rPr>
            <w:fldChar w:fldCharType="separate"/>
          </w:r>
          <w:r w:rsidR="00D675DF" w:rsidRPr="00D675DF">
            <w:rPr>
              <w:noProof/>
              <w:sz w:val="24"/>
              <w:szCs w:val="24"/>
            </w:rPr>
            <w:t>[7, 8]</w:t>
          </w:r>
          <w:r w:rsidR="00910B20">
            <w:rPr>
              <w:sz w:val="24"/>
              <w:szCs w:val="24"/>
            </w:rPr>
            <w:fldChar w:fldCharType="end"/>
          </w:r>
        </w:sdtContent>
      </w:sdt>
      <w:r w:rsidRPr="00256424">
        <w:rPr>
          <w:sz w:val="24"/>
          <w:szCs w:val="24"/>
        </w:rPr>
        <w:t xml:space="preserve">. In BD, HRV has been reported to be reduced relative to healthy controls, but meta-analytic evidence also emphasizes substantial heterogeneity, methodological limitations, and possible effects of medication, cardiovascular risk, and affective state </w:t>
      </w:r>
      <w:sdt>
        <w:sdtPr>
          <w:rPr>
            <w:sz w:val="24"/>
            <w:szCs w:val="24"/>
          </w:rPr>
          <w:id w:val="269901202"/>
          <w:citation/>
        </w:sdtPr>
        <w:sdtContent>
          <w:r w:rsidR="00EA59C5">
            <w:rPr>
              <w:sz w:val="24"/>
              <w:szCs w:val="24"/>
            </w:rPr>
            <w:fldChar w:fldCharType="begin"/>
          </w:r>
          <w:r w:rsidR="00EA59C5">
            <w:rPr>
              <w:sz w:val="24"/>
              <w:szCs w:val="24"/>
            </w:rPr>
            <w:instrText xml:space="preserve"> CITATION Fau17 \l 1033 </w:instrText>
          </w:r>
          <w:r w:rsidR="00EA59C5">
            <w:rPr>
              <w:sz w:val="24"/>
              <w:szCs w:val="24"/>
            </w:rPr>
            <w:fldChar w:fldCharType="separate"/>
          </w:r>
          <w:r w:rsidR="00D675DF" w:rsidRPr="00D675DF">
            <w:rPr>
              <w:noProof/>
              <w:sz w:val="24"/>
              <w:szCs w:val="24"/>
            </w:rPr>
            <w:t>[9]</w:t>
          </w:r>
          <w:r w:rsidR="00EA59C5">
            <w:rPr>
              <w:sz w:val="24"/>
              <w:szCs w:val="24"/>
            </w:rPr>
            <w:fldChar w:fldCharType="end"/>
          </w:r>
        </w:sdtContent>
      </w:sdt>
      <w:r w:rsidRPr="00256424">
        <w:rPr>
          <w:sz w:val="24"/>
          <w:szCs w:val="24"/>
        </w:rPr>
        <w:t>. HRV is therefore relevant to the broader physiology of BD, but it remains a peripheral autonomic index; it does not directly measure how cardiac afferent signals are represented in cortical activity.</w:t>
      </w:r>
    </w:p>
    <w:p w14:paraId="4F82CBBE" w14:textId="77777777" w:rsidR="006E6D4D" w:rsidRPr="00256424" w:rsidRDefault="00000000" w:rsidP="00256424">
      <w:pPr>
        <w:spacing w:before="120" w:after="0" w:line="360" w:lineRule="auto"/>
        <w:jc w:val="both"/>
        <w:rPr>
          <w:sz w:val="24"/>
          <w:szCs w:val="24"/>
        </w:rPr>
      </w:pPr>
      <w:r w:rsidRPr="00256424">
        <w:rPr>
          <w:sz w:val="24"/>
          <w:szCs w:val="24"/>
        </w:rPr>
        <w:t xml:space="preserve">Heartbeat-evoked potentials or heartbeat-evoked cortical responses provide a complementary heart-to-brain measure. These responses are EEG or MEG signals time-locked to cardiac events and have been used as electrophysiological indices of cortical processing of cardiac bodily signals </w:t>
      </w:r>
      <w:sdt>
        <w:sdtPr>
          <w:rPr>
            <w:sz w:val="24"/>
            <w:szCs w:val="24"/>
          </w:rPr>
          <w:id w:val="622654445"/>
          <w:citation/>
        </w:sdtPr>
        <w:sdtContent>
          <w:r w:rsidR="00C070A2">
            <w:rPr>
              <w:sz w:val="24"/>
              <w:szCs w:val="24"/>
            </w:rPr>
            <w:fldChar w:fldCharType="begin"/>
          </w:r>
          <w:r w:rsidR="00C070A2">
            <w:rPr>
              <w:sz w:val="24"/>
              <w:szCs w:val="24"/>
            </w:rPr>
            <w:instrText xml:space="preserve"> CITATION Par19 \l 1033 </w:instrText>
          </w:r>
          <w:r w:rsidR="00C070A2">
            <w:rPr>
              <w:sz w:val="24"/>
              <w:szCs w:val="24"/>
            </w:rPr>
            <w:fldChar w:fldCharType="separate"/>
          </w:r>
          <w:r w:rsidR="00D675DF" w:rsidRPr="00D675DF">
            <w:rPr>
              <w:noProof/>
              <w:sz w:val="24"/>
              <w:szCs w:val="24"/>
            </w:rPr>
            <w:t>[10]</w:t>
          </w:r>
          <w:r w:rsidR="00C070A2">
            <w:rPr>
              <w:sz w:val="24"/>
              <w:szCs w:val="24"/>
            </w:rPr>
            <w:fldChar w:fldCharType="end"/>
          </w:r>
        </w:sdtContent>
      </w:sdt>
      <w:r w:rsidRPr="00256424">
        <w:rPr>
          <w:sz w:val="24"/>
          <w:szCs w:val="24"/>
        </w:rPr>
        <w:t xml:space="preserve">. Source-localization and review studies implicate a distributed network involving insular/opercular, somatosensory, cingulate, frontal, temporal, and parietal regions rather than a single scalp focus </w:t>
      </w:r>
      <w:sdt>
        <w:sdtPr>
          <w:rPr>
            <w:sz w:val="24"/>
            <w:szCs w:val="24"/>
          </w:rPr>
          <w:id w:val="414525548"/>
          <w:citation/>
        </w:sdtPr>
        <w:sdtContent>
          <w:r w:rsidR="00527E2A">
            <w:rPr>
              <w:sz w:val="24"/>
              <w:szCs w:val="24"/>
            </w:rPr>
            <w:fldChar w:fldCharType="begin"/>
          </w:r>
          <w:r w:rsidR="00527E2A">
            <w:rPr>
              <w:sz w:val="24"/>
              <w:szCs w:val="24"/>
            </w:rPr>
            <w:instrText xml:space="preserve"> CITATION Par19 \l 1033  \m Pol05</w:instrText>
          </w:r>
          <w:r w:rsidR="00527E2A">
            <w:rPr>
              <w:sz w:val="24"/>
              <w:szCs w:val="24"/>
            </w:rPr>
            <w:fldChar w:fldCharType="separate"/>
          </w:r>
          <w:r w:rsidR="00D675DF" w:rsidRPr="00D675DF">
            <w:rPr>
              <w:noProof/>
              <w:sz w:val="24"/>
              <w:szCs w:val="24"/>
            </w:rPr>
            <w:t>[10, 11]</w:t>
          </w:r>
          <w:r w:rsidR="00527E2A">
            <w:rPr>
              <w:sz w:val="24"/>
              <w:szCs w:val="24"/>
            </w:rPr>
            <w:fldChar w:fldCharType="end"/>
          </w:r>
        </w:sdtContent>
      </w:sdt>
      <w:r w:rsidRPr="00256424">
        <w:rPr>
          <w:sz w:val="24"/>
          <w:szCs w:val="24"/>
        </w:rPr>
        <w:t xml:space="preserve">. However, the interpretation of heartbeat-locked activity depends strongly on experimental context. A systematic review and meta-analysis concluded that the empirical relation between HEP amplitude and interoceptive measures is variable across studies, paradigms, time windows, and analysis choices </w:t>
      </w:r>
      <w:sdt>
        <w:sdtPr>
          <w:rPr>
            <w:sz w:val="24"/>
            <w:szCs w:val="24"/>
          </w:rPr>
          <w:id w:val="670380872"/>
          <w:citation/>
        </w:sdtPr>
        <w:sdtContent>
          <w:r w:rsidR="00527E2A">
            <w:rPr>
              <w:sz w:val="24"/>
              <w:szCs w:val="24"/>
            </w:rPr>
            <w:fldChar w:fldCharType="begin"/>
          </w:r>
          <w:r w:rsidR="00527E2A">
            <w:rPr>
              <w:sz w:val="24"/>
              <w:szCs w:val="24"/>
            </w:rPr>
            <w:instrText xml:space="preserve"> CITATION Col21 \l 1033 </w:instrText>
          </w:r>
          <w:r w:rsidR="00527E2A">
            <w:rPr>
              <w:sz w:val="24"/>
              <w:szCs w:val="24"/>
            </w:rPr>
            <w:fldChar w:fldCharType="separate"/>
          </w:r>
          <w:r w:rsidR="00D675DF" w:rsidRPr="00D675DF">
            <w:rPr>
              <w:noProof/>
              <w:sz w:val="24"/>
              <w:szCs w:val="24"/>
            </w:rPr>
            <w:t>[12]</w:t>
          </w:r>
          <w:r w:rsidR="00527E2A">
            <w:rPr>
              <w:sz w:val="24"/>
              <w:szCs w:val="24"/>
            </w:rPr>
            <w:fldChar w:fldCharType="end"/>
          </w:r>
        </w:sdtContent>
      </w:sdt>
      <w:r w:rsidRPr="00256424">
        <w:rPr>
          <w:sz w:val="24"/>
          <w:szCs w:val="24"/>
        </w:rPr>
        <w:t xml:space="preserve">. Many classical HEP studies asked participants to attend to, count, or discriminate their heartbeats, thereby probing explicit interoceptive attention or heartbeat awareness </w:t>
      </w:r>
      <w:sdt>
        <w:sdtPr>
          <w:rPr>
            <w:sz w:val="24"/>
            <w:szCs w:val="24"/>
          </w:rPr>
          <w:id w:val="777919278"/>
          <w:citation/>
        </w:sdtPr>
        <w:sdtContent>
          <w:r w:rsidR="00E70C32">
            <w:rPr>
              <w:sz w:val="24"/>
              <w:szCs w:val="24"/>
            </w:rPr>
            <w:fldChar w:fldCharType="begin"/>
          </w:r>
          <w:r w:rsidR="00E70C32">
            <w:rPr>
              <w:sz w:val="24"/>
              <w:szCs w:val="24"/>
            </w:rPr>
            <w:instrText xml:space="preserve"> CITATION Mon93 \l 1033  \m Pet19</w:instrText>
          </w:r>
          <w:r w:rsidR="00E70C32">
            <w:rPr>
              <w:sz w:val="24"/>
              <w:szCs w:val="24"/>
            </w:rPr>
            <w:fldChar w:fldCharType="separate"/>
          </w:r>
          <w:r w:rsidR="00D675DF" w:rsidRPr="00D675DF">
            <w:rPr>
              <w:noProof/>
              <w:sz w:val="24"/>
              <w:szCs w:val="24"/>
            </w:rPr>
            <w:t>[13, 14]</w:t>
          </w:r>
          <w:r w:rsidR="00E70C32">
            <w:rPr>
              <w:sz w:val="24"/>
              <w:szCs w:val="24"/>
            </w:rPr>
            <w:fldChar w:fldCharType="end"/>
          </w:r>
        </w:sdtContent>
      </w:sdt>
      <w:r w:rsidRPr="00256424">
        <w:rPr>
          <w:sz w:val="24"/>
          <w:szCs w:val="24"/>
        </w:rPr>
        <w:t>. In contrast, passive resting recordings without heartbeat-attention instructions are better interpreted as measures of spontaneous heartbeat-locked cortical activity or resting cardio-cortical coupling, not as direct measures of conscious heartbeat perception.</w:t>
      </w:r>
    </w:p>
    <w:p w14:paraId="67CF2A36" w14:textId="145BA137" w:rsidR="006E6D4D" w:rsidRPr="00256424" w:rsidRDefault="00000000" w:rsidP="000E6180">
      <w:pPr>
        <w:spacing w:before="120" w:after="0" w:line="360" w:lineRule="auto"/>
        <w:jc w:val="both"/>
        <w:rPr>
          <w:sz w:val="24"/>
          <w:szCs w:val="24"/>
        </w:rPr>
      </w:pPr>
      <w:r w:rsidRPr="00256424">
        <w:rPr>
          <w:sz w:val="24"/>
          <w:szCs w:val="24"/>
        </w:rPr>
        <w:t xml:space="preserve">This distinction is particularly important in BD. Interoception has been proposed as a transdiagnostic dimension relevant to mental health, emotional experience, self-regulation, and bodily self-monitoring </w:t>
      </w:r>
      <w:sdt>
        <w:sdtPr>
          <w:rPr>
            <w:sz w:val="24"/>
            <w:szCs w:val="24"/>
          </w:rPr>
          <w:id w:val="567532354"/>
          <w:citation/>
        </w:sdtPr>
        <w:sdtContent>
          <w:r w:rsidR="00827012">
            <w:rPr>
              <w:sz w:val="24"/>
              <w:szCs w:val="24"/>
            </w:rPr>
            <w:fldChar w:fldCharType="begin"/>
          </w:r>
          <w:r w:rsidR="00827012">
            <w:rPr>
              <w:sz w:val="24"/>
              <w:szCs w:val="24"/>
            </w:rPr>
            <w:instrText xml:space="preserve"> CITATION Kha18 \l 1033 </w:instrText>
          </w:r>
          <w:r w:rsidR="00827012">
            <w:rPr>
              <w:sz w:val="24"/>
              <w:szCs w:val="24"/>
            </w:rPr>
            <w:fldChar w:fldCharType="separate"/>
          </w:r>
          <w:r w:rsidR="00D675DF" w:rsidRPr="00D675DF">
            <w:rPr>
              <w:noProof/>
              <w:sz w:val="24"/>
              <w:szCs w:val="24"/>
            </w:rPr>
            <w:t>[15]</w:t>
          </w:r>
          <w:r w:rsidR="00827012">
            <w:rPr>
              <w:sz w:val="24"/>
              <w:szCs w:val="24"/>
            </w:rPr>
            <w:fldChar w:fldCharType="end"/>
          </w:r>
        </w:sdtContent>
      </w:sdt>
      <w:r w:rsidRPr="00256424">
        <w:rPr>
          <w:sz w:val="24"/>
          <w:szCs w:val="24"/>
        </w:rPr>
        <w:t xml:space="preserve">. Within BD, altered interoceptive and autonomic regulation could plausibly contribute to mood instability and affective dysregulation, consistent with network models that emphasize dynamic interactions between bodily state, salience, and affective-control systems </w:t>
      </w:r>
      <w:sdt>
        <w:sdtPr>
          <w:rPr>
            <w:sz w:val="24"/>
            <w:szCs w:val="24"/>
          </w:rPr>
          <w:id w:val="-824129811"/>
          <w:citation/>
        </w:sdtPr>
        <w:sdtContent>
          <w:r w:rsidR="00360193">
            <w:rPr>
              <w:sz w:val="24"/>
              <w:szCs w:val="24"/>
            </w:rPr>
            <w:fldChar w:fldCharType="begin"/>
          </w:r>
          <w:r w:rsidR="00360193">
            <w:rPr>
              <w:sz w:val="24"/>
              <w:szCs w:val="24"/>
            </w:rPr>
            <w:instrText xml:space="preserve"> CITATION Per19 \l 1033 </w:instrText>
          </w:r>
          <w:r w:rsidR="00360193">
            <w:rPr>
              <w:sz w:val="24"/>
              <w:szCs w:val="24"/>
            </w:rPr>
            <w:fldChar w:fldCharType="separate"/>
          </w:r>
          <w:r w:rsidR="00D675DF" w:rsidRPr="00D675DF">
            <w:rPr>
              <w:noProof/>
              <w:sz w:val="24"/>
              <w:szCs w:val="24"/>
            </w:rPr>
            <w:t>[4]</w:t>
          </w:r>
          <w:r w:rsidR="00360193">
            <w:rPr>
              <w:sz w:val="24"/>
              <w:szCs w:val="24"/>
            </w:rPr>
            <w:fldChar w:fldCharType="end"/>
          </w:r>
        </w:sdtContent>
      </w:sdt>
      <w:r w:rsidRPr="00256424">
        <w:rPr>
          <w:sz w:val="24"/>
          <w:szCs w:val="24"/>
        </w:rPr>
        <w:t xml:space="preserve">. </w:t>
      </w:r>
      <w:r w:rsidR="000E6180">
        <w:rPr>
          <w:sz w:val="24"/>
          <w:szCs w:val="24"/>
        </w:rPr>
        <w:t xml:space="preserve">A recent </w:t>
      </w:r>
      <w:r w:rsidR="000E6180" w:rsidRPr="000E6180">
        <w:rPr>
          <w:sz w:val="24"/>
          <w:szCs w:val="24"/>
        </w:rPr>
        <w:t>study in bipolar II depression found reduced interoceptive sensibility and evidence that interoceptive sensibility mediated emotional dysregulation</w:t>
      </w:r>
      <w:r w:rsidR="0019723C">
        <w:rPr>
          <w:sz w:val="24"/>
          <w:szCs w:val="24"/>
        </w:rPr>
        <w:t xml:space="preserve"> </w:t>
      </w:r>
      <w:sdt>
        <w:sdtPr>
          <w:rPr>
            <w:sz w:val="24"/>
            <w:szCs w:val="24"/>
          </w:rPr>
          <w:id w:val="1533451423"/>
          <w:citation/>
        </w:sdtPr>
        <w:sdtContent>
          <w:r w:rsidR="0019723C">
            <w:rPr>
              <w:sz w:val="24"/>
              <w:szCs w:val="24"/>
            </w:rPr>
            <w:fldChar w:fldCharType="begin"/>
          </w:r>
          <w:r w:rsidR="0019723C">
            <w:rPr>
              <w:sz w:val="24"/>
              <w:szCs w:val="24"/>
            </w:rPr>
            <w:instrText xml:space="preserve"> CITATION Alf25 \l 1033 </w:instrText>
          </w:r>
          <w:r w:rsidR="0019723C">
            <w:rPr>
              <w:sz w:val="24"/>
              <w:szCs w:val="24"/>
            </w:rPr>
            <w:fldChar w:fldCharType="separate"/>
          </w:r>
          <w:r w:rsidR="00D675DF" w:rsidRPr="00D675DF">
            <w:rPr>
              <w:noProof/>
              <w:sz w:val="24"/>
              <w:szCs w:val="24"/>
            </w:rPr>
            <w:t>[16]</w:t>
          </w:r>
          <w:r w:rsidR="0019723C">
            <w:rPr>
              <w:sz w:val="24"/>
              <w:szCs w:val="24"/>
            </w:rPr>
            <w:fldChar w:fldCharType="end"/>
          </w:r>
        </w:sdtContent>
      </w:sdt>
      <w:r w:rsidR="000E6180">
        <w:rPr>
          <w:sz w:val="24"/>
          <w:szCs w:val="24"/>
        </w:rPr>
        <w:t>.</w:t>
      </w:r>
      <w:r w:rsidR="000E6180" w:rsidRPr="000E6180">
        <w:rPr>
          <w:sz w:val="24"/>
          <w:szCs w:val="24"/>
        </w:rPr>
        <w:t xml:space="preserve"> </w:t>
      </w:r>
      <w:r w:rsidR="000E6180">
        <w:rPr>
          <w:sz w:val="24"/>
          <w:szCs w:val="24"/>
        </w:rPr>
        <w:t>Moreover, y</w:t>
      </w:r>
      <w:r w:rsidR="000E6180" w:rsidRPr="000E6180">
        <w:rPr>
          <w:sz w:val="24"/>
          <w:szCs w:val="24"/>
        </w:rPr>
        <w:t xml:space="preserve">oung BD patients have been reported to show lower interoceptive sensitivity together with higher somatic and mood symptoms </w:t>
      </w:r>
      <w:sdt>
        <w:sdtPr>
          <w:rPr>
            <w:sz w:val="24"/>
            <w:szCs w:val="24"/>
          </w:rPr>
          <w:id w:val="-605270918"/>
          <w:citation/>
        </w:sdtPr>
        <w:sdtContent>
          <w:r w:rsidR="006E7E21">
            <w:rPr>
              <w:sz w:val="24"/>
              <w:szCs w:val="24"/>
            </w:rPr>
            <w:fldChar w:fldCharType="begin"/>
          </w:r>
          <w:r w:rsidR="006E7E21">
            <w:rPr>
              <w:sz w:val="24"/>
              <w:szCs w:val="24"/>
            </w:rPr>
            <w:instrText xml:space="preserve"> CITATION LvJ25 \l 1033 </w:instrText>
          </w:r>
          <w:r w:rsidR="006E7E21">
            <w:rPr>
              <w:sz w:val="24"/>
              <w:szCs w:val="24"/>
            </w:rPr>
            <w:fldChar w:fldCharType="separate"/>
          </w:r>
          <w:r w:rsidR="00D675DF" w:rsidRPr="00D675DF">
            <w:rPr>
              <w:noProof/>
              <w:sz w:val="24"/>
              <w:szCs w:val="24"/>
            </w:rPr>
            <w:t>[17]</w:t>
          </w:r>
          <w:r w:rsidR="006E7E21">
            <w:rPr>
              <w:sz w:val="24"/>
              <w:szCs w:val="24"/>
            </w:rPr>
            <w:fldChar w:fldCharType="end"/>
          </w:r>
        </w:sdtContent>
      </w:sdt>
      <w:r w:rsidR="000E6180">
        <w:rPr>
          <w:sz w:val="24"/>
          <w:szCs w:val="24"/>
        </w:rPr>
        <w:t>.</w:t>
      </w:r>
      <w:r w:rsidR="00E37BDC">
        <w:rPr>
          <w:sz w:val="24"/>
          <w:szCs w:val="24"/>
        </w:rPr>
        <w:t xml:space="preserve"> </w:t>
      </w:r>
      <w:r w:rsidRPr="00256424">
        <w:rPr>
          <w:sz w:val="24"/>
          <w:szCs w:val="24"/>
        </w:rPr>
        <w:t>Nevertheless, resting EEG/ECG cannot determine whether a participant consciously perceived cardiac signals. It can instead test whether clinical state and familial risk are associated with spontaneous R-locked cortical field expression during a low-demand resting condition.</w:t>
      </w:r>
    </w:p>
    <w:p w14:paraId="119352EE" w14:textId="77777777" w:rsidR="006E6D4D" w:rsidRPr="00256424" w:rsidRDefault="00000000" w:rsidP="002D74F6">
      <w:pPr>
        <w:spacing w:before="120" w:after="0" w:line="360" w:lineRule="auto"/>
        <w:jc w:val="both"/>
        <w:rPr>
          <w:sz w:val="24"/>
          <w:szCs w:val="24"/>
        </w:rPr>
      </w:pPr>
      <w:r w:rsidRPr="00256424">
        <w:rPr>
          <w:sz w:val="24"/>
          <w:szCs w:val="24"/>
        </w:rPr>
        <w:t xml:space="preserve">Resting heartbeat-locked EEG analyses are methodologically challenging. The cardiac electrical field propagates to the scalp and can contaminate EEG averages time-locked to the heartbeat, with prominent effects around the QRS complex and T wave </w:t>
      </w:r>
      <w:sdt>
        <w:sdtPr>
          <w:rPr>
            <w:sz w:val="24"/>
            <w:szCs w:val="24"/>
          </w:rPr>
          <w:id w:val="104461229"/>
          <w:citation/>
        </w:sdtPr>
        <w:sdtContent>
          <w:r w:rsidR="0058142A">
            <w:rPr>
              <w:sz w:val="24"/>
              <w:szCs w:val="24"/>
            </w:rPr>
            <w:fldChar w:fldCharType="begin"/>
          </w:r>
          <w:r w:rsidR="0058142A">
            <w:rPr>
              <w:sz w:val="24"/>
              <w:szCs w:val="24"/>
            </w:rPr>
            <w:instrText xml:space="preserve"> CITATION Dir97 \l 1033 </w:instrText>
          </w:r>
          <w:r w:rsidR="0058142A">
            <w:rPr>
              <w:sz w:val="24"/>
              <w:szCs w:val="24"/>
            </w:rPr>
            <w:fldChar w:fldCharType="separate"/>
          </w:r>
          <w:r w:rsidR="00D675DF" w:rsidRPr="00D675DF">
            <w:rPr>
              <w:noProof/>
              <w:sz w:val="24"/>
              <w:szCs w:val="24"/>
            </w:rPr>
            <w:t>[18]</w:t>
          </w:r>
          <w:r w:rsidR="0058142A">
            <w:rPr>
              <w:sz w:val="24"/>
              <w:szCs w:val="24"/>
            </w:rPr>
            <w:fldChar w:fldCharType="end"/>
          </w:r>
        </w:sdtContent>
      </w:sdt>
      <w:r w:rsidRPr="00256424">
        <w:rPr>
          <w:sz w:val="24"/>
          <w:szCs w:val="24"/>
        </w:rPr>
        <w:t xml:space="preserve">. Pulse-related mechanical effects, cardiac-field artifact, filtering spillover, reference choices, and overlap with ongoing neural activity can all influence measured heartbeat-locked scalp potentials </w:t>
      </w:r>
      <w:sdt>
        <w:sdtPr>
          <w:rPr>
            <w:sz w:val="24"/>
            <w:szCs w:val="24"/>
          </w:rPr>
          <w:id w:val="-970582100"/>
          <w:citation/>
        </w:sdtPr>
        <w:sdtContent>
          <w:r w:rsidR="0058142A">
            <w:rPr>
              <w:sz w:val="24"/>
              <w:szCs w:val="24"/>
            </w:rPr>
            <w:fldChar w:fldCharType="begin"/>
          </w:r>
          <w:r w:rsidR="0058142A">
            <w:rPr>
              <w:sz w:val="24"/>
              <w:szCs w:val="24"/>
            </w:rPr>
            <w:instrText xml:space="preserve"> CITATION Par19 \l 1033  \m Dir97</w:instrText>
          </w:r>
          <w:r w:rsidR="0058142A">
            <w:rPr>
              <w:sz w:val="24"/>
              <w:szCs w:val="24"/>
            </w:rPr>
            <w:fldChar w:fldCharType="separate"/>
          </w:r>
          <w:r w:rsidR="00D675DF" w:rsidRPr="00D675DF">
            <w:rPr>
              <w:noProof/>
              <w:sz w:val="24"/>
              <w:szCs w:val="24"/>
            </w:rPr>
            <w:t>[10, 18]</w:t>
          </w:r>
          <w:r w:rsidR="0058142A">
            <w:rPr>
              <w:sz w:val="24"/>
              <w:szCs w:val="24"/>
            </w:rPr>
            <w:fldChar w:fldCharType="end"/>
          </w:r>
        </w:sdtContent>
      </w:sdt>
      <w:r w:rsidRPr="00256424">
        <w:rPr>
          <w:sz w:val="24"/>
          <w:szCs w:val="24"/>
        </w:rPr>
        <w:t xml:space="preserve">. These issues are especially relevant when group differences are tested in early post-R intervals. </w:t>
      </w:r>
      <w:r w:rsidR="00CD7FE0">
        <w:rPr>
          <w:sz w:val="24"/>
          <w:szCs w:val="24"/>
        </w:rPr>
        <w:t>R</w:t>
      </w:r>
      <w:r w:rsidR="002D74F6">
        <w:rPr>
          <w:sz w:val="24"/>
          <w:szCs w:val="24"/>
        </w:rPr>
        <w:t xml:space="preserve">ecent </w:t>
      </w:r>
      <w:r w:rsidR="002D74F6" w:rsidRPr="002D74F6">
        <w:rPr>
          <w:sz w:val="24"/>
          <w:szCs w:val="24"/>
        </w:rPr>
        <w:t>empirical work</w:t>
      </w:r>
      <w:r w:rsidR="00CD7FE0">
        <w:rPr>
          <w:sz w:val="24"/>
          <w:szCs w:val="24"/>
        </w:rPr>
        <w:t>s</w:t>
      </w:r>
      <w:r w:rsidR="002D74F6" w:rsidRPr="002D74F6">
        <w:rPr>
          <w:sz w:val="24"/>
          <w:szCs w:val="24"/>
        </w:rPr>
        <w:t xml:space="preserve"> on pseudotrial/surrogate procedures show</w:t>
      </w:r>
      <w:r w:rsidR="002D74F6">
        <w:rPr>
          <w:sz w:val="24"/>
          <w:szCs w:val="24"/>
        </w:rPr>
        <w:t>ed</w:t>
      </w:r>
      <w:r w:rsidR="002D74F6" w:rsidRPr="002D74F6">
        <w:rPr>
          <w:sz w:val="24"/>
          <w:szCs w:val="24"/>
        </w:rPr>
        <w:t xml:space="preserve"> that apparent HEP effects can reflect heartbeat-independent EEG activity unless appropriate negative-control procedures are used</w:t>
      </w:r>
      <w:r w:rsidR="00CD7FE0">
        <w:rPr>
          <w:sz w:val="24"/>
          <w:szCs w:val="24"/>
        </w:rPr>
        <w:t xml:space="preserve"> </w:t>
      </w:r>
      <w:sdt>
        <w:sdtPr>
          <w:rPr>
            <w:sz w:val="24"/>
            <w:szCs w:val="24"/>
          </w:rPr>
          <w:id w:val="-1812316210"/>
          <w:citation/>
        </w:sdtPr>
        <w:sdtContent>
          <w:r w:rsidR="00CD7FE0">
            <w:rPr>
              <w:sz w:val="24"/>
              <w:szCs w:val="24"/>
            </w:rPr>
            <w:fldChar w:fldCharType="begin"/>
          </w:r>
          <w:r w:rsidR="00CD7FE0">
            <w:rPr>
              <w:sz w:val="24"/>
              <w:szCs w:val="24"/>
            </w:rPr>
            <w:instrText xml:space="preserve"> CITATION Ste251 \l 1033 </w:instrText>
          </w:r>
          <w:r w:rsidR="00CD7FE0">
            <w:rPr>
              <w:sz w:val="24"/>
              <w:szCs w:val="24"/>
            </w:rPr>
            <w:fldChar w:fldCharType="separate"/>
          </w:r>
          <w:r w:rsidR="00D675DF" w:rsidRPr="00D675DF">
            <w:rPr>
              <w:noProof/>
              <w:sz w:val="24"/>
              <w:szCs w:val="24"/>
            </w:rPr>
            <w:t>[19]</w:t>
          </w:r>
          <w:r w:rsidR="00CD7FE0">
            <w:rPr>
              <w:sz w:val="24"/>
              <w:szCs w:val="24"/>
            </w:rPr>
            <w:fldChar w:fldCharType="end"/>
          </w:r>
        </w:sdtContent>
      </w:sdt>
      <w:r w:rsidR="002D74F6">
        <w:rPr>
          <w:sz w:val="24"/>
          <w:szCs w:val="24"/>
        </w:rPr>
        <w:t>.</w:t>
      </w:r>
      <w:r w:rsidR="002D74F6" w:rsidRPr="002D74F6">
        <w:rPr>
          <w:sz w:val="24"/>
          <w:szCs w:val="24"/>
        </w:rPr>
        <w:t xml:space="preserve"> </w:t>
      </w:r>
      <w:r w:rsidRPr="00256424">
        <w:rPr>
          <w:sz w:val="24"/>
          <w:szCs w:val="24"/>
        </w:rPr>
        <w:t>Therefore, analyses of passive resting R-locked activity require explicit artifact control, topographic diagnostics, and negative-control analyses rather than reliance on a single electrode or a traditional frontal HEP window.</w:t>
      </w:r>
    </w:p>
    <w:p w14:paraId="5BE12ADC" w14:textId="77777777" w:rsidR="006E6D4D" w:rsidRPr="00256424" w:rsidRDefault="00000000" w:rsidP="00256424">
      <w:pPr>
        <w:spacing w:before="120" w:after="0" w:line="360" w:lineRule="auto"/>
        <w:jc w:val="both"/>
        <w:rPr>
          <w:sz w:val="24"/>
          <w:szCs w:val="24"/>
        </w:rPr>
      </w:pPr>
      <w:r w:rsidRPr="00256424">
        <w:rPr>
          <w:sz w:val="24"/>
          <w:szCs w:val="24"/>
        </w:rPr>
        <w:t xml:space="preserve">The present study examined passive eyes-closed EEG/ECG data in healthy controls, unaffected siblings of BD patients, euthymic BD patients, and depressed BD patients. The primary aim was to test whether clinical </w:t>
      </w:r>
      <w:r w:rsidR="001F7B3C">
        <w:rPr>
          <w:sz w:val="24"/>
          <w:szCs w:val="24"/>
        </w:rPr>
        <w:t>group</w:t>
      </w:r>
      <w:r w:rsidRPr="00256424">
        <w:rPr>
          <w:sz w:val="24"/>
          <w:szCs w:val="24"/>
        </w:rPr>
        <w:t xml:space="preserve"> was associated with altered expression of an early 100-200 ms R-locked distributed EEG field after adjustment for age and sex. To reduce circularity and artifact sensitivity, the primary endpoint was computed as a leave-one-subject-out, group-blind topographic projection orthogonalized to the peri-R cardiac-field/topography template. We expected depressed BD patients to show altered </w:t>
      </w:r>
      <w:r w:rsidRPr="00256424">
        <w:rPr>
          <w:sz w:val="24"/>
          <w:szCs w:val="24"/>
        </w:rPr>
        <w:lastRenderedPageBreak/>
        <w:t>early R-locked field expression relative to healthy controls and euthymic BD patients. We further expected unaffected siblings to show either intermediate or non-significant differences relative to healthy controls, consistent with possible familial-risk or compensatory patterns. Specificity was evaluated by testing whether the primary effect persisted after peri-R cardiac-field, mean heart-rate, and lnRMSSD adjustment, and whether it was absent in an RR-adaptive pseudo-event negative-control analysis.</w:t>
      </w:r>
    </w:p>
    <w:p w14:paraId="68360ED0" w14:textId="77777777" w:rsidR="008677DA" w:rsidRPr="00014F2A" w:rsidRDefault="00000000" w:rsidP="00D23C0E">
      <w:pPr>
        <w:pStyle w:val="Heading1"/>
        <w:spacing w:before="240" w:line="360" w:lineRule="auto"/>
        <w:jc w:val="both"/>
        <w:rPr>
          <w:color w:val="000000" w:themeColor="text1"/>
          <w:sz w:val="40"/>
          <w:szCs w:val="40"/>
        </w:rPr>
      </w:pPr>
      <w:r w:rsidRPr="00014F2A">
        <w:rPr>
          <w:rFonts w:ascii="Times New Roman" w:eastAsia="Times New Roman" w:hAnsi="Times New Roman"/>
          <w:color w:val="000000" w:themeColor="text1"/>
          <w:sz w:val="32"/>
          <w:szCs w:val="40"/>
        </w:rPr>
        <w:t>Methods</w:t>
      </w:r>
    </w:p>
    <w:p w14:paraId="7CE33A0B" w14:textId="77777777" w:rsidR="008677DA" w:rsidRPr="006003F2" w:rsidRDefault="00000000" w:rsidP="00D23C0E">
      <w:pPr>
        <w:pStyle w:val="Heading2"/>
        <w:spacing w:before="0" w:line="360" w:lineRule="auto"/>
        <w:jc w:val="both"/>
        <w:rPr>
          <w:color w:val="000000" w:themeColor="text1"/>
          <w:sz w:val="32"/>
          <w:szCs w:val="32"/>
        </w:rPr>
      </w:pPr>
      <w:r w:rsidRPr="006003F2">
        <w:rPr>
          <w:rFonts w:ascii="Times New Roman" w:eastAsia="Times New Roman" w:hAnsi="Times New Roman"/>
          <w:color w:val="000000" w:themeColor="text1"/>
          <w:sz w:val="28"/>
          <w:szCs w:val="32"/>
        </w:rPr>
        <w:t>Study participants</w:t>
      </w:r>
    </w:p>
    <w:p w14:paraId="3436BB32" w14:textId="77777777" w:rsidR="008677DA" w:rsidRPr="00014F2A" w:rsidRDefault="00003AA3" w:rsidP="00003AA3">
      <w:pPr>
        <w:spacing w:after="0" w:line="360" w:lineRule="auto"/>
        <w:jc w:val="both"/>
        <w:rPr>
          <w:sz w:val="24"/>
          <w:szCs w:val="24"/>
        </w:rPr>
      </w:pPr>
      <w:r w:rsidRPr="00003AA3">
        <w:rPr>
          <w:color w:val="000000" w:themeColor="text1"/>
          <w:sz w:val="24"/>
          <w:szCs w:val="24"/>
        </w:rPr>
        <w:t xml:space="preserve">The analytic sample included </w:t>
      </w:r>
      <w:r w:rsidR="0073511A">
        <w:rPr>
          <w:color w:val="000000" w:themeColor="text1"/>
          <w:sz w:val="24"/>
          <w:szCs w:val="24"/>
        </w:rPr>
        <w:t>70</w:t>
      </w:r>
      <w:r w:rsidRPr="00003AA3">
        <w:rPr>
          <w:color w:val="000000" w:themeColor="text1"/>
          <w:sz w:val="24"/>
          <w:szCs w:val="24"/>
        </w:rPr>
        <w:t xml:space="preserve"> participants: 1</w:t>
      </w:r>
      <w:r w:rsidR="0073511A">
        <w:rPr>
          <w:color w:val="000000" w:themeColor="text1"/>
          <w:sz w:val="24"/>
          <w:szCs w:val="24"/>
        </w:rPr>
        <w:t>6</w:t>
      </w:r>
      <w:r w:rsidRPr="00003AA3">
        <w:rPr>
          <w:color w:val="000000" w:themeColor="text1"/>
          <w:sz w:val="24"/>
          <w:szCs w:val="24"/>
        </w:rPr>
        <w:t xml:space="preserve"> healthy controls (HC), 14 unaffected siblings of patients with bipolar disorder, 19 euthymic patients with bipolar disorder (BD), and 21 depressed patients with BD. Patients and siblings were recruited through the Centre Hospitalier Universitaire de Grenoble, France; HC were recruited through local advertisements. BD mood state and symptom severity were assessed on the day of testing using the Montgomery–Åsberg Depression Rating Scale (MADRS), Young Mania Rating Scale (YMRS), and Global Assessment of Functioning (GAF), administered by a trained psychiatrist. Demographic and clinical characteristics are summarized in Table 1.</w:t>
      </w:r>
    </w:p>
    <w:p w14:paraId="32B8491A" w14:textId="77777777" w:rsidR="000B36B7" w:rsidRDefault="00003AA3" w:rsidP="00003AA3">
      <w:pPr>
        <w:spacing w:before="120" w:after="0" w:line="360" w:lineRule="auto"/>
        <w:jc w:val="both"/>
        <w:rPr>
          <w:sz w:val="24"/>
          <w:szCs w:val="24"/>
        </w:rPr>
      </w:pPr>
      <w:r w:rsidRPr="00003AA3">
        <w:rPr>
          <w:rFonts w:cs="Times New Roman"/>
          <w:color w:val="202124"/>
          <w:sz w:val="24"/>
          <w:szCs w:val="24"/>
        </w:rPr>
        <w:t>The inclusion criterion for HC was age between 18 and 70 years, with no history of neuropsychiatric disorders. For individuals with BD, inclusion criteria were: (1) age between 18 and 70 years, and (2) meeting Diagnostic and Statistical Manual of Mental Disorders, Fifth Edition (DSM-5</w:t>
      </w:r>
      <w:r w:rsidR="0057633A">
        <w:rPr>
          <w:rFonts w:cs="Times New Roman"/>
          <w:color w:val="202124"/>
          <w:sz w:val="24"/>
          <w:szCs w:val="24"/>
        </w:rPr>
        <w:t>)</w:t>
      </w:r>
      <w:r w:rsidR="00B65930">
        <w:rPr>
          <w:rFonts w:cs="Times New Roman"/>
          <w:color w:val="202124"/>
          <w:sz w:val="24"/>
          <w:szCs w:val="24"/>
        </w:rPr>
        <w:t xml:space="preserve"> </w:t>
      </w:r>
      <w:r w:rsidR="00B65930" w:rsidRPr="00995894">
        <w:rPr>
          <w:rFonts w:cs="Times New Roman"/>
          <w:color w:val="202124"/>
          <w:sz w:val="24"/>
          <w:szCs w:val="24"/>
        </w:rPr>
        <w:t>for BD</w:t>
      </w:r>
      <w:r w:rsidR="00B65930" w:rsidRPr="004A0302">
        <w:rPr>
          <w:rFonts w:cs="Times New Roman"/>
          <w:color w:val="000000"/>
          <w:sz w:val="24"/>
          <w:szCs w:val="24"/>
        </w:rPr>
        <w:t>-</w:t>
      </w:r>
      <w:r w:rsidR="00B65930" w:rsidRPr="00995894">
        <w:rPr>
          <w:rFonts w:cs="Times New Roman"/>
          <w:color w:val="202124"/>
          <w:sz w:val="24"/>
          <w:szCs w:val="24"/>
        </w:rPr>
        <w:t>I or BD</w:t>
      </w:r>
      <w:r w:rsidR="00B65930" w:rsidRPr="004A0302">
        <w:rPr>
          <w:rFonts w:cs="Times New Roman"/>
          <w:color w:val="000000"/>
          <w:sz w:val="24"/>
          <w:szCs w:val="24"/>
        </w:rPr>
        <w:t>-</w:t>
      </w:r>
      <w:r w:rsidR="00B65930" w:rsidRPr="00995894">
        <w:rPr>
          <w:rFonts w:cs="Times New Roman"/>
          <w:color w:val="202124"/>
          <w:sz w:val="24"/>
          <w:szCs w:val="24"/>
        </w:rPr>
        <w:t>II</w:t>
      </w:r>
      <w:r w:rsidR="0057633A">
        <w:rPr>
          <w:rFonts w:cs="Times New Roman"/>
          <w:color w:val="202124"/>
          <w:sz w:val="24"/>
          <w:szCs w:val="24"/>
        </w:rPr>
        <w:t>.</w:t>
      </w:r>
      <w:r w:rsidRPr="00003AA3">
        <w:rPr>
          <w:rFonts w:cs="Times New Roman"/>
          <w:color w:val="202124"/>
          <w:sz w:val="24"/>
          <w:szCs w:val="24"/>
        </w:rPr>
        <w:t xml:space="preserve"> Individuals with BD in the depressive phase were receiving mood stabilizer treatment. Individuals with BD in the euthymic phase received either mood stabilizer monotherapy or, more commonly, a combination of medications. Medication categories are summarized in Table S1.</w:t>
      </w:r>
    </w:p>
    <w:p w14:paraId="62D93F6A" w14:textId="77777777" w:rsidR="008677DA" w:rsidRDefault="00003AA3" w:rsidP="00003AA3">
      <w:pPr>
        <w:spacing w:before="120" w:after="0" w:line="360" w:lineRule="auto"/>
        <w:jc w:val="both"/>
        <w:rPr>
          <w:rFonts w:cs="Times New Roman"/>
          <w:color w:val="202124"/>
          <w:sz w:val="24"/>
          <w:szCs w:val="24"/>
        </w:rPr>
      </w:pPr>
      <w:r w:rsidRPr="00003AA3">
        <w:rPr>
          <w:rFonts w:cs="Times New Roman"/>
          <w:color w:val="202124"/>
          <w:sz w:val="24"/>
          <w:szCs w:val="24"/>
        </w:rPr>
        <w:t>Participants were excluded if they met any of the following criteria: (1) premenstrual dysphoric disorder; or (2) symptoms or clinical status influenced by drug or alcohol use. Healthy participants with a family history of affective disorders were also excluded. The study was approved by the local ethics committee (Comité de Protection des Personnes, CPP Sud Est II; 2021-A00290-41) and adhered to the principles of the Declaration of Helsinki. All participants were informed of the purpose of the experiment, received a detailed explanation of the study procedures, and provided written informed consent before participation.</w:t>
      </w:r>
      <w:r w:rsidR="000B36B7" w:rsidRPr="000B36B7">
        <w:rPr>
          <w:rFonts w:cs="Times New Roman"/>
          <w:color w:val="202124"/>
          <w:sz w:val="24"/>
          <w:szCs w:val="24"/>
        </w:rPr>
        <w:t xml:space="preserve"> </w:t>
      </w:r>
    </w:p>
    <w:p w14:paraId="4535B603" w14:textId="77777777" w:rsidR="00CB1911" w:rsidRDefault="00CB1911" w:rsidP="00003AA3">
      <w:pPr>
        <w:spacing w:before="120" w:after="0" w:line="360" w:lineRule="auto"/>
        <w:jc w:val="both"/>
        <w:rPr>
          <w:rFonts w:cs="Times New Roman"/>
          <w:color w:val="202124"/>
          <w:sz w:val="24"/>
          <w:szCs w:val="24"/>
        </w:rPr>
      </w:pPr>
    </w:p>
    <w:p w14:paraId="43629E99" w14:textId="77777777" w:rsidR="000B36B7" w:rsidRPr="006003F2" w:rsidRDefault="000B36B7" w:rsidP="000B36B7">
      <w:pPr>
        <w:pBdr>
          <w:top w:val="nil"/>
          <w:left w:val="nil"/>
          <w:bottom w:val="nil"/>
          <w:right w:val="nil"/>
          <w:between w:val="nil"/>
        </w:pBdr>
        <w:spacing w:before="120" w:after="0" w:line="360" w:lineRule="auto"/>
        <w:jc w:val="both"/>
        <w:rPr>
          <w:rFonts w:cs="Times New Roman"/>
          <w:b/>
          <w:color w:val="000000" w:themeColor="text1"/>
          <w:sz w:val="28"/>
          <w:szCs w:val="28"/>
        </w:rPr>
      </w:pPr>
      <w:r w:rsidRPr="006003F2">
        <w:rPr>
          <w:rFonts w:cs="Times New Roman"/>
          <w:b/>
          <w:color w:val="000000" w:themeColor="text1"/>
          <w:sz w:val="28"/>
          <w:szCs w:val="28"/>
        </w:rPr>
        <w:lastRenderedPageBreak/>
        <w:t>Experimental paradigm</w:t>
      </w:r>
    </w:p>
    <w:p w14:paraId="396B2C4C" w14:textId="77777777" w:rsidR="008677DA" w:rsidRPr="000B36B7" w:rsidRDefault="00003AA3" w:rsidP="00003AA3">
      <w:pPr>
        <w:spacing w:after="0" w:line="360" w:lineRule="auto"/>
        <w:jc w:val="both"/>
        <w:rPr>
          <w:color w:val="000000" w:themeColor="text1"/>
          <w:sz w:val="24"/>
          <w:szCs w:val="24"/>
        </w:rPr>
      </w:pPr>
      <w:r w:rsidRPr="00003AA3">
        <w:rPr>
          <w:color w:val="000000" w:themeColor="text1"/>
          <w:sz w:val="24"/>
          <w:szCs w:val="24"/>
        </w:rPr>
        <w:t>Participants sat comfortably during a passive resting-state recording. Following a spoken instruction to close their eyes, participants kept their eyes closed until a subsequent spoken instruction to open their eyes. The resting-state recording lasted nominally three minutes. Participants were not instructed to attend to, count, or feel their heartbeats.</w:t>
      </w:r>
    </w:p>
    <w:p w14:paraId="5F8F3BD8" w14:textId="77777777" w:rsidR="008677DA" w:rsidRPr="006614BD" w:rsidRDefault="00000000" w:rsidP="006614BD">
      <w:pPr>
        <w:pBdr>
          <w:top w:val="nil"/>
          <w:left w:val="nil"/>
          <w:bottom w:val="nil"/>
          <w:right w:val="nil"/>
          <w:between w:val="nil"/>
        </w:pBdr>
        <w:spacing w:before="120" w:after="0" w:line="360" w:lineRule="auto"/>
        <w:jc w:val="both"/>
        <w:rPr>
          <w:b/>
          <w:bCs/>
          <w:color w:val="000000" w:themeColor="text1"/>
          <w:sz w:val="32"/>
          <w:szCs w:val="32"/>
        </w:rPr>
      </w:pPr>
      <w:r w:rsidRPr="006614BD">
        <w:rPr>
          <w:b/>
          <w:bCs/>
          <w:color w:val="000000" w:themeColor="text1"/>
          <w:sz w:val="28"/>
          <w:szCs w:val="32"/>
        </w:rPr>
        <w:t>EEG acquisition and processing</w:t>
      </w:r>
    </w:p>
    <w:p w14:paraId="14F7BE50" w14:textId="77777777" w:rsidR="008677DA" w:rsidRDefault="00003AA3" w:rsidP="00003AA3">
      <w:pPr>
        <w:spacing w:after="0" w:line="360" w:lineRule="auto"/>
        <w:contextualSpacing/>
        <w:jc w:val="both"/>
        <w:rPr>
          <w:sz w:val="24"/>
          <w:szCs w:val="24"/>
        </w:rPr>
      </w:pPr>
      <w:r w:rsidRPr="00003AA3">
        <w:rPr>
          <w:sz w:val="24"/>
          <w:szCs w:val="24"/>
        </w:rPr>
        <w:t>EEG data were recorded using a BrainVision ActiCAP active electrode system (Brain Products GmbH, Germany). Scalp electrodes followed the international 10-10 system. The online reference was placed anterior to Cz, and the ground electrode was placed on the forehead above the nasion. Vertical and horizontal electro-oculogram (vEOG and hEOG) were recorded from electrodes placed above and below the left eye and at the outer canthi. ECG was recorded from a dedicated channel. Signals were sampled at 1 kHz. Behavioral control and EEG acquisition ran on separate computers; hardware triggers and timestamps were saved for subsequent synchronization via a parallel-port interface.</w:t>
      </w:r>
    </w:p>
    <w:p w14:paraId="7F4CCBAA" w14:textId="77777777" w:rsidR="008677DA" w:rsidRPr="002E47FB" w:rsidRDefault="00003AA3" w:rsidP="00003AA3">
      <w:pPr>
        <w:spacing w:before="120" w:after="0" w:line="360" w:lineRule="auto"/>
        <w:jc w:val="both"/>
        <w:rPr>
          <w:sz w:val="24"/>
          <w:szCs w:val="24"/>
          <w:lang w:bidi="he-IL"/>
        </w:rPr>
      </w:pPr>
      <w:r w:rsidRPr="00003AA3">
        <w:rPr>
          <w:sz w:val="24"/>
          <w:szCs w:val="24"/>
        </w:rPr>
        <w:t>EEG preprocessing was performed in EEGLAB (v2026.0) using custom MATLAB routines. Raw BrainVision recordings were converted to EEGLAB format</w:t>
      </w:r>
      <w:r>
        <w:rPr>
          <w:sz w:val="24"/>
          <w:szCs w:val="24"/>
          <w:lang w:bidi="he-IL"/>
        </w:rPr>
        <w:t>.</w:t>
      </w:r>
      <w:r>
        <w:rPr>
          <w:rFonts w:hint="cs"/>
          <w:sz w:val="24"/>
          <w:szCs w:val="24"/>
          <w:rtl/>
          <w:lang w:bidi="he-IL"/>
        </w:rPr>
        <w:t xml:space="preserve"> </w:t>
      </w:r>
      <w:r w:rsidRPr="00003AA3">
        <w:rPr>
          <w:color w:val="000000" w:themeColor="text1"/>
          <w:sz w:val="24"/>
          <w:szCs w:val="24"/>
        </w:rPr>
        <w:t>To avoid transient auditory and orienting responses to the instruction, and to synchronize the EEG recording with the concurrent fNIRS protocol, which is not reported here, the analyzed resting interval began 8 s after the close-eyes cue and ended at the open-eyes cue</w:t>
      </w:r>
      <w:r>
        <w:rPr>
          <w:color w:val="000000" w:themeColor="text1"/>
          <w:sz w:val="24"/>
          <w:szCs w:val="24"/>
        </w:rPr>
        <w:t>.</w:t>
      </w:r>
    </w:p>
    <w:p w14:paraId="402E3956" w14:textId="77777777" w:rsidR="008677DA" w:rsidRPr="002E47FB" w:rsidRDefault="00003AA3" w:rsidP="00003AA3">
      <w:pPr>
        <w:spacing w:before="120" w:after="0" w:line="360" w:lineRule="auto"/>
        <w:jc w:val="both"/>
        <w:rPr>
          <w:sz w:val="24"/>
          <w:szCs w:val="24"/>
        </w:rPr>
      </w:pPr>
      <w:r w:rsidRPr="00003AA3">
        <w:rPr>
          <w:sz w:val="24"/>
          <w:szCs w:val="24"/>
        </w:rPr>
        <w:t>EEG and EOG channels were band-pass filtered with a finite-impulse-response filter (Hamming window, 0.5–40 Hz); the ECG channel was preserved for heartbeat detection and separately filtered only within the R-peak detection/QC procedure. Noisy channels were removed on visual inspection (90.0% of datasets; range 0–25; group medians: 2 BD depressed, 2 euthymic BD, 3.5 HC, 3.5 siblings). Independent component analysis was then applied to scalp EEG channels using extended Infomax ICA (runica), excluding auxiliary EOG and ECG channels from the decomposition. Components reflecting ocular activity, muscle activity, movement, or clear cardiac-field artifact were removed after visual inspection (5.7% of datasets required removal; range 0–5; median removed was 0 for all four groups).</w:t>
      </w:r>
    </w:p>
    <w:p w14:paraId="485A6664" w14:textId="77777777" w:rsidR="008677DA" w:rsidRPr="002E47FB" w:rsidRDefault="00003AA3" w:rsidP="00003AA3">
      <w:pPr>
        <w:spacing w:before="120" w:after="0" w:line="360" w:lineRule="auto"/>
        <w:jc w:val="both"/>
        <w:rPr>
          <w:sz w:val="24"/>
          <w:szCs w:val="24"/>
        </w:rPr>
      </w:pPr>
      <w:r w:rsidRPr="00003AA3">
        <w:rPr>
          <w:sz w:val="24"/>
          <w:szCs w:val="24"/>
        </w:rPr>
        <w:t xml:space="preserve">After component rejection, removed scalp EEG channels were interpolated to the original montage, and data were re-referenced to the average reference, excluding EOG and ECG channels. For the R-locked EEG analyses described below, the preprocessed scalp EEG channels were additionally low-pass filtered at 20 Hz; this step was applied to EEG channels only and did not alter ECG-based R-peak </w:t>
      </w:r>
      <w:r w:rsidRPr="00003AA3">
        <w:rPr>
          <w:sz w:val="24"/>
          <w:szCs w:val="24"/>
        </w:rPr>
        <w:lastRenderedPageBreak/>
        <w:t>annotations or heart-rate variability estimates. The final R-locked scalp-field analyses used 62 scalp EEG channels.</w:t>
      </w:r>
    </w:p>
    <w:p w14:paraId="4F16F57A" w14:textId="77777777" w:rsidR="008677DA" w:rsidRPr="006003F2" w:rsidRDefault="00003AA3" w:rsidP="00003AA3">
      <w:pPr>
        <w:pStyle w:val="Heading2"/>
        <w:spacing w:after="120" w:line="259" w:lineRule="auto"/>
        <w:jc w:val="both"/>
        <w:rPr>
          <w:color w:val="000000" w:themeColor="text1"/>
          <w:sz w:val="32"/>
          <w:szCs w:val="32"/>
          <w:rtl/>
          <w:lang w:bidi="he-IL"/>
        </w:rPr>
      </w:pPr>
      <w:r w:rsidRPr="00003AA3">
        <w:rPr>
          <w:rFonts w:ascii="Times New Roman" w:eastAsia="Times New Roman" w:hAnsi="Times New Roman"/>
          <w:color w:val="000000" w:themeColor="text1"/>
          <w:sz w:val="28"/>
          <w:szCs w:val="32"/>
        </w:rPr>
        <w:t>ECG beat detection and R-locked EEG waveform extraction</w:t>
      </w:r>
    </w:p>
    <w:p w14:paraId="3ED4196B" w14:textId="77777777" w:rsidR="008677DA" w:rsidRPr="006912BD" w:rsidRDefault="00003AA3" w:rsidP="00003AA3">
      <w:pPr>
        <w:spacing w:after="0" w:line="360" w:lineRule="auto"/>
        <w:jc w:val="both"/>
        <w:rPr>
          <w:sz w:val="24"/>
          <w:szCs w:val="24"/>
        </w:rPr>
      </w:pPr>
      <w:r w:rsidRPr="00003AA3">
        <w:rPr>
          <w:sz w:val="24"/>
          <w:szCs w:val="24"/>
        </w:rPr>
        <w:t>R-peaks were initially detected from a 1–20 Hz band-pass filtered ECG signal and were locally refined to the dominant QRS extremum in the raw ECG. For each subject, a custom MATLAB beat-marking interface allowed manual deletion of false detections, addition of missed beats, and marking of invalid ECG segments. The corrected good R-peak sequence was treated as authoritative. Manual beat-correction sidecar files were mandatory for the analysis. No automatic physiological-range or median absolute deviation (MAD) RR-interval rejection was applied after manual correction; only manually marked invalid ECG intervals were excluded from HRV estimation and R-locked EEG extraction.</w:t>
      </w:r>
    </w:p>
    <w:p w14:paraId="69DFFE60" w14:textId="77777777" w:rsidR="008677DA" w:rsidRDefault="00003AA3" w:rsidP="00003AA3">
      <w:pPr>
        <w:spacing w:before="120" w:after="0" w:line="360" w:lineRule="auto"/>
        <w:jc w:val="both"/>
        <w:rPr>
          <w:sz w:val="24"/>
          <w:szCs w:val="24"/>
          <w:lang w:bidi="he-IL"/>
        </w:rPr>
      </w:pPr>
      <w:r w:rsidRPr="00003AA3">
        <w:rPr>
          <w:sz w:val="24"/>
          <w:szCs w:val="24"/>
        </w:rPr>
        <w:t>R-locked EEG waveforms were extracted from epochs time-locked to manually accepted R-peaks. Epochs extended from −200 to 600 ms relative to the R-peak and were baseline corrected using the −150 to −50 ms interval. Epochs overlapping manually marked invalid ECG segments were excluded. Beat-level epochs were rejected if the absolute amplitude exceeded 70 µV in the full epoch, the baseline window, or the predefined 100–200 ms R-locked analysis window. Remaining beat-level amplitudes were screened within subject using a robust 5 × MAD rule. Subject-level all-channel R-locked waveforms were then generated from the retained epochs.</w:t>
      </w:r>
    </w:p>
    <w:p w14:paraId="512EA747" w14:textId="77777777" w:rsidR="008677DA" w:rsidRPr="006912BD" w:rsidRDefault="00000000" w:rsidP="006003F2">
      <w:pPr>
        <w:pStyle w:val="Heading2"/>
        <w:spacing w:before="120" w:line="360" w:lineRule="auto"/>
        <w:jc w:val="both"/>
        <w:rPr>
          <w:color w:val="000000" w:themeColor="text1"/>
          <w:sz w:val="28"/>
          <w:szCs w:val="28"/>
        </w:rPr>
      </w:pPr>
      <w:r w:rsidRPr="006912BD">
        <w:rPr>
          <w:rFonts w:ascii="Times New Roman" w:eastAsia="Times New Roman" w:hAnsi="Times New Roman"/>
          <w:color w:val="000000" w:themeColor="text1"/>
          <w:sz w:val="28"/>
          <w:szCs w:val="28"/>
        </w:rPr>
        <w:t>Statistical analysis</w:t>
      </w:r>
    </w:p>
    <w:p w14:paraId="05D4390C" w14:textId="77777777" w:rsidR="006912BD" w:rsidRDefault="00003AA3" w:rsidP="00003AA3">
      <w:pPr>
        <w:spacing w:after="0" w:line="360" w:lineRule="auto"/>
        <w:jc w:val="both"/>
        <w:rPr>
          <w:sz w:val="24"/>
          <w:szCs w:val="24"/>
        </w:rPr>
      </w:pPr>
      <w:r w:rsidRPr="00003AA3">
        <w:rPr>
          <w:sz w:val="24"/>
          <w:szCs w:val="24"/>
        </w:rPr>
        <w:t>Statistical analyses were performed using custom MATLAB (R2026a) routines. The analysis was designed to be low dimensional because of the modest sample size. The primary outcome was a subject-level passive resting R-locked distributed-field score in the 100–200 ms post-R interval. For each subject, scalp maps were averaged within predefined time windows using start-inclusive and end-exclusive millisecond boundaries. The peri-R cardiac-field activity/topography (CFA) window was defined as −25 to +25 ms, and the primary post-R window was defined as 100–200 ms. Scalp maps were mean-centered across channels before topographic scoring.</w:t>
      </w:r>
      <w:r w:rsidR="006912BD" w:rsidRPr="006912BD">
        <w:rPr>
          <w:sz w:val="24"/>
          <w:szCs w:val="24"/>
        </w:rPr>
        <w:t xml:space="preserve"> </w:t>
      </w:r>
    </w:p>
    <w:p w14:paraId="399D2434" w14:textId="77777777" w:rsidR="000A66F2" w:rsidRDefault="00003AA3" w:rsidP="00003AA3">
      <w:pPr>
        <w:spacing w:before="120" w:after="0" w:line="360" w:lineRule="auto"/>
        <w:jc w:val="both"/>
        <w:rPr>
          <w:sz w:val="24"/>
          <w:szCs w:val="24"/>
        </w:rPr>
      </w:pPr>
      <w:r w:rsidRPr="00003AA3">
        <w:rPr>
          <w:sz w:val="24"/>
          <w:szCs w:val="24"/>
        </w:rPr>
        <w:t>The primary 100–200 ms field score was computed as a leave-one-subject-out</w:t>
      </w:r>
      <w:r w:rsidR="007B7918">
        <w:rPr>
          <w:sz w:val="24"/>
          <w:szCs w:val="24"/>
        </w:rPr>
        <w:t xml:space="preserve"> (LOSO)</w:t>
      </w:r>
      <w:r w:rsidRPr="00003AA3">
        <w:rPr>
          <w:sz w:val="24"/>
          <w:szCs w:val="24"/>
        </w:rPr>
        <w:t xml:space="preserve">, group-blind topographic projection. For each participant, the 100–200 ms scalp map was projected onto a distributed-field template constructed from all other participants. To reduce sensitivity to peri-R cardiac-field activity, the 100–200 ms template was orthogonalized with respect to the peri-R CFA template. Template weights were normalized by the L1 norm. The arbitrary sign of the primary field score was oriented so that the HC group mean was positive. Thus, positive values indicate stronger </w:t>
      </w:r>
      <w:r w:rsidRPr="00003AA3">
        <w:rPr>
          <w:sz w:val="24"/>
          <w:szCs w:val="24"/>
        </w:rPr>
        <w:lastRenderedPageBreak/>
        <w:t>expression of the group-blind, CFA-orthogonalized 100–200 ms field in the HC-positive orientation, and do not indicate positive voltage polarity at any individual electrode.</w:t>
      </w:r>
    </w:p>
    <w:p w14:paraId="5C82A41F" w14:textId="77777777" w:rsidR="000A66F2" w:rsidRDefault="00003AA3" w:rsidP="00003AA3">
      <w:pPr>
        <w:spacing w:before="120" w:after="0" w:line="360" w:lineRule="auto"/>
        <w:jc w:val="both"/>
        <w:rPr>
          <w:sz w:val="24"/>
          <w:szCs w:val="24"/>
        </w:rPr>
      </w:pPr>
      <w:r w:rsidRPr="00003AA3">
        <w:rPr>
          <w:sz w:val="24"/>
          <w:szCs w:val="24"/>
        </w:rPr>
        <w:t xml:space="preserve">The primary model tested whether the 100–200 ms R-locked field score differed by clinical </w:t>
      </w:r>
      <w:r w:rsidR="001F7B3C">
        <w:rPr>
          <w:sz w:val="24"/>
          <w:szCs w:val="24"/>
        </w:rPr>
        <w:t>group</w:t>
      </w:r>
      <w:r w:rsidRPr="00003AA3">
        <w:rPr>
          <w:sz w:val="24"/>
          <w:szCs w:val="24"/>
        </w:rPr>
        <w:t xml:space="preserve"> after adjustment for age and sex:</w:t>
      </w:r>
    </w:p>
    <w:p w14:paraId="1ADF332C" w14:textId="77777777" w:rsidR="000A66F2" w:rsidRDefault="000A66F2" w:rsidP="00FC6512">
      <w:pPr>
        <w:spacing w:after="0" w:line="360" w:lineRule="auto"/>
        <w:jc w:val="center"/>
        <w:rPr>
          <w:sz w:val="24"/>
          <w:szCs w:val="24"/>
        </w:rPr>
      </w:pPr>
      <w:r w:rsidRPr="000A66F2">
        <w:rPr>
          <w:sz w:val="24"/>
          <w:szCs w:val="24"/>
        </w:rPr>
        <w:t xml:space="preserve">RLocked100to200FieldScore ~ </w:t>
      </w:r>
      <w:r w:rsidR="00FC6512" w:rsidRPr="00FC6512">
        <w:rPr>
          <w:sz w:val="24"/>
          <w:szCs w:val="24"/>
        </w:rPr>
        <w:t xml:space="preserve">clinical </w:t>
      </w:r>
      <w:r w:rsidR="001F7B3C">
        <w:rPr>
          <w:sz w:val="24"/>
          <w:szCs w:val="24"/>
        </w:rPr>
        <w:t>group</w:t>
      </w:r>
      <w:r w:rsidR="00FC6512" w:rsidRPr="00FC6512">
        <w:rPr>
          <w:sz w:val="24"/>
          <w:szCs w:val="24"/>
        </w:rPr>
        <w:t xml:space="preserve"> </w:t>
      </w:r>
      <w:r w:rsidRPr="000A66F2">
        <w:rPr>
          <w:sz w:val="24"/>
          <w:szCs w:val="24"/>
        </w:rPr>
        <w:t>+ Age + Sex</w:t>
      </w:r>
    </w:p>
    <w:p w14:paraId="7FBAE6C3" w14:textId="77777777" w:rsidR="000A66F2" w:rsidRDefault="00FC6512" w:rsidP="00003AA3">
      <w:pPr>
        <w:spacing w:after="0" w:line="360" w:lineRule="auto"/>
        <w:jc w:val="both"/>
        <w:rPr>
          <w:sz w:val="24"/>
          <w:szCs w:val="24"/>
        </w:rPr>
      </w:pPr>
      <w:r>
        <w:rPr>
          <w:sz w:val="24"/>
          <w:szCs w:val="24"/>
        </w:rPr>
        <w:t xml:space="preserve">Clinical </w:t>
      </w:r>
      <w:r w:rsidR="001F7B3C">
        <w:rPr>
          <w:sz w:val="24"/>
          <w:szCs w:val="24"/>
        </w:rPr>
        <w:t>group</w:t>
      </w:r>
      <w:r w:rsidR="00003AA3" w:rsidRPr="00003AA3">
        <w:rPr>
          <w:sz w:val="24"/>
          <w:szCs w:val="24"/>
        </w:rPr>
        <w:t xml:space="preserve"> was modeled as a four-level categorical factor: HC, unaffected siblings, euthymic BD, and depressed BD. The primary inference consisted of a four-level </w:t>
      </w:r>
      <w:r>
        <w:rPr>
          <w:sz w:val="24"/>
          <w:szCs w:val="24"/>
        </w:rPr>
        <w:t xml:space="preserve">clinical </w:t>
      </w:r>
      <w:r w:rsidR="001F7B3C">
        <w:rPr>
          <w:sz w:val="24"/>
          <w:szCs w:val="24"/>
        </w:rPr>
        <w:t>group</w:t>
      </w:r>
      <w:r w:rsidR="00003AA3" w:rsidRPr="00003AA3">
        <w:rPr>
          <w:sz w:val="24"/>
          <w:szCs w:val="24"/>
        </w:rPr>
        <w:t xml:space="preserve"> omnibus test followed by planned contrasts: depressed BD vs HC, depressed BD vs euthymic BD, depressed BD vs siblings, siblings vs HC, and euthymic BD vs HC. Model estimates and 95% confidence intervals were obtained from ordinary least-squares models. Inference was based on Freedman–Lane permutation p values, using 100,000 permutations for the primary and secondary model families. Holm correction was applied across the planned </w:t>
      </w:r>
      <w:r>
        <w:rPr>
          <w:sz w:val="24"/>
          <w:szCs w:val="24"/>
        </w:rPr>
        <w:t xml:space="preserve">clinical </w:t>
      </w:r>
      <w:r w:rsidR="001F7B3C">
        <w:rPr>
          <w:sz w:val="24"/>
          <w:szCs w:val="24"/>
        </w:rPr>
        <w:t>group</w:t>
      </w:r>
      <w:r w:rsidR="00003AA3" w:rsidRPr="00003AA3">
        <w:rPr>
          <w:sz w:val="24"/>
          <w:szCs w:val="24"/>
        </w:rPr>
        <w:t xml:space="preserve"> contrasts. Statistical significance was set at α = 0.05.</w:t>
      </w:r>
    </w:p>
    <w:p w14:paraId="4033C77E" w14:textId="77777777" w:rsidR="000A66F2" w:rsidRDefault="00003AA3" w:rsidP="00003AA3">
      <w:pPr>
        <w:spacing w:before="120" w:after="0" w:line="360" w:lineRule="auto"/>
        <w:jc w:val="both"/>
        <w:rPr>
          <w:sz w:val="24"/>
          <w:szCs w:val="24"/>
        </w:rPr>
      </w:pPr>
      <w:r w:rsidRPr="00003AA3">
        <w:rPr>
          <w:sz w:val="24"/>
          <w:szCs w:val="24"/>
        </w:rPr>
        <w:t>A supportive ordinal trend analysis was also performed using a prespecified risk/state gradient coded as HC = 0, siblings = 1, euthymic BD = 2, and depressed BD = 3. This analysis was retained as supportive and was not treated as the primary biological inference.</w:t>
      </w:r>
    </w:p>
    <w:p w14:paraId="1D7901F8" w14:textId="77777777" w:rsidR="000A66F2" w:rsidRDefault="00003AA3" w:rsidP="00003AA3">
      <w:pPr>
        <w:spacing w:before="120" w:after="0" w:line="360" w:lineRule="auto"/>
        <w:jc w:val="both"/>
        <w:rPr>
          <w:sz w:val="24"/>
          <w:szCs w:val="24"/>
        </w:rPr>
      </w:pPr>
      <w:r w:rsidRPr="00003AA3">
        <w:rPr>
          <w:sz w:val="24"/>
          <w:szCs w:val="24"/>
        </w:rPr>
        <w:t>Secondary analyses tested whether clinical-</w:t>
      </w:r>
      <w:r w:rsidR="001F7B3C">
        <w:rPr>
          <w:sz w:val="24"/>
          <w:szCs w:val="24"/>
        </w:rPr>
        <w:t>group</w:t>
      </w:r>
      <w:r w:rsidRPr="00003AA3">
        <w:rPr>
          <w:sz w:val="24"/>
          <w:szCs w:val="24"/>
        </w:rPr>
        <w:t xml:space="preserve"> effects were present in adjacent or related post-R endpoints. These included the CFA-orthogonalized 200–300 ms distributed-field score, the CFA-orthogonalized 300–400 ms distributed-field score, and 200–300 ms global field power. Four-level </w:t>
      </w:r>
      <w:r w:rsidR="00FC6512">
        <w:rPr>
          <w:sz w:val="24"/>
          <w:szCs w:val="24"/>
        </w:rPr>
        <w:t xml:space="preserve">clinical </w:t>
      </w:r>
      <w:r w:rsidR="001F7B3C">
        <w:rPr>
          <w:sz w:val="24"/>
          <w:szCs w:val="24"/>
        </w:rPr>
        <w:t>group</w:t>
      </w:r>
      <w:r w:rsidRPr="00003AA3">
        <w:rPr>
          <w:sz w:val="24"/>
          <w:szCs w:val="24"/>
        </w:rPr>
        <w:t xml:space="preserve"> omnibus tests were performed for these secondary endpoints with age and sex as covariates, and Holm correction was applied across the secondary omnibus tests. For the 200–300 ms and 300–400 ms distributed-field scores, planned depressed BD vs HC and depressed BD vs euthymic BD contrasts were also examined as adjacent-window sensitivity analyses.</w:t>
      </w:r>
    </w:p>
    <w:p w14:paraId="464D4EBA" w14:textId="77777777" w:rsidR="000A66F2" w:rsidRDefault="00003AA3" w:rsidP="00003AA3">
      <w:pPr>
        <w:spacing w:before="120" w:after="0" w:line="360" w:lineRule="auto"/>
        <w:jc w:val="both"/>
        <w:rPr>
          <w:sz w:val="24"/>
          <w:szCs w:val="24"/>
        </w:rPr>
      </w:pPr>
      <w:r w:rsidRPr="00003AA3">
        <w:rPr>
          <w:sz w:val="24"/>
          <w:szCs w:val="24"/>
        </w:rPr>
        <w:t>Exploratory BD-only clinical analyses examined associations between the primary 100–200 ms field score and MADRS, YMRS, GAF, and medication burden among BD participants. These models included age and sex as covariates. For MADRS and GAF, BD mood state was additionally included as a covariate, coded as depressed BD = 1 and euthymic BD = 0. False-discovery-rate correction was applied across the BD-only exploratory clinical associations.</w:t>
      </w:r>
    </w:p>
    <w:p w14:paraId="1ED201ED" w14:textId="77777777" w:rsidR="000A66F2" w:rsidRPr="000A66F2" w:rsidRDefault="00003AA3" w:rsidP="00003AA3">
      <w:pPr>
        <w:spacing w:before="120" w:after="0" w:line="360" w:lineRule="auto"/>
        <w:jc w:val="both"/>
        <w:rPr>
          <w:sz w:val="24"/>
          <w:szCs w:val="24"/>
        </w:rPr>
      </w:pPr>
      <w:r w:rsidRPr="00003AA3">
        <w:rPr>
          <w:sz w:val="24"/>
          <w:szCs w:val="24"/>
        </w:rPr>
        <w:t xml:space="preserve">An exploratory channel × time cluster-permutation analysis was used only for spatiotemporal localization and was not used to define the primary endpoint. This analysis focused on the depressed BD vs HC contrast, adjusted for age and sex, within the 100–400 ms post-R interval. The channel × time grid was downsampled using nearest-neighbor selection to an approximately 20 ms time step. </w:t>
      </w:r>
      <w:r w:rsidRPr="00003AA3">
        <w:rPr>
          <w:sz w:val="24"/>
          <w:szCs w:val="24"/>
        </w:rPr>
        <w:lastRenderedPageBreak/>
        <w:t>Clusters were formed using a two-sided cluster-forming threshold of p &lt; 0.05, with channel adjacency estimated from electrode coordinates. Cluster-level family-wise error correction was based on the maximum cluster mass distribution from 10,000 Freedman–Lane permutations.</w:t>
      </w:r>
    </w:p>
    <w:p w14:paraId="79A09818" w14:textId="77777777" w:rsidR="008677DA" w:rsidRDefault="00000000" w:rsidP="006912BD">
      <w:pPr>
        <w:pStyle w:val="Heading2"/>
        <w:spacing w:before="120" w:line="360" w:lineRule="auto"/>
        <w:jc w:val="both"/>
        <w:rPr>
          <w:rFonts w:ascii="Times New Roman" w:eastAsia="Times New Roman" w:hAnsi="Times New Roman"/>
          <w:color w:val="000000" w:themeColor="text1"/>
          <w:sz w:val="28"/>
          <w:szCs w:val="28"/>
        </w:rPr>
      </w:pPr>
      <w:r w:rsidRPr="006003F2">
        <w:rPr>
          <w:rFonts w:ascii="Times New Roman" w:eastAsia="Times New Roman" w:hAnsi="Times New Roman"/>
          <w:color w:val="000000" w:themeColor="text1"/>
          <w:sz w:val="28"/>
          <w:szCs w:val="28"/>
        </w:rPr>
        <w:t>Sensitivity tests</w:t>
      </w:r>
    </w:p>
    <w:p w14:paraId="20F7B700" w14:textId="77777777" w:rsidR="000A66F2" w:rsidRDefault="00003AA3" w:rsidP="00003AA3">
      <w:pPr>
        <w:spacing w:after="0" w:line="360" w:lineRule="auto"/>
        <w:contextualSpacing/>
        <w:jc w:val="both"/>
        <w:rPr>
          <w:sz w:val="24"/>
          <w:szCs w:val="24"/>
        </w:rPr>
      </w:pPr>
      <w:r w:rsidRPr="00003AA3">
        <w:rPr>
          <w:sz w:val="24"/>
          <w:szCs w:val="24"/>
        </w:rPr>
        <w:t xml:space="preserve">Several prespecified sensitivity analyses were performed to assess whether the primary 100–200 ms </w:t>
      </w:r>
      <w:r w:rsidR="00FC6512">
        <w:rPr>
          <w:sz w:val="24"/>
          <w:szCs w:val="24"/>
        </w:rPr>
        <w:t xml:space="preserve">clinical </w:t>
      </w:r>
      <w:r w:rsidR="001F7B3C">
        <w:rPr>
          <w:sz w:val="24"/>
          <w:szCs w:val="24"/>
        </w:rPr>
        <w:t>group</w:t>
      </w:r>
      <w:r w:rsidRPr="00003AA3">
        <w:rPr>
          <w:sz w:val="24"/>
          <w:szCs w:val="24"/>
        </w:rPr>
        <w:t xml:space="preserve"> effect was robust to peri-R cardiac-field activity, cardiac physiology, and pseudo-event timing.</w:t>
      </w:r>
    </w:p>
    <w:p w14:paraId="5A342C3A" w14:textId="77777777" w:rsidR="000A66F2" w:rsidRDefault="00003AA3" w:rsidP="00003AA3">
      <w:pPr>
        <w:spacing w:before="120" w:after="0" w:line="360" w:lineRule="auto"/>
        <w:jc w:val="both"/>
        <w:rPr>
          <w:sz w:val="24"/>
          <w:szCs w:val="24"/>
        </w:rPr>
      </w:pPr>
      <w:r w:rsidRPr="00003AA3">
        <w:rPr>
          <w:sz w:val="24"/>
          <w:szCs w:val="24"/>
        </w:rPr>
        <w:t>First, the primary model was repeated after adding the peri-R CFA score as an additional covariate. This tested whether the 100–200 ms distributed-field effect persisted after accounting for subject-level expression of the −25 to +25 ms peri-R cardiac-field template.</w:t>
      </w:r>
    </w:p>
    <w:p w14:paraId="51E2B3F1" w14:textId="4F6C057A" w:rsidR="00887BF9" w:rsidRDefault="00003AA3" w:rsidP="00BB7DB3">
      <w:pPr>
        <w:spacing w:before="120" w:after="0" w:line="360" w:lineRule="auto"/>
        <w:jc w:val="both"/>
      </w:pPr>
      <w:r w:rsidRPr="00003AA3">
        <w:rPr>
          <w:sz w:val="24"/>
          <w:szCs w:val="24"/>
        </w:rPr>
        <w:t>Second, the primary model was repeated after adding cardiac physiology covariates. Mean heart rate and lnRMSSD were each entered in separate sensitivity models, in addition to age and sex. These analyses tested whether the primary field effect was explained by between-subject differences in mean heart rate or vagal heart-rate variability.</w:t>
      </w:r>
      <w:r w:rsidR="00BB7DB3">
        <w:rPr>
          <w:sz w:val="24"/>
          <w:szCs w:val="24"/>
        </w:rPr>
        <w:t xml:space="preserve"> </w:t>
      </w:r>
      <w:r w:rsidR="00000000">
        <w:rPr>
          <w:sz w:val="24"/>
          <w:szCs w:val="24"/>
        </w:rPr>
        <w:t>Because cigarette use may be relevant to autonomic and cardio-cortical physiology, a post hoc smoking-adjusted sensitivity model additionally included daily cigarettes as a covariate.</w:t>
      </w:r>
    </w:p>
    <w:p w14:paraId="011E0DE7" w14:textId="77777777" w:rsidR="000A66F2" w:rsidRDefault="00003AA3" w:rsidP="00003AA3">
      <w:pPr>
        <w:spacing w:before="120" w:after="0" w:line="360" w:lineRule="auto"/>
        <w:jc w:val="both"/>
        <w:rPr>
          <w:sz w:val="24"/>
          <w:szCs w:val="24"/>
        </w:rPr>
      </w:pPr>
      <w:r w:rsidRPr="00003AA3">
        <w:rPr>
          <w:sz w:val="24"/>
          <w:szCs w:val="24"/>
        </w:rPr>
        <w:t xml:space="preserve">Third, an RR-adaptive pseudo-event negative-control analysis was performed. Pseudo-events were generated within the same interbeat interval as the corresponding real R peak, using forward-only pseudo anchors constrained to avoid overlap with the real R peak and the next R peak. The pseudo-event 100–200 ms scalp maps were projected onto the same real R-locked 100–200 ms </w:t>
      </w:r>
      <w:r w:rsidR="007B7918">
        <w:rPr>
          <w:sz w:val="24"/>
          <w:szCs w:val="24"/>
        </w:rPr>
        <w:t xml:space="preserve">LOSO </w:t>
      </w:r>
      <w:r w:rsidRPr="00003AA3">
        <w:rPr>
          <w:sz w:val="24"/>
          <w:szCs w:val="24"/>
        </w:rPr>
        <w:t xml:space="preserve">template weights used for the primary endpoint. The same </w:t>
      </w:r>
      <w:r w:rsidR="00FC6512">
        <w:rPr>
          <w:sz w:val="24"/>
          <w:szCs w:val="24"/>
        </w:rPr>
        <w:t xml:space="preserve">clinical </w:t>
      </w:r>
      <w:r w:rsidR="001F7B3C">
        <w:rPr>
          <w:sz w:val="24"/>
          <w:szCs w:val="24"/>
        </w:rPr>
        <w:t>group</w:t>
      </w:r>
      <w:r w:rsidRPr="00003AA3">
        <w:rPr>
          <w:sz w:val="24"/>
          <w:szCs w:val="24"/>
        </w:rPr>
        <w:t xml:space="preserve"> model and planned contrasts were then applied to the pseudo-event field score. This analysis tested whether the observed group pattern was specific to true R-locked timing rather than reproducible around non-R-locked pseudo-events.</w:t>
      </w:r>
    </w:p>
    <w:p w14:paraId="7908193A" w14:textId="77777777" w:rsidR="00A06A99" w:rsidRPr="000A66F2" w:rsidRDefault="00003AA3" w:rsidP="00003AA3">
      <w:pPr>
        <w:spacing w:before="120" w:after="0" w:line="360" w:lineRule="auto"/>
        <w:jc w:val="both"/>
        <w:rPr>
          <w:sz w:val="24"/>
          <w:szCs w:val="24"/>
        </w:rPr>
      </w:pPr>
      <w:r w:rsidRPr="00003AA3">
        <w:rPr>
          <w:sz w:val="24"/>
          <w:szCs w:val="24"/>
        </w:rPr>
        <w:t xml:space="preserve">Finally, template reliability was evaluated for the primary 100–200 ms topographic template. Reliability diagnostics included </w:t>
      </w:r>
      <w:r w:rsidR="007B7918">
        <w:rPr>
          <w:sz w:val="24"/>
          <w:szCs w:val="24"/>
        </w:rPr>
        <w:t>LOSO</w:t>
      </w:r>
      <w:r w:rsidRPr="00003AA3">
        <w:rPr>
          <w:sz w:val="24"/>
          <w:szCs w:val="24"/>
        </w:rPr>
        <w:t xml:space="preserve"> weight stability relative to the pooled template, split-half template stability, bootstrap template-weight stability, and bootstrap subject-score stability. Split-half and bootstrap reliability analyses each used 2,000 iterations.</w:t>
      </w:r>
    </w:p>
    <w:p w14:paraId="46BCBCC2" w14:textId="77777777" w:rsidR="008677DA" w:rsidRDefault="00000000" w:rsidP="00A06A99">
      <w:pPr>
        <w:pStyle w:val="Heading1"/>
        <w:spacing w:before="240" w:line="360" w:lineRule="auto"/>
        <w:jc w:val="both"/>
        <w:rPr>
          <w:rFonts w:ascii="Times New Roman" w:eastAsia="Times New Roman" w:hAnsi="Times New Roman"/>
          <w:color w:val="000000" w:themeColor="text1"/>
          <w:sz w:val="32"/>
          <w:szCs w:val="40"/>
        </w:rPr>
      </w:pPr>
      <w:r w:rsidRPr="00C648B0">
        <w:rPr>
          <w:rFonts w:ascii="Times New Roman" w:eastAsia="Times New Roman" w:hAnsi="Times New Roman"/>
          <w:color w:val="000000" w:themeColor="text1"/>
          <w:sz w:val="32"/>
          <w:szCs w:val="40"/>
        </w:rPr>
        <w:lastRenderedPageBreak/>
        <w:t>Results</w:t>
      </w:r>
    </w:p>
    <w:p w14:paraId="51A23910" w14:textId="77777777" w:rsidR="000E10BB" w:rsidRPr="00A372E2" w:rsidRDefault="000E10BB" w:rsidP="000E10BB">
      <w:pPr>
        <w:pStyle w:val="Heading2"/>
        <w:spacing w:before="0" w:line="360" w:lineRule="auto"/>
        <w:jc w:val="both"/>
        <w:rPr>
          <w:rFonts w:ascii="Times New Roman" w:eastAsia="Times New Roman" w:hAnsi="Times New Roman"/>
          <w:color w:val="000000" w:themeColor="text1"/>
          <w:sz w:val="24"/>
          <w:szCs w:val="28"/>
        </w:rPr>
      </w:pPr>
      <w:r w:rsidRPr="00A372E2">
        <w:rPr>
          <w:rFonts w:ascii="Times New Roman" w:eastAsia="Times New Roman" w:hAnsi="Times New Roman"/>
          <w:color w:val="000000" w:themeColor="text1"/>
          <w:sz w:val="24"/>
          <w:szCs w:val="28"/>
        </w:rPr>
        <w:t>Healthy-control R-locked scalp-field morphology</w:t>
      </w:r>
    </w:p>
    <w:p w14:paraId="57740BCE" w14:textId="77777777" w:rsidR="000E10BB" w:rsidRPr="000E10BB" w:rsidRDefault="00003AA3" w:rsidP="00003AA3">
      <w:pPr>
        <w:spacing w:after="0" w:line="360" w:lineRule="auto"/>
        <w:jc w:val="both"/>
        <w:rPr>
          <w:sz w:val="24"/>
          <w:szCs w:val="24"/>
        </w:rPr>
      </w:pPr>
      <w:r w:rsidRPr="00003AA3">
        <w:rPr>
          <w:sz w:val="24"/>
          <w:szCs w:val="24"/>
        </w:rPr>
        <w:t>In HC, passive resting R-locked activity showed a spatially distributed scalp-field pattern rather than a focal frontal response. The peri-R CFA topography was maximal around the R peak, whereas the post-R 100–200 ms field showed a distinct distributed configuration over the scalp (Figure 1). This supported the use of topographic field scoring rather than a single-channel or frontal-region amplitude measure.</w:t>
      </w:r>
    </w:p>
    <w:p w14:paraId="19F5B461" w14:textId="77777777" w:rsidR="008677DA" w:rsidRPr="00A372E2" w:rsidRDefault="00003AA3" w:rsidP="00003AA3">
      <w:pPr>
        <w:pStyle w:val="Heading2"/>
        <w:spacing w:before="120" w:line="360" w:lineRule="auto"/>
        <w:jc w:val="both"/>
        <w:rPr>
          <w:color w:val="000000" w:themeColor="text1"/>
          <w:sz w:val="28"/>
          <w:szCs w:val="28"/>
        </w:rPr>
      </w:pPr>
      <w:r w:rsidRPr="00003AA3">
        <w:rPr>
          <w:rFonts w:ascii="Times New Roman" w:eastAsia="Times New Roman" w:hAnsi="Times New Roman"/>
          <w:color w:val="000000" w:themeColor="text1"/>
          <w:sz w:val="24"/>
          <w:szCs w:val="28"/>
        </w:rPr>
        <w:t xml:space="preserve">Early resting R-locked EEG field expression differed by clinical </w:t>
      </w:r>
      <w:r w:rsidR="001F7B3C">
        <w:rPr>
          <w:rFonts w:ascii="Times New Roman" w:eastAsia="Times New Roman" w:hAnsi="Times New Roman"/>
          <w:color w:val="000000" w:themeColor="text1"/>
          <w:sz w:val="24"/>
          <w:szCs w:val="28"/>
        </w:rPr>
        <w:t>group</w:t>
      </w:r>
    </w:p>
    <w:p w14:paraId="0215BF37" w14:textId="77777777" w:rsidR="008677DA" w:rsidRDefault="009A1F9F" w:rsidP="009A1F9F">
      <w:pPr>
        <w:spacing w:after="0" w:line="360" w:lineRule="auto"/>
        <w:jc w:val="both"/>
        <w:rPr>
          <w:color w:val="000000" w:themeColor="text1"/>
          <w:sz w:val="24"/>
          <w:szCs w:val="24"/>
          <w:lang w:bidi="he-IL"/>
        </w:rPr>
      </w:pPr>
      <w:r w:rsidRPr="009A1F9F">
        <w:rPr>
          <w:color w:val="000000" w:themeColor="text1"/>
          <w:sz w:val="24"/>
          <w:szCs w:val="24"/>
          <w:lang w:bidi="he-IL"/>
        </w:rPr>
        <w:t xml:space="preserve">The primary analysis tested whether the CFA-orthogonalized 100–200 ms R-locked distributed-field score differed across clinical </w:t>
      </w:r>
      <w:r w:rsidR="001F7B3C">
        <w:rPr>
          <w:color w:val="000000" w:themeColor="text1"/>
          <w:sz w:val="24"/>
          <w:szCs w:val="24"/>
          <w:lang w:bidi="he-IL"/>
        </w:rPr>
        <w:t>group</w:t>
      </w:r>
      <w:r w:rsidRPr="009A1F9F">
        <w:rPr>
          <w:color w:val="000000" w:themeColor="text1"/>
          <w:sz w:val="24"/>
          <w:szCs w:val="24"/>
          <w:lang w:bidi="he-IL"/>
        </w:rPr>
        <w:t xml:space="preserve">s after adjustment for age and sex. The four-level </w:t>
      </w:r>
      <w:r w:rsidR="00FC6512">
        <w:rPr>
          <w:color w:val="000000" w:themeColor="text1"/>
          <w:sz w:val="24"/>
          <w:szCs w:val="24"/>
          <w:lang w:bidi="he-IL"/>
        </w:rPr>
        <w:t xml:space="preserve">clinical </w:t>
      </w:r>
      <w:r w:rsidR="001F7B3C">
        <w:rPr>
          <w:color w:val="000000" w:themeColor="text1"/>
          <w:sz w:val="24"/>
          <w:szCs w:val="24"/>
          <w:lang w:bidi="he-IL"/>
        </w:rPr>
        <w:t>group</w:t>
      </w:r>
      <w:r w:rsidRPr="009A1F9F">
        <w:rPr>
          <w:color w:val="000000" w:themeColor="text1"/>
          <w:sz w:val="24"/>
          <w:szCs w:val="24"/>
          <w:lang w:bidi="he-IL"/>
        </w:rPr>
        <w:t xml:space="preserve"> omnibus test was significant, F(3, 64) = 4.09, permutation p = 0.0</w:t>
      </w:r>
      <w:r w:rsidR="0040084B">
        <w:rPr>
          <w:color w:val="000000" w:themeColor="text1"/>
          <w:sz w:val="24"/>
          <w:szCs w:val="24"/>
          <w:lang w:bidi="he-IL"/>
        </w:rPr>
        <w:t>10</w:t>
      </w:r>
      <w:r w:rsidRPr="009A1F9F">
        <w:rPr>
          <w:color w:val="000000" w:themeColor="text1"/>
          <w:sz w:val="24"/>
          <w:szCs w:val="24"/>
          <w:lang w:bidi="he-IL"/>
        </w:rPr>
        <w:t>, indicating a clinical-</w:t>
      </w:r>
      <w:r w:rsidR="001F7B3C">
        <w:rPr>
          <w:color w:val="000000" w:themeColor="text1"/>
          <w:sz w:val="24"/>
          <w:szCs w:val="24"/>
          <w:lang w:bidi="he-IL"/>
        </w:rPr>
        <w:t>group</w:t>
      </w:r>
      <w:r w:rsidRPr="009A1F9F">
        <w:rPr>
          <w:color w:val="000000" w:themeColor="text1"/>
          <w:sz w:val="24"/>
          <w:szCs w:val="24"/>
          <w:lang w:bidi="he-IL"/>
        </w:rPr>
        <w:t xml:space="preserve"> effect on early R-locked field expression.</w:t>
      </w:r>
    </w:p>
    <w:p w14:paraId="17554985" w14:textId="77777777" w:rsidR="00A24882" w:rsidRDefault="009A1F9F" w:rsidP="009A1F9F">
      <w:pPr>
        <w:spacing w:before="120" w:after="0" w:line="360" w:lineRule="auto"/>
        <w:jc w:val="both"/>
        <w:rPr>
          <w:color w:val="000000" w:themeColor="text1"/>
          <w:sz w:val="24"/>
          <w:szCs w:val="24"/>
          <w:lang w:bidi="he-IL"/>
        </w:rPr>
      </w:pPr>
      <w:r w:rsidRPr="009A1F9F">
        <w:rPr>
          <w:color w:val="000000" w:themeColor="text1"/>
          <w:sz w:val="24"/>
          <w:szCs w:val="24"/>
          <w:lang w:bidi="he-IL"/>
        </w:rPr>
        <w:t>Descriptively, the primary 100–200 ms field score was lowest in depressed BD patients (mean ± SD: −0.217 ± 0.230), intermediate in unaffected siblings (−0.128 ± 0.209), and close to zero in both euthymic BD patients (0.005 ± 0.254) and HC (0.005 ± 0.236; Figure 2). Because the field-score sign was oriented so that the HC mean was positive, lower values indicate reduced expression of the group-blind, CFA-orthogonalized 100–200 ms field in the HC-positive orientation, not negative voltage polarity at any individual electrode.</w:t>
      </w:r>
    </w:p>
    <w:p w14:paraId="3DF2310F" w14:textId="77777777" w:rsidR="00704692" w:rsidRDefault="009A1F9F" w:rsidP="009A1F9F">
      <w:pPr>
        <w:spacing w:before="120" w:after="0" w:line="360" w:lineRule="auto"/>
        <w:jc w:val="both"/>
        <w:rPr>
          <w:color w:val="000000" w:themeColor="text1"/>
          <w:sz w:val="24"/>
          <w:szCs w:val="24"/>
          <w:lang w:bidi="he-IL"/>
        </w:rPr>
      </w:pPr>
      <w:r w:rsidRPr="009A1F9F">
        <w:rPr>
          <w:color w:val="000000" w:themeColor="text1"/>
          <w:sz w:val="24"/>
          <w:szCs w:val="24"/>
          <w:lang w:bidi="he-IL"/>
        </w:rPr>
        <w:t>In the planned age- and sex-adjusted contrasts, depressed BD patients showed significantly lower 100–200 ms field scores than HC, estimate = −0.241, 95% CI [−0.401, −0.081], t(64) = −3.00, permutation p = 0.003</w:t>
      </w:r>
      <w:r w:rsidR="0040084B">
        <w:rPr>
          <w:color w:val="000000" w:themeColor="text1"/>
          <w:sz w:val="24"/>
          <w:szCs w:val="24"/>
          <w:lang w:bidi="he-IL"/>
        </w:rPr>
        <w:t>5</w:t>
      </w:r>
      <w:r w:rsidRPr="009A1F9F">
        <w:rPr>
          <w:color w:val="000000" w:themeColor="text1"/>
          <w:sz w:val="24"/>
          <w:szCs w:val="24"/>
          <w:lang w:bidi="he-IL"/>
        </w:rPr>
        <w:t>, Holm p = 0.017. The depressed BD vs euthymic BD contrast was also significant, estimate = −0.198, 95% CI [−0.347, −0.048], t(64) = −2.64, permutation p = 0.010, Holm p = 0.041. The depressed BD vs sibling contrast was not significant, estimate = −0.073, 95% CI [−0.234, 0.089], permutation p = 0.372, Holm p = 0.744. The sibling vs HC contrast showed a negative but non-significant difference, estimate = −0.168, 95% CI [−0.347, 0.010], permutation p = 0.0645, Holm p = 0.193. Euthymic BD patients did not differ from HC, estimate = −0.043, 95% CI [−0.214, 0.127], permutation p = 0.613, Holm p = 0.744.</w:t>
      </w:r>
    </w:p>
    <w:p w14:paraId="0F50F0B5" w14:textId="77777777" w:rsidR="00704692" w:rsidRDefault="009A1F9F" w:rsidP="009A1F9F">
      <w:pPr>
        <w:spacing w:before="120" w:after="0" w:line="360" w:lineRule="auto"/>
        <w:jc w:val="both"/>
        <w:rPr>
          <w:color w:val="000000" w:themeColor="text1"/>
          <w:sz w:val="24"/>
          <w:szCs w:val="24"/>
          <w:rtl/>
          <w:lang w:bidi="he-IL"/>
        </w:rPr>
      </w:pPr>
      <w:r w:rsidRPr="009A1F9F">
        <w:rPr>
          <w:color w:val="000000" w:themeColor="text1"/>
          <w:sz w:val="24"/>
          <w:szCs w:val="24"/>
          <w:lang w:bidi="he-IL"/>
        </w:rPr>
        <w:t>A supportive ordinal trend analysis across the prespecified clinical-</w:t>
      </w:r>
      <w:r w:rsidR="001F7B3C">
        <w:rPr>
          <w:color w:val="000000" w:themeColor="text1"/>
          <w:sz w:val="24"/>
          <w:szCs w:val="24"/>
          <w:lang w:bidi="he-IL"/>
        </w:rPr>
        <w:t>group</w:t>
      </w:r>
      <w:r w:rsidRPr="009A1F9F">
        <w:rPr>
          <w:color w:val="000000" w:themeColor="text1"/>
          <w:sz w:val="24"/>
          <w:szCs w:val="24"/>
          <w:lang w:bidi="he-IL"/>
        </w:rPr>
        <w:t>/risk gradient was also significant, estimate = −0.063, 95% CI [−0.115, −0.011], t(66) = −2.42, permutation p = 0.018. This analysis was considered supportive rather than primary.</w:t>
      </w:r>
      <w:r>
        <w:rPr>
          <w:color w:val="000000" w:themeColor="text1"/>
          <w:sz w:val="24"/>
          <w:szCs w:val="24"/>
          <w:lang w:bidi="he-IL"/>
        </w:rPr>
        <w:t xml:space="preserve"> Complete primary model outputs are provided in Supplementary Table S2.</w:t>
      </w:r>
    </w:p>
    <w:p w14:paraId="2F2F0494" w14:textId="77777777" w:rsidR="00AD7BA1" w:rsidRDefault="009A1F9F" w:rsidP="009A1F9F">
      <w:pPr>
        <w:spacing w:before="120" w:after="0" w:line="360" w:lineRule="auto"/>
        <w:jc w:val="both"/>
        <w:rPr>
          <w:color w:val="000000" w:themeColor="text1"/>
          <w:sz w:val="24"/>
          <w:szCs w:val="24"/>
          <w:rtl/>
          <w:lang w:bidi="he-IL"/>
        </w:rPr>
      </w:pPr>
      <w:r w:rsidRPr="009A1F9F">
        <w:rPr>
          <w:color w:val="000000" w:themeColor="text1"/>
          <w:sz w:val="24"/>
          <w:szCs w:val="24"/>
          <w:lang w:bidi="he-IL"/>
        </w:rPr>
        <w:lastRenderedPageBreak/>
        <w:t xml:space="preserve">Secondary analyses did not identify significant corrected </w:t>
      </w:r>
      <w:r w:rsidR="00FC6512">
        <w:rPr>
          <w:color w:val="000000" w:themeColor="text1"/>
          <w:sz w:val="24"/>
          <w:szCs w:val="24"/>
          <w:lang w:bidi="he-IL"/>
        </w:rPr>
        <w:t xml:space="preserve">clinical </w:t>
      </w:r>
      <w:r w:rsidR="001F7B3C">
        <w:rPr>
          <w:color w:val="000000" w:themeColor="text1"/>
          <w:sz w:val="24"/>
          <w:szCs w:val="24"/>
          <w:lang w:bidi="he-IL"/>
        </w:rPr>
        <w:t>group</w:t>
      </w:r>
      <w:r w:rsidRPr="009A1F9F">
        <w:rPr>
          <w:color w:val="000000" w:themeColor="text1"/>
          <w:sz w:val="24"/>
          <w:szCs w:val="24"/>
          <w:lang w:bidi="he-IL"/>
        </w:rPr>
        <w:t xml:space="preserve"> effects in adjacent post-R windows. The 200–300 ms CFA-orthogonalized field-score omnibus was not significant after correction, F(3, 64) = 2.43, permutation p = 0.0743, Holm p = 0.223. The 300–400 ms field-score omnibus was also non-significant, F(3, 64) = 1.81, permutation p = 0.154, Holm p = 0.307. Similarly, 200–300 ms global field power did not differ significantly across clinical </w:t>
      </w:r>
      <w:r w:rsidR="001F7B3C">
        <w:rPr>
          <w:color w:val="000000" w:themeColor="text1"/>
          <w:sz w:val="24"/>
          <w:szCs w:val="24"/>
          <w:lang w:bidi="he-IL"/>
        </w:rPr>
        <w:t>group</w:t>
      </w:r>
      <w:r w:rsidRPr="009A1F9F">
        <w:rPr>
          <w:color w:val="000000" w:themeColor="text1"/>
          <w:sz w:val="24"/>
          <w:szCs w:val="24"/>
          <w:lang w:bidi="he-IL"/>
        </w:rPr>
        <w:t>s, F(3, 64) = 1.58, permutation p = 0.201, Holm p = 0.307.</w:t>
      </w:r>
    </w:p>
    <w:p w14:paraId="39CF7DC7" w14:textId="77777777" w:rsidR="00AD7BA1" w:rsidRDefault="009A1F9F" w:rsidP="009A1F9F">
      <w:pPr>
        <w:spacing w:before="120" w:after="0" w:line="360" w:lineRule="auto"/>
        <w:jc w:val="both"/>
        <w:rPr>
          <w:color w:val="000000" w:themeColor="text1"/>
          <w:sz w:val="24"/>
          <w:szCs w:val="24"/>
          <w:lang w:bidi="he-IL"/>
        </w:rPr>
      </w:pPr>
      <w:r w:rsidRPr="009A1F9F">
        <w:rPr>
          <w:color w:val="000000" w:themeColor="text1"/>
          <w:sz w:val="24"/>
          <w:szCs w:val="24"/>
          <w:lang w:bidi="he-IL"/>
        </w:rPr>
        <w:t>The adjacent-window planned contrasts were also non-significant. For the 200–300 ms field score, the depressed BD vs HC contrast was estimate = −0.167, 95% CI [−0.356, 0.022], permutation p = 0.0815, Holm p = 0.326. For the 300–400 ms field score, the depressed BD vs HC contrast was estimate = −0.017, 95% CI [−0.245, 0.211], permutation p = 0.883, Holm p = 1.000.</w:t>
      </w:r>
      <w:r>
        <w:rPr>
          <w:color w:val="000000" w:themeColor="text1"/>
          <w:sz w:val="24"/>
          <w:szCs w:val="24"/>
          <w:lang w:bidi="he-IL"/>
        </w:rPr>
        <w:t xml:space="preserve"> Secondary and adjacent-window sensitivity results are provided in Supplementary Table S3.</w:t>
      </w:r>
    </w:p>
    <w:p w14:paraId="6819173A" w14:textId="77777777" w:rsidR="003557F7" w:rsidRPr="00A372E2" w:rsidRDefault="003557F7" w:rsidP="003557F7">
      <w:pPr>
        <w:pStyle w:val="Heading2"/>
        <w:spacing w:before="120" w:line="360" w:lineRule="auto"/>
        <w:jc w:val="both"/>
        <w:rPr>
          <w:rFonts w:ascii="Times New Roman" w:hAnsi="Times New Roman" w:cs="Times New Roman"/>
          <w:color w:val="000000" w:themeColor="text1"/>
          <w:sz w:val="32"/>
          <w:szCs w:val="32"/>
        </w:rPr>
      </w:pPr>
      <w:r w:rsidRPr="00A372E2">
        <w:rPr>
          <w:rFonts w:ascii="Times New Roman" w:hAnsi="Times New Roman" w:cs="Times New Roman"/>
          <w:color w:val="000000" w:themeColor="text1"/>
          <w:sz w:val="24"/>
          <w:szCs w:val="24"/>
          <w:lang w:val="en-IL" w:bidi="he-IL"/>
        </w:rPr>
        <w:t>Exploratory channel–time localization</w:t>
      </w:r>
    </w:p>
    <w:p w14:paraId="259D0767" w14:textId="486A6FAF" w:rsidR="003557F7" w:rsidRPr="003557F7" w:rsidRDefault="009A1F9F" w:rsidP="009A1F9F">
      <w:pPr>
        <w:spacing w:after="0" w:line="360" w:lineRule="auto"/>
        <w:jc w:val="both"/>
        <w:rPr>
          <w:color w:val="000000" w:themeColor="text1"/>
          <w:sz w:val="24"/>
          <w:szCs w:val="24"/>
          <w:lang w:val="en-IL" w:bidi="he-IL"/>
        </w:rPr>
      </w:pPr>
      <w:r w:rsidRPr="009A1F9F">
        <w:rPr>
          <w:color w:val="000000" w:themeColor="text1"/>
          <w:sz w:val="24"/>
          <w:szCs w:val="24"/>
          <w:lang w:bidi="he-IL"/>
        </w:rPr>
        <w:t>An exploratory channel × time cluster-permutation analysis was performed to localize the depressed BD vs HC effect within the 100–400 ms post-R interval. This analysis identified one family-wise-error-corrected posterior cluster spanning 100–300 ms, cluster p_FWER = 0.024. The cluster included posterior and centroparietal channels Pz, P1, P2, PO3, P4, PO4, and CP2, with a peak at P2, peak t = −3.72 (Figure 3). A second right temporal cluster spanning 140–400 ms, including T8, C6, FT8, FT10, FC6, and TP8, showed trend-level evidence only, cluster p_FWER = 0.083. Remaining clusters were not significant.</w:t>
      </w:r>
      <w:r>
        <w:rPr>
          <w:color w:val="000000" w:themeColor="text1"/>
          <w:sz w:val="24"/>
          <w:szCs w:val="24"/>
          <w:lang w:bidi="he-IL"/>
        </w:rPr>
        <w:t xml:space="preserve"> Exploratory cluster-localization results are provided in Supplementary Table S</w:t>
      </w:r>
      <w:r w:rsidR="00BB7DB3">
        <w:rPr>
          <w:color w:val="000000" w:themeColor="text1"/>
          <w:sz w:val="24"/>
          <w:szCs w:val="24"/>
          <w:lang w:bidi="he-IL"/>
        </w:rPr>
        <w:t>4</w:t>
      </w:r>
      <w:r>
        <w:rPr>
          <w:color w:val="000000" w:themeColor="text1"/>
          <w:sz w:val="24"/>
          <w:szCs w:val="24"/>
          <w:lang w:bidi="he-IL"/>
        </w:rPr>
        <w:t>.</w:t>
      </w:r>
    </w:p>
    <w:p w14:paraId="1431D383" w14:textId="77777777" w:rsidR="0096584D" w:rsidRPr="00A372E2" w:rsidRDefault="0096584D" w:rsidP="0096584D">
      <w:pPr>
        <w:pStyle w:val="Heading2"/>
        <w:spacing w:before="120" w:line="360" w:lineRule="auto"/>
        <w:jc w:val="both"/>
        <w:rPr>
          <w:rFonts w:ascii="Times New Roman" w:hAnsi="Times New Roman" w:cs="Times New Roman"/>
          <w:color w:val="000000" w:themeColor="text1"/>
          <w:sz w:val="32"/>
          <w:szCs w:val="32"/>
        </w:rPr>
      </w:pPr>
      <w:r w:rsidRPr="00A372E2">
        <w:rPr>
          <w:rFonts w:ascii="Times New Roman" w:hAnsi="Times New Roman" w:cs="Times New Roman"/>
          <w:color w:val="000000" w:themeColor="text1"/>
          <w:sz w:val="24"/>
          <w:szCs w:val="24"/>
          <w:lang w:bidi="he-IL"/>
        </w:rPr>
        <w:t>BD-only clinical associations</w:t>
      </w:r>
    </w:p>
    <w:p w14:paraId="568BFAF1" w14:textId="77777777" w:rsidR="003557F7" w:rsidRDefault="009A1F9F" w:rsidP="009A1F9F">
      <w:pPr>
        <w:spacing w:after="0" w:line="360" w:lineRule="auto"/>
        <w:jc w:val="both"/>
        <w:rPr>
          <w:color w:val="000000" w:themeColor="text1"/>
          <w:sz w:val="24"/>
          <w:szCs w:val="24"/>
          <w:lang w:bidi="he-IL"/>
        </w:rPr>
      </w:pPr>
      <w:r w:rsidRPr="009A1F9F">
        <w:rPr>
          <w:color w:val="000000" w:themeColor="text1"/>
          <w:sz w:val="24"/>
          <w:szCs w:val="24"/>
          <w:lang w:bidi="he-IL"/>
        </w:rPr>
        <w:t>Exploratory analyses within the BD group did not identify significant associations between the primary 100–200 ms field score and clinical severity measures after correction. MADRS was not associated with the primary field score after adjustment for age, sex, and BD mood state, estimate = −0.0046, 95% CI [−0.019, 0.010], permutation p = 0.519, FDR q = 0.519. GAF was also not associated with the primary field score after the same adjustment, estimate = 0.0023, 95% CI [−0.003, 0.008], permutation p = 0.417, FDR q = 0.519. YMRS was not significantly associated with the field score after adjustment for age and sex, estimate = −0.038, 95% CI [−0.088, 0.012], permutation p = 0.128, FDR q = 0.512. Medication burden was also not associated with the primary field score, estimate = −0.034, 95% CI [−0.122, 0.055], permutation p = 0.451, FDR q = 0.519. BD-only exploratory clinical association results are provided in Supplementary Table S5.</w:t>
      </w:r>
    </w:p>
    <w:p w14:paraId="5326CBC9" w14:textId="77777777" w:rsidR="00A24882" w:rsidRDefault="00A24882" w:rsidP="00A24882">
      <w:pPr>
        <w:pStyle w:val="Heading2"/>
        <w:spacing w:before="120" w:line="360" w:lineRule="auto"/>
        <w:jc w:val="both"/>
        <w:rPr>
          <w:rFonts w:ascii="Times New Roman" w:eastAsia="Times New Roman" w:hAnsi="Times New Roman"/>
          <w:color w:val="000000" w:themeColor="text1"/>
          <w:sz w:val="28"/>
          <w:szCs w:val="32"/>
        </w:rPr>
      </w:pPr>
      <w:r>
        <w:rPr>
          <w:rFonts w:ascii="Times New Roman" w:eastAsia="Times New Roman" w:hAnsi="Times New Roman"/>
          <w:color w:val="000000" w:themeColor="text1"/>
          <w:sz w:val="28"/>
          <w:szCs w:val="32"/>
        </w:rPr>
        <w:lastRenderedPageBreak/>
        <w:t>S</w:t>
      </w:r>
      <w:r w:rsidRPr="00A24882">
        <w:rPr>
          <w:rFonts w:ascii="Times New Roman" w:eastAsia="Times New Roman" w:hAnsi="Times New Roman"/>
          <w:color w:val="000000" w:themeColor="text1"/>
          <w:sz w:val="28"/>
          <w:szCs w:val="32"/>
        </w:rPr>
        <w:t>ensitivity analyses</w:t>
      </w:r>
    </w:p>
    <w:p w14:paraId="1264CEDD" w14:textId="77777777" w:rsidR="00A24882" w:rsidRPr="00A372E2" w:rsidRDefault="00AD7BA1" w:rsidP="00AD7BA1">
      <w:pPr>
        <w:pStyle w:val="Heading2"/>
        <w:spacing w:before="0" w:line="360" w:lineRule="auto"/>
        <w:jc w:val="both"/>
        <w:rPr>
          <w:color w:val="000000" w:themeColor="text1"/>
          <w:sz w:val="28"/>
          <w:szCs w:val="28"/>
        </w:rPr>
      </w:pPr>
      <w:r w:rsidRPr="00AD7BA1">
        <w:rPr>
          <w:rFonts w:ascii="Times New Roman" w:eastAsia="Times New Roman" w:hAnsi="Times New Roman"/>
          <w:color w:val="000000" w:themeColor="text1"/>
          <w:sz w:val="24"/>
          <w:szCs w:val="28"/>
        </w:rPr>
        <w:t>Peri-R cardiac-field adjustment</w:t>
      </w:r>
    </w:p>
    <w:p w14:paraId="4060BCE4" w14:textId="6A446D2A" w:rsidR="00704692" w:rsidRDefault="009A1F9F" w:rsidP="009A1F9F">
      <w:pPr>
        <w:spacing w:after="0" w:line="360" w:lineRule="auto"/>
        <w:jc w:val="both"/>
        <w:rPr>
          <w:color w:val="000000" w:themeColor="text1"/>
          <w:sz w:val="24"/>
          <w:szCs w:val="24"/>
          <w:lang w:bidi="he-IL"/>
        </w:rPr>
      </w:pPr>
      <w:r w:rsidRPr="009A1F9F">
        <w:rPr>
          <w:color w:val="000000" w:themeColor="text1"/>
          <w:sz w:val="24"/>
          <w:szCs w:val="24"/>
          <w:lang w:bidi="he-IL"/>
        </w:rPr>
        <w:t xml:space="preserve">The primary </w:t>
      </w:r>
      <w:r w:rsidR="00FC6512">
        <w:rPr>
          <w:color w:val="000000" w:themeColor="text1"/>
          <w:sz w:val="24"/>
          <w:szCs w:val="24"/>
          <w:lang w:bidi="he-IL"/>
        </w:rPr>
        <w:t xml:space="preserve">clinical </w:t>
      </w:r>
      <w:r w:rsidR="001F7B3C">
        <w:rPr>
          <w:color w:val="000000" w:themeColor="text1"/>
          <w:sz w:val="24"/>
          <w:szCs w:val="24"/>
          <w:lang w:bidi="he-IL"/>
        </w:rPr>
        <w:t>group</w:t>
      </w:r>
      <w:r w:rsidRPr="009A1F9F">
        <w:rPr>
          <w:color w:val="000000" w:themeColor="text1"/>
          <w:sz w:val="24"/>
          <w:szCs w:val="24"/>
          <w:lang w:bidi="he-IL"/>
        </w:rPr>
        <w:t xml:space="preserve"> effect remained significant after adjustment for the peri-R CFA score, F(3, 63) = 3.84, permutation p = 0.013. In this model, depressed BD patients continued to show lower 100–200 ms field scores than HC, estimate = −0.230, 95% CI [−0.387, −0.073], permutation p = 0.00</w:t>
      </w:r>
      <w:r w:rsidR="00E37BDC">
        <w:rPr>
          <w:color w:val="000000" w:themeColor="text1"/>
          <w:sz w:val="24"/>
          <w:szCs w:val="24"/>
          <w:lang w:bidi="he-IL"/>
        </w:rPr>
        <w:t>5</w:t>
      </w:r>
      <w:r w:rsidRPr="009A1F9F">
        <w:rPr>
          <w:color w:val="000000" w:themeColor="text1"/>
          <w:sz w:val="24"/>
          <w:szCs w:val="24"/>
          <w:lang w:bidi="he-IL"/>
        </w:rPr>
        <w:t>. The depressed BD vs euthymic BD contrast also remained significant, estimate = −0.189, 95% CI [−0.336, −0.042], permutation p = 0.0120, whereas the depressed BD vs sibling contrast remained non-significant, estimate = −0.073, 95% CI [−0.231, 0.084], permutation p = 0.358.</w:t>
      </w:r>
      <w:r>
        <w:rPr>
          <w:color w:val="000000" w:themeColor="text1"/>
          <w:sz w:val="24"/>
          <w:szCs w:val="24"/>
          <w:lang w:bidi="he-IL"/>
        </w:rPr>
        <w:t xml:space="preserve"> CFA-adjusted sensitivity results are provided in Supplementary Table S</w:t>
      </w:r>
      <w:r w:rsidR="00BB7DB3">
        <w:rPr>
          <w:color w:val="000000" w:themeColor="text1"/>
          <w:sz w:val="24"/>
          <w:szCs w:val="24"/>
          <w:lang w:bidi="he-IL"/>
        </w:rPr>
        <w:t>6</w:t>
      </w:r>
      <w:r>
        <w:rPr>
          <w:color w:val="000000" w:themeColor="text1"/>
          <w:sz w:val="24"/>
          <w:szCs w:val="24"/>
          <w:lang w:bidi="he-IL"/>
        </w:rPr>
        <w:t>.</w:t>
      </w:r>
    </w:p>
    <w:p w14:paraId="5A3B510A" w14:textId="77777777" w:rsidR="00C13BFD" w:rsidRPr="00A372E2" w:rsidRDefault="00C13BFD" w:rsidP="00256424">
      <w:pPr>
        <w:pStyle w:val="Heading2"/>
        <w:spacing w:before="120" w:line="360" w:lineRule="auto"/>
        <w:jc w:val="both"/>
        <w:rPr>
          <w:color w:val="000000" w:themeColor="text1"/>
          <w:sz w:val="28"/>
          <w:szCs w:val="28"/>
          <w:lang w:bidi="he-IL"/>
        </w:rPr>
      </w:pPr>
      <w:r>
        <w:rPr>
          <w:rFonts w:ascii="Times New Roman" w:eastAsia="Times New Roman" w:hAnsi="Times New Roman"/>
          <w:color w:val="000000" w:themeColor="text1"/>
          <w:sz w:val="24"/>
          <w:szCs w:val="28"/>
        </w:rPr>
        <w:t>C</w:t>
      </w:r>
      <w:r w:rsidRPr="00A372E2">
        <w:rPr>
          <w:rFonts w:ascii="Times New Roman" w:eastAsia="Times New Roman" w:hAnsi="Times New Roman"/>
          <w:color w:val="000000" w:themeColor="text1"/>
          <w:sz w:val="24"/>
          <w:szCs w:val="28"/>
        </w:rPr>
        <w:t>ardiac physiology</w:t>
      </w:r>
      <w:r w:rsidR="00AD7BA1">
        <w:rPr>
          <w:rFonts w:ascii="Times New Roman" w:eastAsia="Times New Roman" w:hAnsi="Times New Roman" w:hint="cs"/>
          <w:color w:val="000000" w:themeColor="text1"/>
          <w:sz w:val="24"/>
          <w:szCs w:val="28"/>
          <w:rtl/>
          <w:lang w:bidi="he-IL"/>
        </w:rPr>
        <w:t xml:space="preserve"> </w:t>
      </w:r>
      <w:r w:rsidR="00AD7BA1" w:rsidRPr="00AD7BA1">
        <w:rPr>
          <w:rFonts w:ascii="Times New Roman" w:eastAsia="Times New Roman" w:hAnsi="Times New Roman"/>
          <w:color w:val="000000" w:themeColor="text1"/>
          <w:sz w:val="24"/>
          <w:szCs w:val="28"/>
          <w:lang w:bidi="he-IL"/>
        </w:rPr>
        <w:t>adjustment</w:t>
      </w:r>
    </w:p>
    <w:p w14:paraId="30A0E126" w14:textId="4E6EA6C6" w:rsidR="00704692" w:rsidRDefault="009A1F9F" w:rsidP="009A1F9F">
      <w:pPr>
        <w:spacing w:after="0" w:line="360" w:lineRule="auto"/>
        <w:jc w:val="both"/>
        <w:rPr>
          <w:color w:val="000000" w:themeColor="text1"/>
          <w:sz w:val="24"/>
          <w:szCs w:val="24"/>
          <w:lang w:bidi="he-IL"/>
        </w:rPr>
      </w:pPr>
      <w:r w:rsidRPr="009A1F9F">
        <w:rPr>
          <w:color w:val="000000" w:themeColor="text1"/>
          <w:sz w:val="24"/>
          <w:szCs w:val="24"/>
          <w:lang w:bidi="he-IL"/>
        </w:rPr>
        <w:t xml:space="preserve">The primary effect was also robust to cardiac physiology covariates. After adjustment for mean heart rate, the clinical </w:t>
      </w:r>
      <w:r w:rsidR="001F7B3C">
        <w:rPr>
          <w:color w:val="000000" w:themeColor="text1"/>
          <w:sz w:val="24"/>
          <w:szCs w:val="24"/>
          <w:lang w:bidi="he-IL"/>
        </w:rPr>
        <w:t>group</w:t>
      </w:r>
      <w:r w:rsidRPr="009A1F9F">
        <w:rPr>
          <w:color w:val="000000" w:themeColor="text1"/>
          <w:sz w:val="24"/>
          <w:szCs w:val="24"/>
          <w:lang w:bidi="he-IL"/>
        </w:rPr>
        <w:t xml:space="preserve"> omnibus remained significant, F(3, 63) = 3.99, permutation p = 0.01</w:t>
      </w:r>
      <w:r w:rsidR="00E37BDC">
        <w:rPr>
          <w:color w:val="000000" w:themeColor="text1"/>
          <w:sz w:val="24"/>
          <w:szCs w:val="24"/>
          <w:lang w:bidi="he-IL"/>
        </w:rPr>
        <w:t>2</w:t>
      </w:r>
      <w:r w:rsidRPr="009A1F9F">
        <w:rPr>
          <w:color w:val="000000" w:themeColor="text1"/>
          <w:sz w:val="24"/>
          <w:szCs w:val="24"/>
          <w:lang w:bidi="he-IL"/>
        </w:rPr>
        <w:t>, and the depressed BD vs HC contrast remained significant, estimate = −0.237, 95% CI [−0.400, −0.075], permutation p = 0.00</w:t>
      </w:r>
      <w:r w:rsidR="00E37BDC">
        <w:rPr>
          <w:color w:val="000000" w:themeColor="text1"/>
          <w:sz w:val="24"/>
          <w:szCs w:val="24"/>
          <w:lang w:bidi="he-IL"/>
        </w:rPr>
        <w:t>5</w:t>
      </w:r>
      <w:r w:rsidRPr="009A1F9F">
        <w:rPr>
          <w:color w:val="000000" w:themeColor="text1"/>
          <w:sz w:val="24"/>
          <w:szCs w:val="24"/>
          <w:lang w:bidi="he-IL"/>
        </w:rPr>
        <w:t xml:space="preserve">. Similarly, after adjustment for lnRMSSD, the clinical </w:t>
      </w:r>
      <w:r w:rsidR="001F7B3C">
        <w:rPr>
          <w:color w:val="000000" w:themeColor="text1"/>
          <w:sz w:val="24"/>
          <w:szCs w:val="24"/>
          <w:lang w:bidi="he-IL"/>
        </w:rPr>
        <w:t>group</w:t>
      </w:r>
      <w:r w:rsidRPr="009A1F9F">
        <w:rPr>
          <w:color w:val="000000" w:themeColor="text1"/>
          <w:sz w:val="24"/>
          <w:szCs w:val="24"/>
          <w:lang w:bidi="he-IL"/>
        </w:rPr>
        <w:t xml:space="preserve"> omnibus remained significant, F(3, 63) = 4.01, permutation p = 0.01</w:t>
      </w:r>
      <w:r w:rsidR="00E37BDC">
        <w:rPr>
          <w:color w:val="000000" w:themeColor="text1"/>
          <w:sz w:val="24"/>
          <w:szCs w:val="24"/>
          <w:lang w:bidi="he-IL"/>
        </w:rPr>
        <w:t>1</w:t>
      </w:r>
      <w:r w:rsidRPr="009A1F9F">
        <w:rPr>
          <w:color w:val="000000" w:themeColor="text1"/>
          <w:sz w:val="24"/>
          <w:szCs w:val="24"/>
          <w:lang w:bidi="he-IL"/>
        </w:rPr>
        <w:t>, and the depressed BD vs HC contrast remained significant, estimate = −0.233, 95% CI [−0.397, −0.069], permutation p = 0.00</w:t>
      </w:r>
      <w:r w:rsidR="0040084B">
        <w:rPr>
          <w:color w:val="000000" w:themeColor="text1"/>
          <w:sz w:val="24"/>
          <w:szCs w:val="24"/>
          <w:lang w:bidi="he-IL"/>
        </w:rPr>
        <w:t>6</w:t>
      </w:r>
      <w:r w:rsidRPr="009A1F9F">
        <w:rPr>
          <w:color w:val="000000" w:themeColor="text1"/>
          <w:sz w:val="24"/>
          <w:szCs w:val="24"/>
          <w:lang w:bidi="he-IL"/>
        </w:rPr>
        <w:t>. Thus, the primary 100–200 ms field effect was not explained by peri-R CFA expression, mean heart rate, or vagal heart-rate variability (Figure 4).</w:t>
      </w:r>
      <w:r>
        <w:rPr>
          <w:color w:val="000000" w:themeColor="text1"/>
          <w:sz w:val="24"/>
          <w:szCs w:val="24"/>
          <w:lang w:bidi="he-IL"/>
        </w:rPr>
        <w:t xml:space="preserve"> A post hoc sensitivity model additionally adjusting for daily cigarettes yielded the same pattern of results (Supplementary Table S</w:t>
      </w:r>
      <w:r w:rsidR="00BB7DB3">
        <w:rPr>
          <w:color w:val="000000" w:themeColor="text1"/>
          <w:sz w:val="24"/>
          <w:szCs w:val="24"/>
          <w:lang w:bidi="he-IL"/>
        </w:rPr>
        <w:t>6</w:t>
      </w:r>
      <w:r>
        <w:rPr>
          <w:color w:val="000000" w:themeColor="text1"/>
          <w:sz w:val="24"/>
          <w:szCs w:val="24"/>
          <w:lang w:bidi="he-IL"/>
        </w:rPr>
        <w:t>).</w:t>
      </w:r>
    </w:p>
    <w:p w14:paraId="26EA3397" w14:textId="77777777" w:rsidR="00704692" w:rsidRPr="00934852" w:rsidRDefault="00934852" w:rsidP="00704692">
      <w:pPr>
        <w:pStyle w:val="Heading2"/>
        <w:spacing w:before="120" w:line="360" w:lineRule="auto"/>
        <w:jc w:val="both"/>
        <w:rPr>
          <w:rFonts w:ascii="Times New Roman" w:hAnsi="Times New Roman" w:cs="Times New Roman"/>
          <w:color w:val="000000" w:themeColor="text1"/>
          <w:sz w:val="28"/>
          <w:szCs w:val="28"/>
        </w:rPr>
      </w:pPr>
      <w:r w:rsidRPr="00934852">
        <w:rPr>
          <w:rFonts w:ascii="Times New Roman" w:hAnsi="Times New Roman" w:cs="Times New Roman"/>
          <w:color w:val="000000" w:themeColor="text1"/>
          <w:sz w:val="24"/>
          <w:szCs w:val="24"/>
        </w:rPr>
        <w:t>RR-adaptive pseudo-event negative-control</w:t>
      </w:r>
    </w:p>
    <w:p w14:paraId="01C9F7F5" w14:textId="121FA89D" w:rsidR="00704692" w:rsidRDefault="009A1F9F" w:rsidP="009A1F9F">
      <w:pPr>
        <w:spacing w:after="0" w:line="360" w:lineRule="auto"/>
        <w:contextualSpacing/>
        <w:jc w:val="both"/>
        <w:rPr>
          <w:color w:val="000000" w:themeColor="text1"/>
          <w:sz w:val="24"/>
          <w:szCs w:val="24"/>
          <w:lang w:bidi="he-IL"/>
        </w:rPr>
      </w:pPr>
      <w:r w:rsidRPr="009A1F9F">
        <w:rPr>
          <w:color w:val="000000" w:themeColor="text1"/>
          <w:sz w:val="24"/>
          <w:szCs w:val="24"/>
          <w:lang w:bidi="he-IL"/>
        </w:rPr>
        <w:t xml:space="preserve">The pseudo-event negative-control analysis did not reproduce the primary group effect. When pseudo-event 100–200 ms scalp maps were projected onto the real R-locked LOSO template weights, the four-level </w:t>
      </w:r>
      <w:r w:rsidR="00FC6512">
        <w:rPr>
          <w:color w:val="000000" w:themeColor="text1"/>
          <w:sz w:val="24"/>
          <w:szCs w:val="24"/>
          <w:lang w:bidi="he-IL"/>
        </w:rPr>
        <w:t xml:space="preserve">clinical </w:t>
      </w:r>
      <w:r w:rsidR="001F7B3C">
        <w:rPr>
          <w:color w:val="000000" w:themeColor="text1"/>
          <w:sz w:val="24"/>
          <w:szCs w:val="24"/>
          <w:lang w:bidi="he-IL"/>
        </w:rPr>
        <w:t>group</w:t>
      </w:r>
      <w:r w:rsidRPr="009A1F9F">
        <w:rPr>
          <w:color w:val="000000" w:themeColor="text1"/>
          <w:sz w:val="24"/>
          <w:szCs w:val="24"/>
          <w:lang w:bidi="he-IL"/>
        </w:rPr>
        <w:t xml:space="preserve"> omnibus test was not significant, F(3, 64) = 0.85, permutation p = 0.476. None of the planned pseudo-event contrasts was significant. The depressed BD vs HC contrast was estimate = 0.117, 95% CI [−0.057, 0.291], permutation p = 0.184, Holm p = 0.918. The depressed BD vs euthymic BD contrast was also non-significant, estimate = 0.106, 95% CI [−0.056, 0.268], permutation p = 0.195, Holm p = 0.918. These findings support the temporal specificity of the primary effect to true R-locked activity.</w:t>
      </w:r>
      <w:r>
        <w:rPr>
          <w:color w:val="000000" w:themeColor="text1"/>
          <w:sz w:val="24"/>
          <w:szCs w:val="24"/>
          <w:lang w:bidi="he-IL"/>
        </w:rPr>
        <w:t xml:space="preserve"> Pseudo-event control results are provided in Supplementary Table S</w:t>
      </w:r>
      <w:r w:rsidR="00BB7DB3">
        <w:rPr>
          <w:color w:val="000000" w:themeColor="text1"/>
          <w:sz w:val="24"/>
          <w:szCs w:val="24"/>
          <w:lang w:bidi="he-IL"/>
        </w:rPr>
        <w:t>6</w:t>
      </w:r>
      <w:r>
        <w:rPr>
          <w:color w:val="000000" w:themeColor="text1"/>
          <w:sz w:val="24"/>
          <w:szCs w:val="24"/>
          <w:lang w:bidi="he-IL"/>
        </w:rPr>
        <w:t>.</w:t>
      </w:r>
    </w:p>
    <w:p w14:paraId="3C3A2C26" w14:textId="77777777" w:rsidR="00A24882" w:rsidRDefault="00A24882" w:rsidP="00FC6512">
      <w:pPr>
        <w:pStyle w:val="Heading2"/>
        <w:spacing w:before="120" w:line="360" w:lineRule="auto"/>
        <w:jc w:val="both"/>
        <w:rPr>
          <w:rFonts w:ascii="Times New Roman" w:eastAsia="Times New Roman" w:hAnsi="Times New Roman"/>
          <w:color w:val="000000" w:themeColor="text1"/>
          <w:sz w:val="24"/>
          <w:szCs w:val="28"/>
        </w:rPr>
      </w:pPr>
      <w:r>
        <w:rPr>
          <w:rFonts w:ascii="Times New Roman" w:eastAsia="Times New Roman" w:hAnsi="Times New Roman"/>
          <w:color w:val="000000" w:themeColor="text1"/>
          <w:sz w:val="24"/>
          <w:szCs w:val="28"/>
        </w:rPr>
        <w:t xml:space="preserve">Template </w:t>
      </w:r>
      <w:r w:rsidR="00FC6512" w:rsidRPr="00FC6512">
        <w:rPr>
          <w:rFonts w:ascii="Times New Roman" w:eastAsia="Times New Roman" w:hAnsi="Times New Roman"/>
          <w:color w:val="000000" w:themeColor="text1"/>
          <w:sz w:val="24"/>
          <w:szCs w:val="28"/>
        </w:rPr>
        <w:t>reliability</w:t>
      </w:r>
    </w:p>
    <w:p w14:paraId="1EBC85DA" w14:textId="0A44D383" w:rsidR="00A24882" w:rsidRPr="00A24882" w:rsidRDefault="009A1F9F" w:rsidP="00DE2BF9">
      <w:pPr>
        <w:spacing w:after="0" w:line="360" w:lineRule="auto"/>
        <w:jc w:val="both"/>
        <w:rPr>
          <w:sz w:val="24"/>
          <w:szCs w:val="24"/>
          <w:lang w:bidi="he-IL"/>
        </w:rPr>
      </w:pPr>
      <w:r w:rsidRPr="009A1F9F">
        <w:rPr>
          <w:sz w:val="24"/>
          <w:szCs w:val="24"/>
        </w:rPr>
        <w:t xml:space="preserve">Reliability diagnostics supported stable leave-one-subject-out scoring of the primary 100–200 ms template. LOSO template weights were highly correlated with the pooled template, mean r = 0.997, </w:t>
      </w:r>
      <w:r w:rsidRPr="009A1F9F">
        <w:rPr>
          <w:sz w:val="24"/>
          <w:szCs w:val="24"/>
        </w:rPr>
        <w:lastRenderedPageBreak/>
        <w:t>SD = 0.008, minimum r = 0.930. Bootstrap template weights also showed substantial agreement with the pooled template, mean r = 0.833, SD = 0.086, 95% interval [0.606, 0.933]. Split-half agreement between independently derived half-sample templates was more modest, mean r = 0.381, SD = 0.139, 95% interval [0.058, 0.603], while each split-half template remained correlated with the pooled template, mean r = 0.822 and 0.825 for the two halves.</w:t>
      </w:r>
      <w:r>
        <w:t xml:space="preserve"> Template-reliability diagnostics are provided in Supplementary Table S</w:t>
      </w:r>
      <w:r w:rsidR="00BB7DB3">
        <w:t>7</w:t>
      </w:r>
      <w:r>
        <w:t>.</w:t>
      </w:r>
    </w:p>
    <w:p w14:paraId="4167B0B8" w14:textId="77777777" w:rsidR="008677DA" w:rsidRPr="00006EF5" w:rsidRDefault="00000000" w:rsidP="000B5F71">
      <w:pPr>
        <w:pStyle w:val="Heading1"/>
        <w:spacing w:before="240" w:line="360" w:lineRule="auto"/>
        <w:jc w:val="both"/>
        <w:rPr>
          <w:color w:val="000000" w:themeColor="text1"/>
          <w:sz w:val="40"/>
          <w:szCs w:val="40"/>
        </w:rPr>
      </w:pPr>
      <w:r w:rsidRPr="00006EF5">
        <w:rPr>
          <w:rFonts w:ascii="Times New Roman" w:eastAsia="Times New Roman" w:hAnsi="Times New Roman"/>
          <w:color w:val="000000" w:themeColor="text1"/>
          <w:sz w:val="32"/>
          <w:szCs w:val="40"/>
        </w:rPr>
        <w:t>Discussion</w:t>
      </w:r>
    </w:p>
    <w:p w14:paraId="41F36959" w14:textId="77777777" w:rsidR="006E6D4D" w:rsidRPr="00256424" w:rsidRDefault="00000000" w:rsidP="00256424">
      <w:pPr>
        <w:spacing w:after="0" w:line="360" w:lineRule="auto"/>
        <w:contextualSpacing/>
        <w:jc w:val="both"/>
        <w:rPr>
          <w:sz w:val="24"/>
          <w:szCs w:val="24"/>
        </w:rPr>
      </w:pPr>
      <w:r w:rsidRPr="00256424">
        <w:rPr>
          <w:sz w:val="24"/>
          <w:szCs w:val="24"/>
        </w:rPr>
        <w:t xml:space="preserve">The present study found that bipolar depression was associated with reduced expression of an early passive resting R-locked EEG field. The primary 100-200 ms distributed-field score differed across clinical </w:t>
      </w:r>
      <w:r w:rsidR="001F7B3C">
        <w:rPr>
          <w:sz w:val="24"/>
          <w:szCs w:val="24"/>
        </w:rPr>
        <w:t>group</w:t>
      </w:r>
      <w:r w:rsidRPr="00256424">
        <w:rPr>
          <w:sz w:val="24"/>
          <w:szCs w:val="24"/>
        </w:rPr>
        <w:t>s after age and sex adjustment, and depressed BD patients showed lower scores than both healthy controls and euthymic BD patients. Because the score was oriented in the healthy-control-positive direction and was derived from a group-blind, CFA-orthogonalized topographic template, this result should be interpreted as attenuated expression of a distributed R-locked scalp-field pattern, not as negative voltage at a single electrode or as a classical frontal HEP effect.</w:t>
      </w:r>
    </w:p>
    <w:p w14:paraId="321D4164" w14:textId="74AC71D3" w:rsidR="006E6D4D" w:rsidRPr="00256424" w:rsidRDefault="00000000" w:rsidP="00E37BDC">
      <w:pPr>
        <w:spacing w:before="120" w:after="0" w:line="360" w:lineRule="auto"/>
        <w:jc w:val="both"/>
        <w:rPr>
          <w:sz w:val="24"/>
          <w:szCs w:val="24"/>
        </w:rPr>
      </w:pPr>
      <w:r w:rsidRPr="00256424">
        <w:rPr>
          <w:sz w:val="24"/>
          <w:szCs w:val="24"/>
        </w:rPr>
        <w:t xml:space="preserve">The specificity analyses strengthen this interpretation. The depressed BD effect persisted after adjustment for peri-R cardiac-field expression, mean heart rate, lnRMSSD, and, in a post hoc model, daily cigarettes, suggesting that it was not explained by gross peri-R cardiac-field leakage, heart-rate differences, vagally mediated HRV, or cigarette use. The same clinical-group pattern was also absent in the RR-adaptive pseudo-event control, where pseudo-event maps were projected onto the real R-locked LOSO template. Together with the non-significant adjacent-window and GFP analyses, these findings support temporal and topographic specificity of the </w:t>
      </w:r>
      <w:r w:rsidR="00E37BDC" w:rsidRPr="00E37BDC">
        <w:rPr>
          <w:sz w:val="24"/>
          <w:szCs w:val="24"/>
        </w:rPr>
        <w:t>100–200</w:t>
      </w:r>
      <w:r w:rsidRPr="00256424">
        <w:rPr>
          <w:sz w:val="24"/>
          <w:szCs w:val="24"/>
        </w:rPr>
        <w:t xml:space="preserve"> ms R-locked endpoint.</w:t>
      </w:r>
    </w:p>
    <w:p w14:paraId="27626CCD" w14:textId="77777777" w:rsidR="006E6D4D" w:rsidRPr="00256424" w:rsidRDefault="00000000" w:rsidP="0021776F">
      <w:pPr>
        <w:spacing w:before="120" w:after="0" w:line="360" w:lineRule="auto"/>
        <w:jc w:val="both"/>
        <w:rPr>
          <w:sz w:val="24"/>
          <w:szCs w:val="24"/>
        </w:rPr>
      </w:pPr>
      <w:r w:rsidRPr="00256424">
        <w:rPr>
          <w:sz w:val="24"/>
          <w:szCs w:val="24"/>
        </w:rPr>
        <w:t xml:space="preserve">The result fits a broader view of BD as a disorder of distributed brain-body regulation. Neuroimaging and connectomics work has implicated fronto-limbic and interoceptive networks in BD </w:t>
      </w:r>
      <w:sdt>
        <w:sdtPr>
          <w:rPr>
            <w:sz w:val="24"/>
            <w:szCs w:val="24"/>
          </w:rPr>
          <w:id w:val="-826827187"/>
          <w:citation/>
        </w:sdtPr>
        <w:sdtContent>
          <w:r w:rsidR="0058142A">
            <w:rPr>
              <w:sz w:val="24"/>
              <w:szCs w:val="24"/>
            </w:rPr>
            <w:fldChar w:fldCharType="begin"/>
          </w:r>
          <w:r w:rsidR="008144E2">
            <w:rPr>
              <w:sz w:val="24"/>
              <w:szCs w:val="24"/>
            </w:rPr>
            <w:instrText xml:space="preserve">CITATION Mes23 \m Per19 \l 1033 </w:instrText>
          </w:r>
          <w:r w:rsidR="0058142A">
            <w:rPr>
              <w:sz w:val="24"/>
              <w:szCs w:val="24"/>
            </w:rPr>
            <w:fldChar w:fldCharType="separate"/>
          </w:r>
          <w:r w:rsidR="00D675DF" w:rsidRPr="00D675DF">
            <w:rPr>
              <w:noProof/>
              <w:sz w:val="24"/>
              <w:szCs w:val="24"/>
            </w:rPr>
            <w:t>[3, 4]</w:t>
          </w:r>
          <w:r w:rsidR="0058142A">
            <w:rPr>
              <w:sz w:val="24"/>
              <w:szCs w:val="24"/>
            </w:rPr>
            <w:fldChar w:fldCharType="end"/>
          </w:r>
        </w:sdtContent>
      </w:sdt>
      <w:r w:rsidRPr="00256424">
        <w:rPr>
          <w:sz w:val="24"/>
          <w:szCs w:val="24"/>
        </w:rPr>
        <w:t xml:space="preserve">, while HRV studies suggest altered autonomic regulation but do not directly address cortical processing of cardiac signals </w:t>
      </w:r>
      <w:sdt>
        <w:sdtPr>
          <w:rPr>
            <w:sz w:val="24"/>
            <w:szCs w:val="24"/>
          </w:rPr>
          <w:id w:val="-1886326317"/>
          <w:citation/>
        </w:sdtPr>
        <w:sdtContent>
          <w:r w:rsidR="0058142A">
            <w:rPr>
              <w:sz w:val="24"/>
              <w:szCs w:val="24"/>
            </w:rPr>
            <w:fldChar w:fldCharType="begin"/>
          </w:r>
          <w:r w:rsidR="0058142A">
            <w:rPr>
              <w:sz w:val="24"/>
              <w:szCs w:val="24"/>
            </w:rPr>
            <w:instrText xml:space="preserve"> CITATION Tha09 \l 1033  \m Fau17</w:instrText>
          </w:r>
          <w:r w:rsidR="0058142A">
            <w:rPr>
              <w:sz w:val="24"/>
              <w:szCs w:val="24"/>
            </w:rPr>
            <w:fldChar w:fldCharType="separate"/>
          </w:r>
          <w:r w:rsidR="00D675DF" w:rsidRPr="00D675DF">
            <w:rPr>
              <w:noProof/>
              <w:sz w:val="24"/>
              <w:szCs w:val="24"/>
            </w:rPr>
            <w:t>[7, 9]</w:t>
          </w:r>
          <w:r w:rsidR="0058142A">
            <w:rPr>
              <w:sz w:val="24"/>
              <w:szCs w:val="24"/>
            </w:rPr>
            <w:fldChar w:fldCharType="end"/>
          </w:r>
        </w:sdtContent>
      </w:sdt>
      <w:r w:rsidRPr="00256424">
        <w:rPr>
          <w:sz w:val="24"/>
          <w:szCs w:val="24"/>
        </w:rPr>
        <w:t xml:space="preserve">. Heartbeat-evoked cortical responses provide a complementary measure of heart-to-brain coupling, although their interpretation depends strongly on task context and artifact control </w:t>
      </w:r>
      <w:sdt>
        <w:sdtPr>
          <w:rPr>
            <w:sz w:val="24"/>
            <w:szCs w:val="24"/>
          </w:rPr>
          <w:id w:val="-1276407248"/>
          <w:citation/>
        </w:sdtPr>
        <w:sdtContent>
          <w:r w:rsidR="0058142A">
            <w:rPr>
              <w:sz w:val="24"/>
              <w:szCs w:val="24"/>
            </w:rPr>
            <w:fldChar w:fldCharType="begin"/>
          </w:r>
          <w:r w:rsidR="0058142A">
            <w:rPr>
              <w:sz w:val="24"/>
              <w:szCs w:val="24"/>
            </w:rPr>
            <w:instrText xml:space="preserve"> CITATION Par19 \l 1033  \m Col21 \m Dir97</w:instrText>
          </w:r>
          <w:r w:rsidR="0058142A">
            <w:rPr>
              <w:sz w:val="24"/>
              <w:szCs w:val="24"/>
            </w:rPr>
            <w:fldChar w:fldCharType="separate"/>
          </w:r>
          <w:r w:rsidR="00D675DF" w:rsidRPr="00D675DF">
            <w:rPr>
              <w:noProof/>
              <w:sz w:val="24"/>
              <w:szCs w:val="24"/>
            </w:rPr>
            <w:t>[10, 12, 18]</w:t>
          </w:r>
          <w:r w:rsidR="0058142A">
            <w:rPr>
              <w:sz w:val="24"/>
              <w:szCs w:val="24"/>
            </w:rPr>
            <w:fldChar w:fldCharType="end"/>
          </w:r>
        </w:sdtContent>
      </w:sdt>
      <w:r w:rsidRPr="00256424">
        <w:rPr>
          <w:sz w:val="24"/>
          <w:szCs w:val="24"/>
        </w:rPr>
        <w:t xml:space="preserve">. </w:t>
      </w:r>
      <w:r w:rsidR="0021776F" w:rsidRPr="0021776F">
        <w:rPr>
          <w:sz w:val="24"/>
          <w:szCs w:val="24"/>
        </w:rPr>
        <w:t>Prior HEP work in major depression reported altered heartbeat-related bodily processing</w:t>
      </w:r>
      <w:r w:rsidRPr="00256424">
        <w:rPr>
          <w:sz w:val="24"/>
          <w:szCs w:val="24"/>
        </w:rPr>
        <w:t xml:space="preserve"> </w:t>
      </w:r>
      <w:sdt>
        <w:sdtPr>
          <w:rPr>
            <w:sz w:val="24"/>
            <w:szCs w:val="24"/>
          </w:rPr>
          <w:id w:val="1046186610"/>
          <w:citation/>
        </w:sdtPr>
        <w:sdtContent>
          <w:r w:rsidR="0058142A">
            <w:rPr>
              <w:sz w:val="24"/>
              <w:szCs w:val="24"/>
            </w:rPr>
            <w:fldChar w:fldCharType="begin"/>
          </w:r>
          <w:r w:rsidR="0058142A">
            <w:rPr>
              <w:sz w:val="24"/>
              <w:szCs w:val="24"/>
            </w:rPr>
            <w:instrText xml:space="preserve"> CITATION Ter12 \l 1033 </w:instrText>
          </w:r>
          <w:r w:rsidR="0058142A">
            <w:rPr>
              <w:sz w:val="24"/>
              <w:szCs w:val="24"/>
            </w:rPr>
            <w:fldChar w:fldCharType="separate"/>
          </w:r>
          <w:r w:rsidR="00D675DF" w:rsidRPr="00D675DF">
            <w:rPr>
              <w:noProof/>
              <w:sz w:val="24"/>
              <w:szCs w:val="24"/>
            </w:rPr>
            <w:t>[20]</w:t>
          </w:r>
          <w:r w:rsidR="0058142A">
            <w:rPr>
              <w:sz w:val="24"/>
              <w:szCs w:val="24"/>
            </w:rPr>
            <w:fldChar w:fldCharType="end"/>
          </w:r>
        </w:sdtContent>
      </w:sdt>
      <w:r w:rsidRPr="00256424">
        <w:rPr>
          <w:sz w:val="24"/>
          <w:szCs w:val="24"/>
        </w:rPr>
        <w:t>, but the present study differs by focusing on BD depression in a passive resting paradigm. The most conservative interpretation is that depressed BD patients show altered spontaneous cardio-cortical field expression during an early post-R interval. This should not be equated with conscious heartbeat awareness, because participants were not instructed to attend to or report heartbeat sensations.</w:t>
      </w:r>
    </w:p>
    <w:p w14:paraId="05F4B54A" w14:textId="77777777" w:rsidR="006E6D4D" w:rsidRPr="00256424" w:rsidRDefault="00000000" w:rsidP="00256424">
      <w:pPr>
        <w:spacing w:before="120" w:after="0" w:line="360" w:lineRule="auto"/>
        <w:jc w:val="both"/>
        <w:rPr>
          <w:sz w:val="24"/>
          <w:szCs w:val="24"/>
        </w:rPr>
      </w:pPr>
      <w:r w:rsidRPr="00256424">
        <w:rPr>
          <w:sz w:val="24"/>
          <w:szCs w:val="24"/>
        </w:rPr>
        <w:lastRenderedPageBreak/>
        <w:t xml:space="preserve">Exploratory localization pointed to a posterior/centroparietal cluster from 100 to 300 ms. This is compatible with evidence that heartbeat-related signals can influence somatosensory and perceptual processing and are not limited to frontal scalp regions </w:t>
      </w:r>
      <w:sdt>
        <w:sdtPr>
          <w:rPr>
            <w:sz w:val="24"/>
            <w:szCs w:val="24"/>
          </w:rPr>
          <w:id w:val="-1452241308"/>
          <w:citation/>
        </w:sdtPr>
        <w:sdtContent>
          <w:r w:rsidR="0058142A">
            <w:rPr>
              <w:sz w:val="24"/>
              <w:szCs w:val="24"/>
            </w:rPr>
            <w:fldChar w:fldCharType="begin"/>
          </w:r>
          <w:r w:rsidR="008144E2">
            <w:rPr>
              <w:sz w:val="24"/>
              <w:szCs w:val="24"/>
            </w:rPr>
            <w:instrText xml:space="preserve">CITATION Par19 \m Pol05 \m AlE20 \l 1033 </w:instrText>
          </w:r>
          <w:r w:rsidR="0058142A">
            <w:rPr>
              <w:sz w:val="24"/>
              <w:szCs w:val="24"/>
            </w:rPr>
            <w:fldChar w:fldCharType="separate"/>
          </w:r>
          <w:r w:rsidR="00D675DF" w:rsidRPr="00D675DF">
            <w:rPr>
              <w:noProof/>
              <w:sz w:val="24"/>
              <w:szCs w:val="24"/>
            </w:rPr>
            <w:t>[10, 11, 21]</w:t>
          </w:r>
          <w:r w:rsidR="0058142A">
            <w:rPr>
              <w:sz w:val="24"/>
              <w:szCs w:val="24"/>
            </w:rPr>
            <w:fldChar w:fldCharType="end"/>
          </w:r>
        </w:sdtContent>
      </w:sdt>
      <w:r w:rsidRPr="00256424">
        <w:rPr>
          <w:sz w:val="24"/>
          <w:szCs w:val="24"/>
        </w:rPr>
        <w:t>. The cluster analysis was exploratory and should not redefine the primary endpoint, but it argues against treating the effect as a focal frontal HEP abnormality. Instead, the data suggest that the relevant signal is distributed and topographic.</w:t>
      </w:r>
    </w:p>
    <w:p w14:paraId="17DB8FEF" w14:textId="77777777" w:rsidR="006E6D4D" w:rsidRPr="00256424" w:rsidRDefault="00000000" w:rsidP="0021776F">
      <w:pPr>
        <w:spacing w:before="120" w:after="0" w:line="360" w:lineRule="auto"/>
        <w:jc w:val="both"/>
        <w:rPr>
          <w:sz w:val="24"/>
          <w:szCs w:val="24"/>
        </w:rPr>
      </w:pPr>
      <w:r w:rsidRPr="00256424">
        <w:rPr>
          <w:sz w:val="24"/>
          <w:szCs w:val="24"/>
        </w:rPr>
        <w:t xml:space="preserve">Siblings showed intermediate values and did not differ significantly from depressed BD patients or healthy controls after correction. This pattern is compatible with partial familial-risk involvement, compensatory physiology, or limited power to resolve intermediate groups. </w:t>
      </w:r>
      <w:r w:rsidR="0021776F">
        <w:rPr>
          <w:sz w:val="24"/>
          <w:szCs w:val="24"/>
        </w:rPr>
        <w:t>However, t</w:t>
      </w:r>
      <w:r w:rsidR="0021776F" w:rsidRPr="00256424">
        <w:rPr>
          <w:sz w:val="24"/>
          <w:szCs w:val="24"/>
        </w:rPr>
        <w:t>he sibling pattern requires caution</w:t>
      </w:r>
      <w:r w:rsidR="0021776F">
        <w:rPr>
          <w:sz w:val="24"/>
          <w:szCs w:val="24"/>
        </w:rPr>
        <w:t>.</w:t>
      </w:r>
      <w:r w:rsidR="0021776F" w:rsidRPr="0021776F">
        <w:rPr>
          <w:sz w:val="24"/>
          <w:szCs w:val="24"/>
        </w:rPr>
        <w:t xml:space="preserve"> This cautious interpretation is consistent with recent review evidence showing resting-state network alterations in first-degree relatives of BD patients, but with substantial heterogeneity across samples, clinical characteristics, and analytic methods</w:t>
      </w:r>
      <w:r w:rsidR="004B14A6">
        <w:rPr>
          <w:sz w:val="24"/>
          <w:szCs w:val="24"/>
        </w:rPr>
        <w:t xml:space="preserve"> </w:t>
      </w:r>
      <w:sdt>
        <w:sdtPr>
          <w:rPr>
            <w:sz w:val="24"/>
            <w:szCs w:val="24"/>
          </w:rPr>
          <w:id w:val="240458475"/>
          <w:citation/>
        </w:sdtPr>
        <w:sdtContent>
          <w:r w:rsidR="004B14A6">
            <w:rPr>
              <w:sz w:val="24"/>
              <w:szCs w:val="24"/>
            </w:rPr>
            <w:fldChar w:fldCharType="begin"/>
          </w:r>
          <w:r w:rsidR="004B14A6">
            <w:rPr>
              <w:sz w:val="24"/>
              <w:szCs w:val="24"/>
            </w:rPr>
            <w:instrText xml:space="preserve"> CITATION Cat24 \l 1033 </w:instrText>
          </w:r>
          <w:r w:rsidR="004B14A6">
            <w:rPr>
              <w:sz w:val="24"/>
              <w:szCs w:val="24"/>
            </w:rPr>
            <w:fldChar w:fldCharType="separate"/>
          </w:r>
          <w:r w:rsidR="00D675DF" w:rsidRPr="00D675DF">
            <w:rPr>
              <w:noProof/>
              <w:sz w:val="24"/>
              <w:szCs w:val="24"/>
            </w:rPr>
            <w:t>[6]</w:t>
          </w:r>
          <w:r w:rsidR="004B14A6">
            <w:rPr>
              <w:sz w:val="24"/>
              <w:szCs w:val="24"/>
            </w:rPr>
            <w:fldChar w:fldCharType="end"/>
          </w:r>
        </w:sdtContent>
      </w:sdt>
      <w:r w:rsidR="004B14A6">
        <w:rPr>
          <w:sz w:val="24"/>
          <w:szCs w:val="24"/>
        </w:rPr>
        <w:t>.</w:t>
      </w:r>
      <w:r w:rsidR="0021776F" w:rsidRPr="0021776F">
        <w:rPr>
          <w:sz w:val="24"/>
          <w:szCs w:val="24"/>
        </w:rPr>
        <w:t xml:space="preserve"> </w:t>
      </w:r>
      <w:r w:rsidRPr="00256424">
        <w:rPr>
          <w:sz w:val="24"/>
          <w:szCs w:val="24"/>
        </w:rPr>
        <w:t>Therefore, the data support a robust depressed-BD difference from HC and euthymic BD, but they do not establish that the effect is purely state-specific or independent of familial vulnerability.</w:t>
      </w:r>
    </w:p>
    <w:p w14:paraId="5D2D7234" w14:textId="77777777" w:rsidR="006E6D4D" w:rsidRPr="00256424" w:rsidRDefault="00000000" w:rsidP="00256424">
      <w:pPr>
        <w:spacing w:before="120" w:after="0" w:line="360" w:lineRule="auto"/>
        <w:jc w:val="both"/>
        <w:rPr>
          <w:sz w:val="24"/>
          <w:szCs w:val="24"/>
        </w:rPr>
      </w:pPr>
      <w:r w:rsidRPr="00256424">
        <w:rPr>
          <w:sz w:val="24"/>
          <w:szCs w:val="24"/>
        </w:rPr>
        <w:t>BD-only exploratory analyses did not show corrected associations with MADRS, GAF, YMRS, or medication burden. Thus, the primary field score should not be presented as a dimensional marker of depressive severity. It may instead reflect a group-level physiological state or network configuration associated with bipolar depression, or a process that is only partly captured by symptom-rating scales.</w:t>
      </w:r>
    </w:p>
    <w:p w14:paraId="33831F71" w14:textId="77777777" w:rsidR="00600026" w:rsidRDefault="00600026" w:rsidP="004C4C78">
      <w:pPr>
        <w:spacing w:before="120" w:after="0" w:line="360" w:lineRule="auto"/>
        <w:jc w:val="both"/>
        <w:rPr>
          <w:sz w:val="24"/>
          <w:szCs w:val="24"/>
        </w:rPr>
      </w:pPr>
      <w:r w:rsidRPr="00716172">
        <w:rPr>
          <w:rFonts w:cs="Times New Roman"/>
          <w:b/>
          <w:bCs/>
          <w:sz w:val="24"/>
          <w:szCs w:val="24"/>
          <w:lang w:val="en-IL"/>
        </w:rPr>
        <w:t>Limitations and future directions</w:t>
      </w:r>
    </w:p>
    <w:p w14:paraId="4859F0C4" w14:textId="77777777" w:rsidR="006E6D4D" w:rsidRPr="00256424" w:rsidRDefault="00000000" w:rsidP="00600026">
      <w:pPr>
        <w:spacing w:after="0" w:line="360" w:lineRule="auto"/>
        <w:jc w:val="both"/>
        <w:rPr>
          <w:sz w:val="24"/>
          <w:szCs w:val="24"/>
        </w:rPr>
      </w:pPr>
      <w:r w:rsidRPr="00256424">
        <w:rPr>
          <w:sz w:val="24"/>
          <w:szCs w:val="24"/>
        </w:rPr>
        <w:t>Several limitations are important. The sample was modest, medication exposure was unavoidable in the clinical groups, and residual confounding by cardiovascular variables, illness duration, or treatment history cannot be excluded. The resting recording was brief, and scalp EEG cannot establish the neural generators of R-locked fields. Although the analysis orthogonalized the primary template to peri-R CFA and used pseudo-events, cardiac-field artifact and pulse-related effects remain central concerns in heartbeat-locked EEG</w:t>
      </w:r>
      <w:sdt>
        <w:sdtPr>
          <w:rPr>
            <w:sz w:val="24"/>
            <w:szCs w:val="24"/>
          </w:rPr>
          <w:id w:val="-469135340"/>
          <w:citation/>
        </w:sdtPr>
        <w:sdtContent>
          <w:r w:rsidR="004B14A6">
            <w:rPr>
              <w:sz w:val="24"/>
              <w:szCs w:val="24"/>
            </w:rPr>
            <w:fldChar w:fldCharType="begin"/>
          </w:r>
          <w:r w:rsidR="008144E2">
            <w:rPr>
              <w:sz w:val="24"/>
              <w:szCs w:val="24"/>
            </w:rPr>
            <w:instrText xml:space="preserve">CITATION Ste251 \m AlE20 \l 1033 </w:instrText>
          </w:r>
          <w:r w:rsidR="004B14A6">
            <w:rPr>
              <w:sz w:val="24"/>
              <w:szCs w:val="24"/>
            </w:rPr>
            <w:fldChar w:fldCharType="separate"/>
          </w:r>
          <w:r w:rsidR="00D675DF">
            <w:rPr>
              <w:noProof/>
              <w:sz w:val="24"/>
              <w:szCs w:val="24"/>
            </w:rPr>
            <w:t xml:space="preserve"> </w:t>
          </w:r>
          <w:r w:rsidR="00D675DF" w:rsidRPr="00D675DF">
            <w:rPr>
              <w:noProof/>
              <w:sz w:val="24"/>
              <w:szCs w:val="24"/>
            </w:rPr>
            <w:t>[19, 21]</w:t>
          </w:r>
          <w:r w:rsidR="004B14A6">
            <w:rPr>
              <w:sz w:val="24"/>
              <w:szCs w:val="24"/>
            </w:rPr>
            <w:fldChar w:fldCharType="end"/>
          </w:r>
        </w:sdtContent>
      </w:sdt>
      <w:r w:rsidRPr="00256424">
        <w:rPr>
          <w:sz w:val="24"/>
          <w:szCs w:val="24"/>
        </w:rPr>
        <w:t>. Replication in larger, prospectively stratified samples with independent validation templates, richer autonomic phenotyping, and source-level or multimodal imaging would be valuable.</w:t>
      </w:r>
    </w:p>
    <w:p w14:paraId="3D766A51" w14:textId="77777777" w:rsidR="008677DA" w:rsidRPr="00006EF5" w:rsidRDefault="00000000" w:rsidP="009E2498">
      <w:pPr>
        <w:pStyle w:val="Heading1"/>
        <w:spacing w:before="120" w:line="360" w:lineRule="auto"/>
        <w:jc w:val="both"/>
        <w:rPr>
          <w:color w:val="000000" w:themeColor="text1"/>
          <w:sz w:val="36"/>
          <w:szCs w:val="36"/>
        </w:rPr>
      </w:pPr>
      <w:r w:rsidRPr="00006EF5">
        <w:rPr>
          <w:rFonts w:ascii="Times New Roman" w:eastAsia="Times New Roman" w:hAnsi="Times New Roman"/>
          <w:color w:val="000000" w:themeColor="text1"/>
          <w:szCs w:val="36"/>
        </w:rPr>
        <w:t>Conclusions</w:t>
      </w:r>
    </w:p>
    <w:p w14:paraId="02D97A79" w14:textId="77777777" w:rsidR="004C4C78" w:rsidRPr="00256424" w:rsidRDefault="000566BC" w:rsidP="000566BC">
      <w:pPr>
        <w:spacing w:after="0" w:line="360" w:lineRule="auto"/>
        <w:jc w:val="both"/>
        <w:rPr>
          <w:sz w:val="24"/>
          <w:szCs w:val="24"/>
        </w:rPr>
      </w:pPr>
      <w:r w:rsidRPr="000566BC">
        <w:rPr>
          <w:sz w:val="24"/>
          <w:szCs w:val="24"/>
        </w:rPr>
        <w:t xml:space="preserve">Bipolar depression was associated with attenuated early passive resting R-locked distributed EEG field expression. The effect was robust to cardiac-field and cardiac-physiology adjustment and was absent around pseudo-events, supporting a temporally specific alteration in spontaneous cardio-cortical coupling during bipolar depression. Because sibling effects were intermediate but non-significant and </w:t>
      </w:r>
      <w:r w:rsidRPr="000566BC">
        <w:rPr>
          <w:sz w:val="24"/>
          <w:szCs w:val="24"/>
        </w:rPr>
        <w:lastRenderedPageBreak/>
        <w:t>symptom-severity associations were not detected, the finding should be treated as a preliminary state-associated physiological signature requiring independent replication rather than as a diagnostic or severity biomarker</w:t>
      </w:r>
      <w:r>
        <w:rPr>
          <w:sz w:val="24"/>
          <w:szCs w:val="24"/>
        </w:rPr>
        <w:t>.</w:t>
      </w:r>
    </w:p>
    <w:p w14:paraId="6C3C2DA6" w14:textId="77777777" w:rsidR="00256424" w:rsidRDefault="00256424">
      <w:r>
        <w:br w:type="page"/>
      </w:r>
    </w:p>
    <w:sdt>
      <w:sdtPr>
        <w:rPr>
          <w:rFonts w:ascii="Times New Roman" w:eastAsia="Times New Roman" w:hAnsi="Times New Roman" w:cs="Times New Roman"/>
          <w:b w:val="0"/>
          <w:bCs w:val="0"/>
          <w:color w:val="000000" w:themeColor="text1"/>
          <w:sz w:val="32"/>
          <w:szCs w:val="32"/>
        </w:rPr>
        <w:id w:val="-108587882"/>
        <w:docPartObj>
          <w:docPartGallery w:val="Bibliographies"/>
          <w:docPartUnique/>
        </w:docPartObj>
      </w:sdtPr>
      <w:sdtEndPr>
        <w:rPr>
          <w:rFonts w:cstheme="minorBidi"/>
          <w:color w:val="auto"/>
          <w:sz w:val="22"/>
          <w:szCs w:val="22"/>
        </w:rPr>
      </w:sdtEndPr>
      <w:sdtContent>
        <w:p w14:paraId="5BB03443" w14:textId="77777777" w:rsidR="007C13F1" w:rsidRPr="00D675DF" w:rsidRDefault="007C13F1" w:rsidP="00451026">
          <w:pPr>
            <w:pStyle w:val="Heading1"/>
            <w:jc w:val="both"/>
            <w:rPr>
              <w:sz w:val="32"/>
              <w:szCs w:val="32"/>
            </w:rPr>
          </w:pPr>
          <w:r w:rsidRPr="00D675DF">
            <w:rPr>
              <w:rFonts w:ascii="Times New Roman" w:hAnsi="Times New Roman" w:cs="Times New Roman"/>
              <w:color w:val="000000" w:themeColor="text1"/>
              <w:sz w:val="32"/>
              <w:szCs w:val="32"/>
            </w:rPr>
            <w:t>References</w:t>
          </w:r>
        </w:p>
        <w:sdt>
          <w:sdtPr>
            <w:rPr>
              <w:b/>
              <w:bCs/>
            </w:rPr>
            <w:id w:val="-573587230"/>
            <w:bibliography/>
          </w:sdtPr>
          <w:sdtEndPr>
            <w:rPr>
              <w:b w:val="0"/>
              <w:bCs w:val="0"/>
            </w:rPr>
          </w:sdtEndPr>
          <w:sdtContent>
            <w:p w14:paraId="11D1E1F5" w14:textId="77777777" w:rsidR="00D675DF" w:rsidRPr="00DC7DCE" w:rsidRDefault="007C13F1" w:rsidP="00451026">
              <w:pPr>
                <w:jc w:val="both"/>
                <w:rPr>
                  <w:rFonts w:eastAsiaTheme="minorEastAsia" w:cs="Times New Roman"/>
                  <w:noProof/>
                  <w:sz w:val="8"/>
                  <w:szCs w:val="8"/>
                </w:rPr>
              </w:pPr>
              <w:r w:rsidRPr="00D675DF">
                <w:rPr>
                  <w:rFonts w:asciiTheme="majorHAnsi" w:eastAsiaTheme="majorEastAsia" w:hAnsiTheme="majorHAnsi" w:cstheme="majorBidi"/>
                  <w:color w:val="365F91" w:themeColor="accent1" w:themeShade="BF"/>
                </w:rPr>
                <w:fldChar w:fldCharType="begin"/>
              </w:r>
              <w:r w:rsidRPr="00D675DF">
                <w:instrText xml:space="preserve"> BIBLIOGRAPHY </w:instrText>
              </w:r>
              <w:r w:rsidRPr="00D675DF">
                <w:rPr>
                  <w:rFonts w:asciiTheme="majorHAnsi" w:eastAsiaTheme="majorEastAsia" w:hAnsiTheme="majorHAnsi" w:cstheme="majorBidi"/>
                  <w:color w:val="365F91" w:themeColor="accent1" w:themeShade="BF"/>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9350"/>
              </w:tblGrid>
              <w:tr w:rsidR="00D675DF" w14:paraId="281FDA41" w14:textId="77777777" w:rsidTr="00451026">
                <w:trPr>
                  <w:divId w:val="297228279"/>
                  <w:tblCellSpacing w:w="15" w:type="dxa"/>
                </w:trPr>
                <w:tc>
                  <w:tcPr>
                    <w:tcW w:w="50" w:type="pct"/>
                    <w:hideMark/>
                  </w:tcPr>
                  <w:p w14:paraId="3BD631E5" w14:textId="77777777" w:rsidR="00D675DF" w:rsidRDefault="00D675DF" w:rsidP="00451026">
                    <w:pPr>
                      <w:pStyle w:val="Bibliography"/>
                      <w:jc w:val="both"/>
                      <w:rPr>
                        <w:noProof/>
                        <w:sz w:val="24"/>
                        <w:szCs w:val="24"/>
                      </w:rPr>
                    </w:pPr>
                    <w:r>
                      <w:rPr>
                        <w:noProof/>
                      </w:rPr>
                      <w:t xml:space="preserve">[1] </w:t>
                    </w:r>
                  </w:p>
                </w:tc>
                <w:tc>
                  <w:tcPr>
                    <w:tcW w:w="0" w:type="auto"/>
                    <w:hideMark/>
                  </w:tcPr>
                  <w:p w14:paraId="2344F962" w14:textId="77777777" w:rsidR="00D675DF" w:rsidRDefault="00D675DF" w:rsidP="00451026">
                    <w:pPr>
                      <w:pStyle w:val="Bibliography"/>
                      <w:jc w:val="both"/>
                      <w:rPr>
                        <w:noProof/>
                      </w:rPr>
                    </w:pPr>
                    <w:r>
                      <w:rPr>
                        <w:noProof/>
                      </w:rPr>
                      <w:t xml:space="preserve">I. Grande, M. Berk, B. Birmaher and E. Vieta, "Bipolar disorder.," </w:t>
                    </w:r>
                    <w:r>
                      <w:rPr>
                        <w:i/>
                        <w:iCs/>
                        <w:noProof/>
                      </w:rPr>
                      <w:t xml:space="preserve">Lancet, </w:t>
                    </w:r>
                    <w:r>
                      <w:rPr>
                        <w:noProof/>
                      </w:rPr>
                      <w:t xml:space="preserve">vol. 387, no. 10027, p. 1561–1572, 9 Apr 2016. </w:t>
                    </w:r>
                  </w:p>
                </w:tc>
              </w:tr>
              <w:tr w:rsidR="00D675DF" w14:paraId="67BD29DE" w14:textId="77777777" w:rsidTr="00451026">
                <w:trPr>
                  <w:divId w:val="297228279"/>
                  <w:tblCellSpacing w:w="15" w:type="dxa"/>
                </w:trPr>
                <w:tc>
                  <w:tcPr>
                    <w:tcW w:w="50" w:type="pct"/>
                    <w:hideMark/>
                  </w:tcPr>
                  <w:p w14:paraId="6904A52F" w14:textId="77777777" w:rsidR="00D675DF" w:rsidRDefault="00D675DF" w:rsidP="00451026">
                    <w:pPr>
                      <w:pStyle w:val="Bibliography"/>
                      <w:jc w:val="both"/>
                      <w:rPr>
                        <w:noProof/>
                      </w:rPr>
                    </w:pPr>
                    <w:r>
                      <w:rPr>
                        <w:noProof/>
                      </w:rPr>
                      <w:t xml:space="preserve">[2] </w:t>
                    </w:r>
                  </w:p>
                </w:tc>
                <w:tc>
                  <w:tcPr>
                    <w:tcW w:w="0" w:type="auto"/>
                    <w:hideMark/>
                  </w:tcPr>
                  <w:p w14:paraId="7241F767" w14:textId="77777777" w:rsidR="00D675DF" w:rsidRDefault="00D675DF" w:rsidP="00451026">
                    <w:pPr>
                      <w:pStyle w:val="Bibliography"/>
                      <w:jc w:val="both"/>
                      <w:rPr>
                        <w:noProof/>
                      </w:rPr>
                    </w:pPr>
                    <w:r>
                      <w:rPr>
                        <w:noProof/>
                      </w:rPr>
                      <w:t xml:space="preserve">E. Vieta, M. Berk, T. Schulze, A. Carvalho, T. Suppes, J. Calabrese and e. al., "Bipolar disorders.," </w:t>
                    </w:r>
                    <w:r>
                      <w:rPr>
                        <w:i/>
                        <w:iCs/>
                        <w:noProof/>
                      </w:rPr>
                      <w:t xml:space="preserve">Nat Rev Dis Primers, </w:t>
                    </w:r>
                    <w:r>
                      <w:rPr>
                        <w:noProof/>
                      </w:rPr>
                      <w:t xml:space="preserve">vol. 4, p. 18008, 8 Mar 2018. </w:t>
                    </w:r>
                  </w:p>
                </w:tc>
              </w:tr>
              <w:tr w:rsidR="00D675DF" w14:paraId="08839093" w14:textId="77777777" w:rsidTr="00451026">
                <w:trPr>
                  <w:divId w:val="297228279"/>
                  <w:tblCellSpacing w:w="15" w:type="dxa"/>
                </w:trPr>
                <w:tc>
                  <w:tcPr>
                    <w:tcW w:w="50" w:type="pct"/>
                    <w:hideMark/>
                  </w:tcPr>
                  <w:p w14:paraId="5EFC28CD" w14:textId="77777777" w:rsidR="00D675DF" w:rsidRDefault="00D675DF" w:rsidP="00451026">
                    <w:pPr>
                      <w:pStyle w:val="Bibliography"/>
                      <w:jc w:val="both"/>
                      <w:rPr>
                        <w:noProof/>
                      </w:rPr>
                    </w:pPr>
                    <w:r>
                      <w:rPr>
                        <w:noProof/>
                      </w:rPr>
                      <w:t xml:space="preserve">[3] </w:t>
                    </w:r>
                  </w:p>
                </w:tc>
                <w:tc>
                  <w:tcPr>
                    <w:tcW w:w="0" w:type="auto"/>
                    <w:hideMark/>
                  </w:tcPr>
                  <w:p w14:paraId="0AB623AE" w14:textId="77777777" w:rsidR="00D675DF" w:rsidRDefault="00D675DF" w:rsidP="00451026">
                    <w:pPr>
                      <w:pStyle w:val="Bibliography"/>
                      <w:jc w:val="both"/>
                      <w:rPr>
                        <w:noProof/>
                      </w:rPr>
                    </w:pPr>
                    <w:r>
                      <w:rPr>
                        <w:noProof/>
                      </w:rPr>
                      <w:t xml:space="preserve">R. Mesbah, M. Koenders, N. van der Wee, E. Giltay, A. van Hemert and M. de Leeuw, "Association between the fronto-limbic network and cognitive and emotional functioning in individuals with bipolar disorder: a systematic review and meta-analysis.," </w:t>
                    </w:r>
                    <w:r>
                      <w:rPr>
                        <w:i/>
                        <w:iCs/>
                        <w:noProof/>
                      </w:rPr>
                      <w:t xml:space="preserve">JAMA Psychiatry, </w:t>
                    </w:r>
                    <w:r>
                      <w:rPr>
                        <w:noProof/>
                      </w:rPr>
                      <w:t xml:space="preserve">vol. 80, no. 5, p. 432–440, 1 May 2023. </w:t>
                    </w:r>
                  </w:p>
                </w:tc>
              </w:tr>
              <w:tr w:rsidR="00D675DF" w14:paraId="521F2322" w14:textId="77777777" w:rsidTr="00451026">
                <w:trPr>
                  <w:divId w:val="297228279"/>
                  <w:tblCellSpacing w:w="15" w:type="dxa"/>
                </w:trPr>
                <w:tc>
                  <w:tcPr>
                    <w:tcW w:w="50" w:type="pct"/>
                    <w:hideMark/>
                  </w:tcPr>
                  <w:p w14:paraId="3A4DFA05" w14:textId="77777777" w:rsidR="00D675DF" w:rsidRDefault="00D675DF" w:rsidP="00451026">
                    <w:pPr>
                      <w:pStyle w:val="Bibliography"/>
                      <w:jc w:val="both"/>
                      <w:rPr>
                        <w:noProof/>
                      </w:rPr>
                    </w:pPr>
                    <w:r>
                      <w:rPr>
                        <w:noProof/>
                      </w:rPr>
                      <w:t xml:space="preserve">[4] </w:t>
                    </w:r>
                  </w:p>
                </w:tc>
                <w:tc>
                  <w:tcPr>
                    <w:tcW w:w="0" w:type="auto"/>
                    <w:hideMark/>
                  </w:tcPr>
                  <w:p w14:paraId="5C7D6882" w14:textId="77777777" w:rsidR="00D675DF" w:rsidRDefault="00D675DF" w:rsidP="00451026">
                    <w:pPr>
                      <w:pStyle w:val="Bibliography"/>
                      <w:jc w:val="both"/>
                      <w:rPr>
                        <w:noProof/>
                      </w:rPr>
                    </w:pPr>
                    <w:r>
                      <w:rPr>
                        <w:noProof/>
                      </w:rPr>
                      <w:t xml:space="preserve">A. Perry, G. Roberts, P. Mitchell and M. Breakspear, "Connectomics of bipolar disorder: a critical review, and evidence for dynamic instabilities within interoceptive networks.," </w:t>
                    </w:r>
                    <w:r>
                      <w:rPr>
                        <w:i/>
                        <w:iCs/>
                        <w:noProof/>
                      </w:rPr>
                      <w:t xml:space="preserve">Mol Psychiatry, </w:t>
                    </w:r>
                    <w:r>
                      <w:rPr>
                        <w:noProof/>
                      </w:rPr>
                      <w:t xml:space="preserve">vol. 24, no. 9, p. 1296–1318, Sep 2019. </w:t>
                    </w:r>
                  </w:p>
                </w:tc>
              </w:tr>
              <w:tr w:rsidR="00D675DF" w14:paraId="0BA6755C" w14:textId="77777777" w:rsidTr="00451026">
                <w:trPr>
                  <w:divId w:val="297228279"/>
                  <w:tblCellSpacing w:w="15" w:type="dxa"/>
                </w:trPr>
                <w:tc>
                  <w:tcPr>
                    <w:tcW w:w="50" w:type="pct"/>
                    <w:hideMark/>
                  </w:tcPr>
                  <w:p w14:paraId="0F93BC60" w14:textId="77777777" w:rsidR="00D675DF" w:rsidRDefault="00D675DF" w:rsidP="00451026">
                    <w:pPr>
                      <w:pStyle w:val="Bibliography"/>
                      <w:jc w:val="both"/>
                      <w:rPr>
                        <w:noProof/>
                      </w:rPr>
                    </w:pPr>
                    <w:r>
                      <w:rPr>
                        <w:noProof/>
                      </w:rPr>
                      <w:t xml:space="preserve">[5] </w:t>
                    </w:r>
                  </w:p>
                </w:tc>
                <w:tc>
                  <w:tcPr>
                    <w:tcW w:w="0" w:type="auto"/>
                    <w:hideMark/>
                  </w:tcPr>
                  <w:p w14:paraId="31AE6D5E" w14:textId="77777777" w:rsidR="00D675DF" w:rsidRDefault="00D675DF" w:rsidP="00451026">
                    <w:pPr>
                      <w:pStyle w:val="Bibliography"/>
                      <w:jc w:val="both"/>
                      <w:rPr>
                        <w:noProof/>
                      </w:rPr>
                    </w:pPr>
                    <w:r>
                      <w:rPr>
                        <w:noProof/>
                      </w:rPr>
                      <w:t xml:space="preserve">K. Miskowiak, H. Kjaerstad, I. Meluken, J. Petersen, B. Maciel, C. Kohler, M. Vinberg, L. Kessing and A. Carvalho, "The search for neuroimaging and cognitive endophenotypes: a critical systematic review of studies involving unaffected first-degree relatives of individuals with bipolar disorder.," </w:t>
                    </w:r>
                    <w:r>
                      <w:rPr>
                        <w:i/>
                        <w:iCs/>
                        <w:noProof/>
                      </w:rPr>
                      <w:t xml:space="preserve">Neurosci Biobehav Rev., </w:t>
                    </w:r>
                    <w:r>
                      <w:rPr>
                        <w:noProof/>
                      </w:rPr>
                      <w:t xml:space="preserve">vol. 73, pp. 1-22, Feb 2017. </w:t>
                    </w:r>
                  </w:p>
                </w:tc>
              </w:tr>
              <w:tr w:rsidR="00D675DF" w14:paraId="0FE07B6C" w14:textId="77777777" w:rsidTr="00451026">
                <w:trPr>
                  <w:divId w:val="297228279"/>
                  <w:tblCellSpacing w:w="15" w:type="dxa"/>
                </w:trPr>
                <w:tc>
                  <w:tcPr>
                    <w:tcW w:w="50" w:type="pct"/>
                    <w:hideMark/>
                  </w:tcPr>
                  <w:p w14:paraId="0BF10578" w14:textId="77777777" w:rsidR="00D675DF" w:rsidRDefault="00D675DF" w:rsidP="00451026">
                    <w:pPr>
                      <w:pStyle w:val="Bibliography"/>
                      <w:jc w:val="both"/>
                      <w:rPr>
                        <w:noProof/>
                      </w:rPr>
                    </w:pPr>
                    <w:r>
                      <w:rPr>
                        <w:noProof/>
                      </w:rPr>
                      <w:t xml:space="preserve">[6] </w:t>
                    </w:r>
                  </w:p>
                </w:tc>
                <w:tc>
                  <w:tcPr>
                    <w:tcW w:w="0" w:type="auto"/>
                    <w:hideMark/>
                  </w:tcPr>
                  <w:p w14:paraId="386B852A" w14:textId="77777777" w:rsidR="00D675DF" w:rsidRDefault="00D675DF" w:rsidP="00451026">
                    <w:pPr>
                      <w:pStyle w:val="Bibliography"/>
                      <w:jc w:val="both"/>
                      <w:rPr>
                        <w:noProof/>
                      </w:rPr>
                    </w:pPr>
                    <w:r>
                      <w:rPr>
                        <w:noProof/>
                      </w:rPr>
                      <w:t xml:space="preserve">G. Cattarinussi, M. Heidari-Foroozan, H. Jafary, E. Mohammadi, F. Sambataro, A. Ferro, Y. Barone and G. Delvecchio, "Resting-state functional magnetic resonance imaging alterations in first-degree relatives of individuals with bipolar disorder: A systematic review.," </w:t>
                    </w:r>
                    <w:r>
                      <w:rPr>
                        <w:i/>
                        <w:iCs/>
                        <w:noProof/>
                      </w:rPr>
                      <w:t xml:space="preserve">J Affect Disord, </w:t>
                    </w:r>
                    <w:r>
                      <w:rPr>
                        <w:noProof/>
                      </w:rPr>
                      <w:t xml:space="preserve">vol. 365, pp. 321-331, 15 Nov 2024. </w:t>
                    </w:r>
                  </w:p>
                </w:tc>
              </w:tr>
              <w:tr w:rsidR="00D675DF" w14:paraId="6E98507B" w14:textId="77777777" w:rsidTr="00451026">
                <w:trPr>
                  <w:divId w:val="297228279"/>
                  <w:tblCellSpacing w:w="15" w:type="dxa"/>
                </w:trPr>
                <w:tc>
                  <w:tcPr>
                    <w:tcW w:w="50" w:type="pct"/>
                    <w:hideMark/>
                  </w:tcPr>
                  <w:p w14:paraId="31EB8593" w14:textId="77777777" w:rsidR="00D675DF" w:rsidRDefault="00D675DF" w:rsidP="00451026">
                    <w:pPr>
                      <w:pStyle w:val="Bibliography"/>
                      <w:jc w:val="both"/>
                      <w:rPr>
                        <w:noProof/>
                      </w:rPr>
                    </w:pPr>
                    <w:r>
                      <w:rPr>
                        <w:noProof/>
                      </w:rPr>
                      <w:t xml:space="preserve">[7] </w:t>
                    </w:r>
                  </w:p>
                </w:tc>
                <w:tc>
                  <w:tcPr>
                    <w:tcW w:w="0" w:type="auto"/>
                    <w:hideMark/>
                  </w:tcPr>
                  <w:p w14:paraId="337019BE" w14:textId="77777777" w:rsidR="00D675DF" w:rsidRDefault="00D675DF" w:rsidP="00451026">
                    <w:pPr>
                      <w:pStyle w:val="Bibliography"/>
                      <w:jc w:val="both"/>
                      <w:rPr>
                        <w:noProof/>
                      </w:rPr>
                    </w:pPr>
                    <w:r>
                      <w:rPr>
                        <w:noProof/>
                      </w:rPr>
                      <w:t xml:space="preserve">J. Thayer and R. Lane, "Claude Bernard and the heart-brain connection: further elaboration of a model of neurovisceral integration.," </w:t>
                    </w:r>
                    <w:r>
                      <w:rPr>
                        <w:i/>
                        <w:iCs/>
                        <w:noProof/>
                      </w:rPr>
                      <w:t xml:space="preserve">Neurosci Biobehav Rev, </w:t>
                    </w:r>
                    <w:r>
                      <w:rPr>
                        <w:noProof/>
                      </w:rPr>
                      <w:t xml:space="preserve">vol. 33, no. 2, p. 81–88, Feb 2009. </w:t>
                    </w:r>
                  </w:p>
                </w:tc>
              </w:tr>
              <w:tr w:rsidR="00D675DF" w14:paraId="0276EB66" w14:textId="77777777" w:rsidTr="00451026">
                <w:trPr>
                  <w:divId w:val="297228279"/>
                  <w:tblCellSpacing w:w="15" w:type="dxa"/>
                </w:trPr>
                <w:tc>
                  <w:tcPr>
                    <w:tcW w:w="50" w:type="pct"/>
                    <w:hideMark/>
                  </w:tcPr>
                  <w:p w14:paraId="6454834E" w14:textId="77777777" w:rsidR="00D675DF" w:rsidRDefault="00D675DF" w:rsidP="00451026">
                    <w:pPr>
                      <w:pStyle w:val="Bibliography"/>
                      <w:jc w:val="both"/>
                      <w:rPr>
                        <w:noProof/>
                      </w:rPr>
                    </w:pPr>
                    <w:r>
                      <w:rPr>
                        <w:noProof/>
                      </w:rPr>
                      <w:t xml:space="preserve">[8] </w:t>
                    </w:r>
                  </w:p>
                </w:tc>
                <w:tc>
                  <w:tcPr>
                    <w:tcW w:w="0" w:type="auto"/>
                    <w:hideMark/>
                  </w:tcPr>
                  <w:p w14:paraId="193E34A9" w14:textId="77777777" w:rsidR="00D675DF" w:rsidRDefault="00D675DF" w:rsidP="00451026">
                    <w:pPr>
                      <w:pStyle w:val="Bibliography"/>
                      <w:jc w:val="both"/>
                      <w:rPr>
                        <w:noProof/>
                      </w:rPr>
                    </w:pPr>
                    <w:r>
                      <w:rPr>
                        <w:noProof/>
                      </w:rPr>
                      <w:t xml:space="preserve">S. Laborde, E. Mosley and J. Thayer, "Heart rate variability and cardiac vagal tone in psychophysiological research: recommendations for experiment planning, data analysis, and data reporting.," </w:t>
                    </w:r>
                    <w:r>
                      <w:rPr>
                        <w:i/>
                        <w:iCs/>
                        <w:noProof/>
                      </w:rPr>
                      <w:t xml:space="preserve">Front Psychol, </w:t>
                    </w:r>
                    <w:r>
                      <w:rPr>
                        <w:noProof/>
                      </w:rPr>
                      <w:t xml:space="preserve">vol. 8, p. 213, 20 Feb 2017. </w:t>
                    </w:r>
                  </w:p>
                </w:tc>
              </w:tr>
              <w:tr w:rsidR="00D675DF" w14:paraId="6AE15260" w14:textId="77777777" w:rsidTr="00451026">
                <w:trPr>
                  <w:divId w:val="297228279"/>
                  <w:tblCellSpacing w:w="15" w:type="dxa"/>
                </w:trPr>
                <w:tc>
                  <w:tcPr>
                    <w:tcW w:w="50" w:type="pct"/>
                    <w:hideMark/>
                  </w:tcPr>
                  <w:p w14:paraId="27315DC8" w14:textId="77777777" w:rsidR="00D675DF" w:rsidRDefault="00D675DF" w:rsidP="00451026">
                    <w:pPr>
                      <w:pStyle w:val="Bibliography"/>
                      <w:jc w:val="both"/>
                      <w:rPr>
                        <w:noProof/>
                      </w:rPr>
                    </w:pPr>
                    <w:r>
                      <w:rPr>
                        <w:noProof/>
                      </w:rPr>
                      <w:t xml:space="preserve">[9] </w:t>
                    </w:r>
                  </w:p>
                </w:tc>
                <w:tc>
                  <w:tcPr>
                    <w:tcW w:w="0" w:type="auto"/>
                    <w:hideMark/>
                  </w:tcPr>
                  <w:p w14:paraId="2BE77E34" w14:textId="77777777" w:rsidR="00D675DF" w:rsidRDefault="00D675DF" w:rsidP="00451026">
                    <w:pPr>
                      <w:pStyle w:val="Bibliography"/>
                      <w:jc w:val="both"/>
                      <w:rPr>
                        <w:noProof/>
                      </w:rPr>
                    </w:pPr>
                    <w:r>
                      <w:rPr>
                        <w:noProof/>
                      </w:rPr>
                      <w:t xml:space="preserve">M. Faurholt-Jepsen, L. Kessing and K. Munkholm, "Heart rate variability in bipolar disorder: a systematic review and meta-analysis.," </w:t>
                    </w:r>
                    <w:r>
                      <w:rPr>
                        <w:i/>
                        <w:iCs/>
                        <w:noProof/>
                      </w:rPr>
                      <w:t xml:space="preserve">Neurosci Biobehav Rev, </w:t>
                    </w:r>
                    <w:r>
                      <w:rPr>
                        <w:noProof/>
                      </w:rPr>
                      <w:t xml:space="preserve">vol. 73, pp. 68-80, Feb 2017. </w:t>
                    </w:r>
                  </w:p>
                </w:tc>
              </w:tr>
              <w:tr w:rsidR="00D675DF" w14:paraId="1438773A" w14:textId="77777777" w:rsidTr="00451026">
                <w:trPr>
                  <w:divId w:val="297228279"/>
                  <w:tblCellSpacing w:w="15" w:type="dxa"/>
                </w:trPr>
                <w:tc>
                  <w:tcPr>
                    <w:tcW w:w="50" w:type="pct"/>
                    <w:hideMark/>
                  </w:tcPr>
                  <w:p w14:paraId="612223A2" w14:textId="77777777" w:rsidR="00D675DF" w:rsidRDefault="00D675DF" w:rsidP="00451026">
                    <w:pPr>
                      <w:pStyle w:val="Bibliography"/>
                      <w:jc w:val="both"/>
                      <w:rPr>
                        <w:noProof/>
                      </w:rPr>
                    </w:pPr>
                    <w:r>
                      <w:rPr>
                        <w:noProof/>
                      </w:rPr>
                      <w:t xml:space="preserve">[10] </w:t>
                    </w:r>
                  </w:p>
                </w:tc>
                <w:tc>
                  <w:tcPr>
                    <w:tcW w:w="0" w:type="auto"/>
                    <w:hideMark/>
                  </w:tcPr>
                  <w:p w14:paraId="75BDFA4E" w14:textId="77777777" w:rsidR="00D675DF" w:rsidRDefault="00D675DF" w:rsidP="00451026">
                    <w:pPr>
                      <w:pStyle w:val="Bibliography"/>
                      <w:jc w:val="both"/>
                      <w:rPr>
                        <w:noProof/>
                      </w:rPr>
                    </w:pPr>
                    <w:r>
                      <w:rPr>
                        <w:noProof/>
                      </w:rPr>
                      <w:t xml:space="preserve">H. Park and O. Blanke, "Heartbeat-evoked cortical responses: underlying mechanisms, functional roles, and methodological considerations.," </w:t>
                    </w:r>
                    <w:r>
                      <w:rPr>
                        <w:i/>
                        <w:iCs/>
                        <w:noProof/>
                      </w:rPr>
                      <w:t xml:space="preserve">NeuroImage, </w:t>
                    </w:r>
                    <w:r>
                      <w:rPr>
                        <w:noProof/>
                      </w:rPr>
                      <w:t xml:space="preserve">vol. 197, p. 502–511, 15 Aug 2019. </w:t>
                    </w:r>
                  </w:p>
                </w:tc>
              </w:tr>
              <w:tr w:rsidR="00D675DF" w14:paraId="7EFE49AD" w14:textId="77777777" w:rsidTr="00451026">
                <w:trPr>
                  <w:divId w:val="297228279"/>
                  <w:tblCellSpacing w:w="15" w:type="dxa"/>
                </w:trPr>
                <w:tc>
                  <w:tcPr>
                    <w:tcW w:w="50" w:type="pct"/>
                    <w:hideMark/>
                  </w:tcPr>
                  <w:p w14:paraId="5542AD55" w14:textId="77777777" w:rsidR="00D675DF" w:rsidRDefault="00D675DF" w:rsidP="00451026">
                    <w:pPr>
                      <w:pStyle w:val="Bibliography"/>
                      <w:jc w:val="both"/>
                      <w:rPr>
                        <w:noProof/>
                      </w:rPr>
                    </w:pPr>
                    <w:r>
                      <w:rPr>
                        <w:noProof/>
                      </w:rPr>
                      <w:t xml:space="preserve">[11] </w:t>
                    </w:r>
                  </w:p>
                </w:tc>
                <w:tc>
                  <w:tcPr>
                    <w:tcW w:w="0" w:type="auto"/>
                    <w:hideMark/>
                  </w:tcPr>
                  <w:p w14:paraId="7A0077BB" w14:textId="77777777" w:rsidR="00D675DF" w:rsidRDefault="00D675DF" w:rsidP="00451026">
                    <w:pPr>
                      <w:pStyle w:val="Bibliography"/>
                      <w:jc w:val="both"/>
                      <w:rPr>
                        <w:noProof/>
                      </w:rPr>
                    </w:pPr>
                    <w:r>
                      <w:rPr>
                        <w:noProof/>
                      </w:rPr>
                      <w:t xml:space="preserve">O. Pollatos, W. Kirsch and R. Schandry, "Brain structures involved in interoceptive awareness and cardioafferent signal processing: a dipole source localization study.," </w:t>
                    </w:r>
                    <w:r>
                      <w:rPr>
                        <w:i/>
                        <w:iCs/>
                        <w:noProof/>
                      </w:rPr>
                      <w:t xml:space="preserve">Hum Brain Mapp, </w:t>
                    </w:r>
                    <w:r>
                      <w:rPr>
                        <w:noProof/>
                      </w:rPr>
                      <w:t xml:space="preserve">vol. 26, no. 1, p. 54–64, Sep 2005. </w:t>
                    </w:r>
                  </w:p>
                </w:tc>
              </w:tr>
              <w:tr w:rsidR="00D675DF" w14:paraId="2E25DA3D" w14:textId="77777777" w:rsidTr="00451026">
                <w:trPr>
                  <w:divId w:val="297228279"/>
                  <w:tblCellSpacing w:w="15" w:type="dxa"/>
                </w:trPr>
                <w:tc>
                  <w:tcPr>
                    <w:tcW w:w="50" w:type="pct"/>
                    <w:hideMark/>
                  </w:tcPr>
                  <w:p w14:paraId="7C5D5EB7" w14:textId="77777777" w:rsidR="00D675DF" w:rsidRDefault="00D675DF" w:rsidP="00451026">
                    <w:pPr>
                      <w:pStyle w:val="Bibliography"/>
                      <w:jc w:val="both"/>
                      <w:rPr>
                        <w:noProof/>
                      </w:rPr>
                    </w:pPr>
                    <w:r>
                      <w:rPr>
                        <w:noProof/>
                      </w:rPr>
                      <w:lastRenderedPageBreak/>
                      <w:t xml:space="preserve">[12] </w:t>
                    </w:r>
                  </w:p>
                </w:tc>
                <w:tc>
                  <w:tcPr>
                    <w:tcW w:w="0" w:type="auto"/>
                    <w:hideMark/>
                  </w:tcPr>
                  <w:p w14:paraId="25078FD6" w14:textId="77777777" w:rsidR="00D675DF" w:rsidRDefault="00D675DF" w:rsidP="00451026">
                    <w:pPr>
                      <w:pStyle w:val="Bibliography"/>
                      <w:jc w:val="both"/>
                      <w:rPr>
                        <w:noProof/>
                      </w:rPr>
                    </w:pPr>
                    <w:r>
                      <w:rPr>
                        <w:noProof/>
                      </w:rPr>
                      <w:t xml:space="preserve">M. Coll, H. Hobson, G. Bird and J. Murphy, "Systematic review and meta-analysis of the relationship between the heartbeat-evoked potential and interoception.," </w:t>
                    </w:r>
                    <w:r>
                      <w:rPr>
                        <w:i/>
                        <w:iCs/>
                        <w:noProof/>
                      </w:rPr>
                      <w:t xml:space="preserve">Neurosci Biobehav Rev, </w:t>
                    </w:r>
                    <w:r>
                      <w:rPr>
                        <w:noProof/>
                      </w:rPr>
                      <w:t xml:space="preserve">vol. 122, pp. 190-200, Mar 2021. </w:t>
                    </w:r>
                  </w:p>
                </w:tc>
              </w:tr>
              <w:tr w:rsidR="00D675DF" w14:paraId="0453D0D4" w14:textId="77777777" w:rsidTr="00451026">
                <w:trPr>
                  <w:divId w:val="297228279"/>
                  <w:tblCellSpacing w:w="15" w:type="dxa"/>
                </w:trPr>
                <w:tc>
                  <w:tcPr>
                    <w:tcW w:w="50" w:type="pct"/>
                    <w:hideMark/>
                  </w:tcPr>
                  <w:p w14:paraId="7D32134C" w14:textId="77777777" w:rsidR="00D675DF" w:rsidRDefault="00D675DF" w:rsidP="00451026">
                    <w:pPr>
                      <w:pStyle w:val="Bibliography"/>
                      <w:jc w:val="both"/>
                      <w:rPr>
                        <w:noProof/>
                      </w:rPr>
                    </w:pPr>
                    <w:r>
                      <w:rPr>
                        <w:noProof/>
                      </w:rPr>
                      <w:t xml:space="preserve">[13] </w:t>
                    </w:r>
                  </w:p>
                </w:tc>
                <w:tc>
                  <w:tcPr>
                    <w:tcW w:w="0" w:type="auto"/>
                    <w:hideMark/>
                  </w:tcPr>
                  <w:p w14:paraId="051B5335" w14:textId="77777777" w:rsidR="00D675DF" w:rsidRDefault="00D675DF" w:rsidP="00451026">
                    <w:pPr>
                      <w:pStyle w:val="Bibliography"/>
                      <w:jc w:val="both"/>
                      <w:rPr>
                        <w:noProof/>
                      </w:rPr>
                    </w:pPr>
                    <w:r>
                      <w:rPr>
                        <w:noProof/>
                      </w:rPr>
                      <w:t xml:space="preserve">P. Montoya, R. Schandry and A. Muller, "Heartbeat-evoked potentials (HEP): topography and influence of cardiac awareness and focus of attention.," </w:t>
                    </w:r>
                    <w:r>
                      <w:rPr>
                        <w:i/>
                        <w:iCs/>
                        <w:noProof/>
                      </w:rPr>
                      <w:t xml:space="preserve">Electroencephalogr Clin Neurophysiol, </w:t>
                    </w:r>
                    <w:r>
                      <w:rPr>
                        <w:noProof/>
                      </w:rPr>
                      <w:t xml:space="preserve">vol. 88, no. 3, p. 163–172, May 1993. </w:t>
                    </w:r>
                  </w:p>
                </w:tc>
              </w:tr>
              <w:tr w:rsidR="00D675DF" w14:paraId="72609C0A" w14:textId="77777777" w:rsidTr="00451026">
                <w:trPr>
                  <w:divId w:val="297228279"/>
                  <w:tblCellSpacing w:w="15" w:type="dxa"/>
                </w:trPr>
                <w:tc>
                  <w:tcPr>
                    <w:tcW w:w="50" w:type="pct"/>
                    <w:hideMark/>
                  </w:tcPr>
                  <w:p w14:paraId="1E7F0DD0" w14:textId="77777777" w:rsidR="00D675DF" w:rsidRDefault="00D675DF" w:rsidP="00451026">
                    <w:pPr>
                      <w:pStyle w:val="Bibliography"/>
                      <w:jc w:val="both"/>
                      <w:rPr>
                        <w:noProof/>
                      </w:rPr>
                    </w:pPr>
                    <w:r>
                      <w:rPr>
                        <w:noProof/>
                      </w:rPr>
                      <w:t xml:space="preserve">[14] </w:t>
                    </w:r>
                  </w:p>
                </w:tc>
                <w:tc>
                  <w:tcPr>
                    <w:tcW w:w="0" w:type="auto"/>
                    <w:hideMark/>
                  </w:tcPr>
                  <w:p w14:paraId="0B41B244" w14:textId="77777777" w:rsidR="00D675DF" w:rsidRDefault="00D675DF" w:rsidP="00451026">
                    <w:pPr>
                      <w:pStyle w:val="Bibliography"/>
                      <w:jc w:val="both"/>
                      <w:rPr>
                        <w:noProof/>
                      </w:rPr>
                    </w:pPr>
                    <w:r>
                      <w:rPr>
                        <w:noProof/>
                      </w:rPr>
                      <w:t xml:space="preserve">F. Petzschner, L. Weber, K. Wellstein, G. Paolini, C. Do and K. Stephan, "Focus of attention modulates the heartbeat-evoked potential.," </w:t>
                    </w:r>
                    <w:r>
                      <w:rPr>
                        <w:i/>
                        <w:iCs/>
                        <w:noProof/>
                      </w:rPr>
                      <w:t xml:space="preserve">NeuroImage, </w:t>
                    </w:r>
                    <w:r>
                      <w:rPr>
                        <w:noProof/>
                      </w:rPr>
                      <w:t xml:space="preserve">vol. 186, p. 595–606, 1 Feb 2019. </w:t>
                    </w:r>
                  </w:p>
                </w:tc>
              </w:tr>
              <w:tr w:rsidR="00D675DF" w14:paraId="3B36C7F5" w14:textId="77777777" w:rsidTr="00451026">
                <w:trPr>
                  <w:divId w:val="297228279"/>
                  <w:tblCellSpacing w:w="15" w:type="dxa"/>
                </w:trPr>
                <w:tc>
                  <w:tcPr>
                    <w:tcW w:w="50" w:type="pct"/>
                    <w:hideMark/>
                  </w:tcPr>
                  <w:p w14:paraId="7F4F1474" w14:textId="77777777" w:rsidR="00D675DF" w:rsidRDefault="00D675DF" w:rsidP="00451026">
                    <w:pPr>
                      <w:pStyle w:val="Bibliography"/>
                      <w:jc w:val="both"/>
                      <w:rPr>
                        <w:noProof/>
                      </w:rPr>
                    </w:pPr>
                    <w:r>
                      <w:rPr>
                        <w:noProof/>
                      </w:rPr>
                      <w:t xml:space="preserve">[15] </w:t>
                    </w:r>
                  </w:p>
                </w:tc>
                <w:tc>
                  <w:tcPr>
                    <w:tcW w:w="0" w:type="auto"/>
                    <w:hideMark/>
                  </w:tcPr>
                  <w:p w14:paraId="17D0AAD7" w14:textId="77777777" w:rsidR="00D675DF" w:rsidRDefault="00D675DF" w:rsidP="00451026">
                    <w:pPr>
                      <w:pStyle w:val="Bibliography"/>
                      <w:jc w:val="both"/>
                      <w:rPr>
                        <w:noProof/>
                      </w:rPr>
                    </w:pPr>
                    <w:r>
                      <w:rPr>
                        <w:noProof/>
                      </w:rPr>
                      <w:t xml:space="preserve">S. Khalsa, R. Adolphs, O. Cameron, H. Critchley, P. Davenport, J. Feinstein and e. al, "Interoception and mental health: a roadmap.," </w:t>
                    </w:r>
                    <w:r>
                      <w:rPr>
                        <w:i/>
                        <w:iCs/>
                        <w:noProof/>
                      </w:rPr>
                      <w:t xml:space="preserve">Biol Psychiatry Cogn Neurosci Neuroimaging, </w:t>
                    </w:r>
                    <w:r>
                      <w:rPr>
                        <w:noProof/>
                      </w:rPr>
                      <w:t xml:space="preserve">vol. 3, no. 6, p. 501–513, Jun 2018. </w:t>
                    </w:r>
                  </w:p>
                </w:tc>
              </w:tr>
              <w:tr w:rsidR="00D675DF" w14:paraId="4C984EE2" w14:textId="77777777" w:rsidTr="00451026">
                <w:trPr>
                  <w:divId w:val="297228279"/>
                  <w:tblCellSpacing w:w="15" w:type="dxa"/>
                </w:trPr>
                <w:tc>
                  <w:tcPr>
                    <w:tcW w:w="50" w:type="pct"/>
                    <w:hideMark/>
                  </w:tcPr>
                  <w:p w14:paraId="3FA1D147" w14:textId="77777777" w:rsidR="00D675DF" w:rsidRDefault="00D675DF" w:rsidP="00451026">
                    <w:pPr>
                      <w:pStyle w:val="Bibliography"/>
                      <w:jc w:val="both"/>
                      <w:rPr>
                        <w:noProof/>
                      </w:rPr>
                    </w:pPr>
                    <w:r>
                      <w:rPr>
                        <w:noProof/>
                      </w:rPr>
                      <w:t xml:space="preserve">[16] </w:t>
                    </w:r>
                  </w:p>
                </w:tc>
                <w:tc>
                  <w:tcPr>
                    <w:tcW w:w="0" w:type="auto"/>
                    <w:hideMark/>
                  </w:tcPr>
                  <w:p w14:paraId="3DE67160" w14:textId="77777777" w:rsidR="00D675DF" w:rsidRDefault="00D675DF" w:rsidP="00451026">
                    <w:pPr>
                      <w:pStyle w:val="Bibliography"/>
                      <w:jc w:val="both"/>
                      <w:rPr>
                        <w:noProof/>
                      </w:rPr>
                    </w:pPr>
                    <w:r>
                      <w:rPr>
                        <w:noProof/>
                      </w:rPr>
                      <w:t xml:space="preserve">G. Alfì, G. Grenno, V. Caruso, A. Piarulli, L. Palagini, G. Perugi and A. Gemignani, "Interoceptive sensibility mediates emotional dysregulation: Insights from individuals with Bipolar II Depression.," </w:t>
                    </w:r>
                    <w:r>
                      <w:rPr>
                        <w:i/>
                        <w:iCs/>
                        <w:noProof/>
                      </w:rPr>
                      <w:t xml:space="preserve">J Affect Disord, </w:t>
                    </w:r>
                    <w:r>
                      <w:rPr>
                        <w:noProof/>
                      </w:rPr>
                      <w:t xml:space="preserve">vol. 392, p. 120236, 1 Jan 2025. </w:t>
                    </w:r>
                  </w:p>
                </w:tc>
              </w:tr>
              <w:tr w:rsidR="00D675DF" w14:paraId="0824422B" w14:textId="77777777" w:rsidTr="00451026">
                <w:trPr>
                  <w:divId w:val="297228279"/>
                  <w:tblCellSpacing w:w="15" w:type="dxa"/>
                </w:trPr>
                <w:tc>
                  <w:tcPr>
                    <w:tcW w:w="50" w:type="pct"/>
                    <w:hideMark/>
                  </w:tcPr>
                  <w:p w14:paraId="0A171A3C" w14:textId="77777777" w:rsidR="00D675DF" w:rsidRDefault="00D675DF" w:rsidP="00451026">
                    <w:pPr>
                      <w:pStyle w:val="Bibliography"/>
                      <w:jc w:val="both"/>
                      <w:rPr>
                        <w:noProof/>
                      </w:rPr>
                    </w:pPr>
                    <w:r>
                      <w:rPr>
                        <w:noProof/>
                      </w:rPr>
                      <w:t xml:space="preserve">[17] </w:t>
                    </w:r>
                  </w:p>
                </w:tc>
                <w:tc>
                  <w:tcPr>
                    <w:tcW w:w="0" w:type="auto"/>
                    <w:hideMark/>
                  </w:tcPr>
                  <w:p w14:paraId="33561304" w14:textId="77777777" w:rsidR="00D675DF" w:rsidRDefault="00D675DF" w:rsidP="00451026">
                    <w:pPr>
                      <w:pStyle w:val="Bibliography"/>
                      <w:jc w:val="both"/>
                      <w:rPr>
                        <w:noProof/>
                      </w:rPr>
                    </w:pPr>
                    <w:r>
                      <w:rPr>
                        <w:noProof/>
                      </w:rPr>
                      <w:t xml:space="preserve">J. Lv, H. Xu, J. Li, L. Sun, G. Zhu and W. Wang, "A cross-sectional study on the relationship between interoceptive sensitivity and somatic symptoms in young bipolar disorder patients.," </w:t>
                    </w:r>
                    <w:r>
                      <w:rPr>
                        <w:i/>
                        <w:iCs/>
                        <w:noProof/>
                      </w:rPr>
                      <w:t xml:space="preserve">BMC Psychiatry, </w:t>
                    </w:r>
                    <w:r>
                      <w:rPr>
                        <w:noProof/>
                      </w:rPr>
                      <w:t xml:space="preserve">vol. 25, no. 1, p. 355, 9 Apr 2025. </w:t>
                    </w:r>
                  </w:p>
                </w:tc>
              </w:tr>
              <w:tr w:rsidR="00D675DF" w14:paraId="2F41B5DA" w14:textId="77777777" w:rsidTr="00451026">
                <w:trPr>
                  <w:divId w:val="297228279"/>
                  <w:tblCellSpacing w:w="15" w:type="dxa"/>
                </w:trPr>
                <w:tc>
                  <w:tcPr>
                    <w:tcW w:w="50" w:type="pct"/>
                    <w:hideMark/>
                  </w:tcPr>
                  <w:p w14:paraId="720B2A8F" w14:textId="77777777" w:rsidR="00D675DF" w:rsidRDefault="00D675DF" w:rsidP="00451026">
                    <w:pPr>
                      <w:pStyle w:val="Bibliography"/>
                      <w:jc w:val="both"/>
                      <w:rPr>
                        <w:noProof/>
                      </w:rPr>
                    </w:pPr>
                    <w:r>
                      <w:rPr>
                        <w:noProof/>
                      </w:rPr>
                      <w:t xml:space="preserve">[18] </w:t>
                    </w:r>
                  </w:p>
                </w:tc>
                <w:tc>
                  <w:tcPr>
                    <w:tcW w:w="0" w:type="auto"/>
                    <w:hideMark/>
                  </w:tcPr>
                  <w:p w14:paraId="316C9FF8" w14:textId="77777777" w:rsidR="00D675DF" w:rsidRDefault="00D675DF" w:rsidP="00451026">
                    <w:pPr>
                      <w:pStyle w:val="Bibliography"/>
                      <w:jc w:val="both"/>
                      <w:rPr>
                        <w:noProof/>
                      </w:rPr>
                    </w:pPr>
                    <w:r>
                      <w:rPr>
                        <w:noProof/>
                      </w:rPr>
                      <w:t xml:space="preserve">G. Dirlich, L. Vogl, M. Plaschke and F. Strian, "Cardiac field effects on the EEG.," </w:t>
                    </w:r>
                    <w:r>
                      <w:rPr>
                        <w:i/>
                        <w:iCs/>
                        <w:noProof/>
                      </w:rPr>
                      <w:t xml:space="preserve">Electroencephalogr Clin Neurophysiol, </w:t>
                    </w:r>
                    <w:r>
                      <w:rPr>
                        <w:noProof/>
                      </w:rPr>
                      <w:t xml:space="preserve">vol. 102, no. 4, p. 307–315, Apr 1997. </w:t>
                    </w:r>
                  </w:p>
                </w:tc>
              </w:tr>
              <w:tr w:rsidR="00D675DF" w14:paraId="60E66809" w14:textId="77777777" w:rsidTr="00451026">
                <w:trPr>
                  <w:divId w:val="297228279"/>
                  <w:tblCellSpacing w:w="15" w:type="dxa"/>
                </w:trPr>
                <w:tc>
                  <w:tcPr>
                    <w:tcW w:w="50" w:type="pct"/>
                    <w:hideMark/>
                  </w:tcPr>
                  <w:p w14:paraId="06EA2DFC" w14:textId="77777777" w:rsidR="00D675DF" w:rsidRDefault="00D675DF" w:rsidP="00451026">
                    <w:pPr>
                      <w:pStyle w:val="Bibliography"/>
                      <w:jc w:val="both"/>
                      <w:rPr>
                        <w:noProof/>
                      </w:rPr>
                    </w:pPr>
                    <w:r>
                      <w:rPr>
                        <w:noProof/>
                      </w:rPr>
                      <w:t xml:space="preserve">[19] </w:t>
                    </w:r>
                  </w:p>
                </w:tc>
                <w:tc>
                  <w:tcPr>
                    <w:tcW w:w="0" w:type="auto"/>
                    <w:hideMark/>
                  </w:tcPr>
                  <w:p w14:paraId="60F2E274" w14:textId="77777777" w:rsidR="00D675DF" w:rsidRDefault="00D675DF" w:rsidP="00451026">
                    <w:pPr>
                      <w:pStyle w:val="Bibliography"/>
                      <w:jc w:val="both"/>
                      <w:rPr>
                        <w:noProof/>
                      </w:rPr>
                    </w:pPr>
                    <w:r>
                      <w:rPr>
                        <w:noProof/>
                      </w:rPr>
                      <w:t xml:space="preserve">P. Steinfath, N. Herzog, A. Fourcade, C. Sander, V. Nikulin and A. Villringer, "Validating genuine changes in heartbeat-evoked potentials using pseudotrials and surrogate procedures.," </w:t>
                    </w:r>
                    <w:r>
                      <w:rPr>
                        <w:i/>
                        <w:iCs/>
                        <w:noProof/>
                      </w:rPr>
                      <w:t xml:space="preserve">Imaging Neurosci (Camb), </w:t>
                    </w:r>
                    <w:r>
                      <w:rPr>
                        <w:noProof/>
                      </w:rPr>
                      <w:t xml:space="preserve">vol. 3, p. IMAG.a.30, 10 Jun 2025. </w:t>
                    </w:r>
                  </w:p>
                </w:tc>
              </w:tr>
              <w:tr w:rsidR="00D675DF" w14:paraId="6A91825F" w14:textId="77777777" w:rsidTr="00451026">
                <w:trPr>
                  <w:divId w:val="297228279"/>
                  <w:tblCellSpacing w:w="15" w:type="dxa"/>
                </w:trPr>
                <w:tc>
                  <w:tcPr>
                    <w:tcW w:w="50" w:type="pct"/>
                    <w:hideMark/>
                  </w:tcPr>
                  <w:p w14:paraId="023210B1" w14:textId="77777777" w:rsidR="00D675DF" w:rsidRDefault="00D675DF" w:rsidP="00451026">
                    <w:pPr>
                      <w:pStyle w:val="Bibliography"/>
                      <w:jc w:val="both"/>
                      <w:rPr>
                        <w:noProof/>
                      </w:rPr>
                    </w:pPr>
                    <w:r>
                      <w:rPr>
                        <w:noProof/>
                      </w:rPr>
                      <w:t xml:space="preserve">[20] </w:t>
                    </w:r>
                  </w:p>
                </w:tc>
                <w:tc>
                  <w:tcPr>
                    <w:tcW w:w="0" w:type="auto"/>
                    <w:hideMark/>
                  </w:tcPr>
                  <w:p w14:paraId="55B70D99" w14:textId="77777777" w:rsidR="00D675DF" w:rsidRDefault="00D675DF" w:rsidP="00451026">
                    <w:pPr>
                      <w:pStyle w:val="Bibliography"/>
                      <w:jc w:val="both"/>
                      <w:rPr>
                        <w:noProof/>
                      </w:rPr>
                    </w:pPr>
                    <w:r>
                      <w:rPr>
                        <w:noProof/>
                      </w:rPr>
                      <w:t xml:space="preserve">J. Terhaar, F. Viola, K. Bar and S. Debener, "Heartbeat-evoked potentials mirror altered body perception in depressed patients.," </w:t>
                    </w:r>
                    <w:r>
                      <w:rPr>
                        <w:i/>
                        <w:iCs/>
                        <w:noProof/>
                      </w:rPr>
                      <w:t xml:space="preserve">Clin Neurophysiol, </w:t>
                    </w:r>
                    <w:r>
                      <w:rPr>
                        <w:noProof/>
                      </w:rPr>
                      <w:t xml:space="preserve">vol. 123, no. 10, p. 1950–1957, Oct 2012. </w:t>
                    </w:r>
                  </w:p>
                </w:tc>
              </w:tr>
              <w:tr w:rsidR="00D675DF" w14:paraId="148E3F91" w14:textId="77777777" w:rsidTr="00451026">
                <w:trPr>
                  <w:divId w:val="297228279"/>
                  <w:tblCellSpacing w:w="15" w:type="dxa"/>
                </w:trPr>
                <w:tc>
                  <w:tcPr>
                    <w:tcW w:w="50" w:type="pct"/>
                    <w:hideMark/>
                  </w:tcPr>
                  <w:p w14:paraId="6B43548B" w14:textId="77777777" w:rsidR="00D675DF" w:rsidRDefault="00D675DF" w:rsidP="00451026">
                    <w:pPr>
                      <w:pStyle w:val="Bibliography"/>
                      <w:jc w:val="both"/>
                      <w:rPr>
                        <w:noProof/>
                      </w:rPr>
                    </w:pPr>
                    <w:r>
                      <w:rPr>
                        <w:noProof/>
                      </w:rPr>
                      <w:t xml:space="preserve">[21] </w:t>
                    </w:r>
                  </w:p>
                </w:tc>
                <w:tc>
                  <w:tcPr>
                    <w:tcW w:w="0" w:type="auto"/>
                    <w:hideMark/>
                  </w:tcPr>
                  <w:p w14:paraId="110F5721" w14:textId="77777777" w:rsidR="00D675DF" w:rsidRDefault="00D675DF" w:rsidP="00451026">
                    <w:pPr>
                      <w:pStyle w:val="Bibliography"/>
                      <w:jc w:val="both"/>
                      <w:rPr>
                        <w:noProof/>
                      </w:rPr>
                    </w:pPr>
                    <w:r>
                      <w:rPr>
                        <w:noProof/>
                      </w:rPr>
                      <w:t xml:space="preserve">E. Al, F. Iliopoulos, N. Forschack, T. Nierhaus, M. Grund, P. Motyka and e. al., "Heart-brain interactions shape somatosensory perception and evoked potentials.," </w:t>
                    </w:r>
                    <w:r>
                      <w:rPr>
                        <w:i/>
                        <w:iCs/>
                        <w:noProof/>
                      </w:rPr>
                      <w:t xml:space="preserve">Proc Natl Acad Sci U S A, </w:t>
                    </w:r>
                    <w:r>
                      <w:rPr>
                        <w:noProof/>
                      </w:rPr>
                      <w:t xml:space="preserve">vol. 117, no. 19, p. 10575–10584, 12 May 2020. </w:t>
                    </w:r>
                  </w:p>
                </w:tc>
              </w:tr>
            </w:tbl>
            <w:p w14:paraId="30296875" w14:textId="77777777" w:rsidR="00D675DF" w:rsidRDefault="00D675DF" w:rsidP="00451026">
              <w:pPr>
                <w:jc w:val="both"/>
                <w:divId w:val="297228279"/>
                <w:rPr>
                  <w:noProof/>
                </w:rPr>
              </w:pPr>
            </w:p>
            <w:p w14:paraId="3F990E9F" w14:textId="77777777" w:rsidR="007C13F1" w:rsidRDefault="007C13F1" w:rsidP="00451026">
              <w:pPr>
                <w:jc w:val="both"/>
              </w:pPr>
              <w:r w:rsidRPr="00D675DF">
                <w:rPr>
                  <w:b/>
                  <w:bCs/>
                  <w:noProof/>
                </w:rPr>
                <w:fldChar w:fldCharType="end"/>
              </w:r>
            </w:p>
          </w:sdtContent>
        </w:sdt>
      </w:sdtContent>
    </w:sdt>
    <w:p w14:paraId="6DD2B37D" w14:textId="77777777" w:rsidR="0013027B" w:rsidRDefault="0013027B"/>
    <w:p w14:paraId="473CB86C" w14:textId="77777777" w:rsidR="00256424" w:rsidRDefault="00256424">
      <w:r>
        <w:br w:type="page"/>
      </w:r>
    </w:p>
    <w:p w14:paraId="7F7BE45E" w14:textId="77777777" w:rsidR="005004F5" w:rsidRPr="00057A96" w:rsidRDefault="005004F5" w:rsidP="00E9629E">
      <w:pPr>
        <w:suppressLineNumbers/>
        <w:spacing w:after="60" w:line="360" w:lineRule="auto"/>
        <w:rPr>
          <w:rFonts w:cs="Times New Roman"/>
          <w:sz w:val="24"/>
          <w:szCs w:val="24"/>
        </w:rPr>
      </w:pPr>
      <w:r w:rsidRPr="00057A96">
        <w:rPr>
          <w:rFonts w:cs="Times New Roman"/>
          <w:b/>
          <w:bCs/>
          <w:sz w:val="24"/>
          <w:szCs w:val="24"/>
        </w:rPr>
        <w:lastRenderedPageBreak/>
        <w:t>Table 1.</w:t>
      </w:r>
      <w:r w:rsidRPr="00057A96">
        <w:rPr>
          <w:rFonts w:cs="Times New Roman"/>
          <w:i/>
          <w:iCs/>
          <w:sz w:val="24"/>
          <w:szCs w:val="24"/>
        </w:rPr>
        <w:t xml:space="preserve"> </w:t>
      </w:r>
      <w:r w:rsidR="00E9629E" w:rsidRPr="00E9629E">
        <w:rPr>
          <w:rFonts w:cs="Times New Roman"/>
          <w:b/>
          <w:bCs/>
          <w:sz w:val="24"/>
          <w:szCs w:val="24"/>
        </w:rPr>
        <w:t>Demographic and clinical characteristics of the analytic sample.</w:t>
      </w:r>
      <w:r w:rsidRPr="00057A96">
        <w:rPr>
          <w:rFonts w:cs="Times New Roman"/>
          <w:sz w:val="24"/>
          <w:szCs w:val="24"/>
        </w:rPr>
        <w:t xml:space="preserve"> </w:t>
      </w:r>
    </w:p>
    <w:tbl>
      <w:tblPr>
        <w:tblStyle w:val="TableGrid"/>
        <w:tblW w:w="9781" w:type="dxa"/>
        <w:tblInd w:w="-5" w:type="dxa"/>
        <w:tblLayout w:type="fixed"/>
        <w:tblLook w:val="04A0" w:firstRow="1" w:lastRow="0" w:firstColumn="1" w:lastColumn="0" w:noHBand="0" w:noVBand="1"/>
      </w:tblPr>
      <w:tblGrid>
        <w:gridCol w:w="2127"/>
        <w:gridCol w:w="1984"/>
        <w:gridCol w:w="2126"/>
        <w:gridCol w:w="1985"/>
        <w:gridCol w:w="1559"/>
      </w:tblGrid>
      <w:tr w:rsidR="005004F5" w:rsidRPr="00E26EA3" w14:paraId="0D7D28A4" w14:textId="77777777" w:rsidTr="00BB7DB3">
        <w:trPr>
          <w:trHeight w:val="354"/>
        </w:trPr>
        <w:tc>
          <w:tcPr>
            <w:tcW w:w="2127" w:type="dxa"/>
            <w:tcBorders>
              <w:top w:val="single" w:sz="4" w:space="0" w:color="FFFFFF" w:themeColor="background1"/>
              <w:left w:val="single" w:sz="4" w:space="0" w:color="FFFFFF" w:themeColor="background1"/>
              <w:bottom w:val="single" w:sz="12" w:space="0" w:color="000000"/>
            </w:tcBorders>
            <w:vAlign w:val="center"/>
          </w:tcPr>
          <w:p w14:paraId="4EF4E1E2" w14:textId="77777777" w:rsidR="005004F5" w:rsidRPr="00E26EA3" w:rsidRDefault="005004F5" w:rsidP="00BB7CC1">
            <w:pPr>
              <w:suppressLineNumbers/>
              <w:jc w:val="center"/>
              <w:rPr>
                <w:rFonts w:cs="Times New Roman"/>
                <w:b/>
                <w:bCs/>
              </w:rPr>
            </w:pPr>
          </w:p>
        </w:tc>
        <w:tc>
          <w:tcPr>
            <w:tcW w:w="1984" w:type="dxa"/>
            <w:tcBorders>
              <w:top w:val="single" w:sz="12" w:space="0" w:color="000000"/>
              <w:bottom w:val="single" w:sz="12" w:space="0" w:color="000000"/>
            </w:tcBorders>
            <w:vAlign w:val="center"/>
          </w:tcPr>
          <w:p w14:paraId="238A7F22" w14:textId="77777777" w:rsidR="005004F5" w:rsidRPr="00057A96" w:rsidRDefault="001D6ADF" w:rsidP="00BB7CC1">
            <w:pPr>
              <w:suppressLineNumbers/>
              <w:jc w:val="center"/>
              <w:rPr>
                <w:rFonts w:cs="Times New Roman"/>
                <w:b/>
                <w:bCs/>
                <w:sz w:val="24"/>
                <w:szCs w:val="24"/>
              </w:rPr>
            </w:pPr>
            <w:r>
              <w:rPr>
                <w:rFonts w:cs="Times New Roman"/>
                <w:b/>
                <w:bCs/>
                <w:sz w:val="24"/>
                <w:szCs w:val="24"/>
              </w:rPr>
              <w:t xml:space="preserve">BD </w:t>
            </w:r>
            <w:r w:rsidR="005004F5" w:rsidRPr="00057A96">
              <w:rPr>
                <w:rFonts w:cs="Times New Roman"/>
                <w:b/>
                <w:bCs/>
                <w:sz w:val="24"/>
                <w:szCs w:val="24"/>
              </w:rPr>
              <w:t>Dep</w:t>
            </w:r>
            <w:r w:rsidR="005004F5">
              <w:rPr>
                <w:rFonts w:cs="Times New Roman"/>
                <w:b/>
                <w:bCs/>
                <w:sz w:val="24"/>
                <w:szCs w:val="24"/>
              </w:rPr>
              <w:t>resse</w:t>
            </w:r>
            <w:r w:rsidR="00C41966">
              <w:rPr>
                <w:rFonts w:cs="Times New Roman"/>
                <w:b/>
                <w:bCs/>
                <w:sz w:val="24"/>
                <w:szCs w:val="24"/>
              </w:rPr>
              <w:t>d</w:t>
            </w:r>
          </w:p>
        </w:tc>
        <w:tc>
          <w:tcPr>
            <w:tcW w:w="2126" w:type="dxa"/>
            <w:tcBorders>
              <w:top w:val="single" w:sz="12" w:space="0" w:color="000000"/>
              <w:bottom w:val="single" w:sz="12" w:space="0" w:color="000000"/>
            </w:tcBorders>
            <w:vAlign w:val="center"/>
          </w:tcPr>
          <w:p w14:paraId="133C01A3" w14:textId="77777777" w:rsidR="005004F5" w:rsidRPr="00057A96" w:rsidRDefault="001D6ADF" w:rsidP="00BB7CC1">
            <w:pPr>
              <w:suppressLineNumbers/>
              <w:jc w:val="center"/>
              <w:rPr>
                <w:rFonts w:cs="Times New Roman"/>
                <w:b/>
                <w:bCs/>
                <w:sz w:val="24"/>
                <w:szCs w:val="24"/>
              </w:rPr>
            </w:pPr>
            <w:r>
              <w:rPr>
                <w:rFonts w:cs="Times New Roman"/>
                <w:b/>
                <w:bCs/>
                <w:sz w:val="24"/>
                <w:szCs w:val="24"/>
              </w:rPr>
              <w:t xml:space="preserve">BD </w:t>
            </w:r>
            <w:r w:rsidR="005004F5" w:rsidRPr="00057A96">
              <w:rPr>
                <w:rFonts w:cs="Times New Roman"/>
                <w:b/>
                <w:bCs/>
                <w:sz w:val="24"/>
                <w:szCs w:val="24"/>
              </w:rPr>
              <w:t>Euth</w:t>
            </w:r>
            <w:r w:rsidR="005004F5">
              <w:rPr>
                <w:rFonts w:cs="Times New Roman"/>
                <w:b/>
                <w:bCs/>
                <w:sz w:val="24"/>
                <w:szCs w:val="24"/>
              </w:rPr>
              <w:t>ymic</w:t>
            </w:r>
          </w:p>
        </w:tc>
        <w:tc>
          <w:tcPr>
            <w:tcW w:w="1985" w:type="dxa"/>
            <w:tcBorders>
              <w:top w:val="single" w:sz="12" w:space="0" w:color="000000"/>
              <w:bottom w:val="single" w:sz="12" w:space="0" w:color="000000"/>
            </w:tcBorders>
            <w:vAlign w:val="center"/>
          </w:tcPr>
          <w:p w14:paraId="00178C3B" w14:textId="77777777" w:rsidR="005004F5" w:rsidRPr="00057A96" w:rsidRDefault="005004F5" w:rsidP="00BB7CC1">
            <w:pPr>
              <w:suppressLineNumbers/>
              <w:jc w:val="center"/>
              <w:rPr>
                <w:rFonts w:cs="Times New Roman"/>
                <w:b/>
                <w:bCs/>
                <w:sz w:val="24"/>
                <w:szCs w:val="24"/>
              </w:rPr>
            </w:pPr>
            <w:r>
              <w:rPr>
                <w:rFonts w:cs="Times New Roman"/>
                <w:b/>
                <w:bCs/>
                <w:color w:val="000000" w:themeColor="text1"/>
                <w:sz w:val="24"/>
                <w:szCs w:val="24"/>
                <w:shd w:val="clear" w:color="auto" w:fill="FFFFFF"/>
              </w:rPr>
              <w:t>S</w:t>
            </w:r>
            <w:r w:rsidRPr="00057A96">
              <w:rPr>
                <w:rFonts w:cs="Times New Roman"/>
                <w:b/>
                <w:bCs/>
                <w:color w:val="000000" w:themeColor="text1"/>
                <w:sz w:val="24"/>
                <w:szCs w:val="24"/>
                <w:shd w:val="clear" w:color="auto" w:fill="FFFFFF"/>
              </w:rPr>
              <w:t>iblings</w:t>
            </w:r>
          </w:p>
        </w:tc>
        <w:tc>
          <w:tcPr>
            <w:tcW w:w="1559" w:type="dxa"/>
            <w:tcBorders>
              <w:top w:val="single" w:sz="12" w:space="0" w:color="000000"/>
              <w:bottom w:val="single" w:sz="12" w:space="0" w:color="000000"/>
            </w:tcBorders>
            <w:vAlign w:val="center"/>
          </w:tcPr>
          <w:p w14:paraId="226B67E3" w14:textId="77777777" w:rsidR="005004F5" w:rsidRPr="00255D73" w:rsidRDefault="005004F5" w:rsidP="00BB7CC1">
            <w:pPr>
              <w:suppressLineNumbers/>
              <w:jc w:val="center"/>
              <w:rPr>
                <w:rFonts w:cs="Times New Roman"/>
                <w:sz w:val="24"/>
                <w:szCs w:val="24"/>
              </w:rPr>
            </w:pPr>
            <w:r w:rsidRPr="00057A96">
              <w:rPr>
                <w:rFonts w:cs="Times New Roman"/>
                <w:b/>
                <w:bCs/>
                <w:color w:val="000000" w:themeColor="text1"/>
                <w:sz w:val="24"/>
                <w:szCs w:val="24"/>
                <w:shd w:val="clear" w:color="auto" w:fill="FFFFFF"/>
              </w:rPr>
              <w:t>HC</w:t>
            </w:r>
          </w:p>
        </w:tc>
      </w:tr>
      <w:tr w:rsidR="00C41966" w:rsidRPr="00E26EA3" w14:paraId="5F80DE7D" w14:textId="77777777" w:rsidTr="00BB7DB3">
        <w:trPr>
          <w:trHeight w:val="338"/>
        </w:trPr>
        <w:tc>
          <w:tcPr>
            <w:tcW w:w="2127" w:type="dxa"/>
            <w:tcBorders>
              <w:top w:val="single" w:sz="12" w:space="0" w:color="000000"/>
              <w:bottom w:val="single" w:sz="4" w:space="0" w:color="000000"/>
            </w:tcBorders>
            <w:vAlign w:val="center"/>
          </w:tcPr>
          <w:p w14:paraId="158CCD09" w14:textId="77777777" w:rsidR="00C41966" w:rsidRPr="00057A96" w:rsidRDefault="00C41966" w:rsidP="00BB7CC1">
            <w:pPr>
              <w:suppressLineNumbers/>
              <w:jc w:val="center"/>
              <w:rPr>
                <w:rFonts w:cs="Times New Roman"/>
                <w:b/>
                <w:bCs/>
                <w:sz w:val="24"/>
                <w:szCs w:val="24"/>
                <w:lang w:bidi="he-IL"/>
              </w:rPr>
            </w:pPr>
            <w:r>
              <w:rPr>
                <w:rFonts w:cs="Times New Roman"/>
                <w:b/>
                <w:bCs/>
                <w:sz w:val="24"/>
                <w:szCs w:val="24"/>
                <w:lang w:bidi="he-IL"/>
              </w:rPr>
              <w:t>n</w:t>
            </w:r>
          </w:p>
        </w:tc>
        <w:tc>
          <w:tcPr>
            <w:tcW w:w="1984" w:type="dxa"/>
            <w:tcBorders>
              <w:top w:val="single" w:sz="12" w:space="0" w:color="000000"/>
              <w:bottom w:val="single" w:sz="4" w:space="0" w:color="000000"/>
            </w:tcBorders>
            <w:vAlign w:val="center"/>
          </w:tcPr>
          <w:p w14:paraId="55A28140" w14:textId="77777777" w:rsidR="00C41966" w:rsidRPr="00803E39" w:rsidRDefault="00C41966" w:rsidP="00643DAE">
            <w:pPr>
              <w:suppressLineNumbers/>
              <w:jc w:val="center"/>
              <w:rPr>
                <w:rFonts w:cs="Times New Roman"/>
                <w:sz w:val="24"/>
                <w:szCs w:val="24"/>
              </w:rPr>
            </w:pPr>
            <w:r>
              <w:rPr>
                <w:rFonts w:cs="Times New Roman"/>
                <w:sz w:val="24"/>
                <w:szCs w:val="24"/>
              </w:rPr>
              <w:t>21</w:t>
            </w:r>
          </w:p>
        </w:tc>
        <w:tc>
          <w:tcPr>
            <w:tcW w:w="2126" w:type="dxa"/>
            <w:tcBorders>
              <w:top w:val="single" w:sz="12" w:space="0" w:color="000000"/>
              <w:bottom w:val="single" w:sz="4" w:space="0" w:color="000000"/>
            </w:tcBorders>
            <w:vAlign w:val="center"/>
          </w:tcPr>
          <w:p w14:paraId="564549D1" w14:textId="77777777" w:rsidR="00C41966" w:rsidRPr="00803E39" w:rsidRDefault="00C41966" w:rsidP="00990131">
            <w:pPr>
              <w:suppressLineNumbers/>
              <w:jc w:val="center"/>
              <w:rPr>
                <w:rFonts w:cs="Times New Roman"/>
                <w:sz w:val="24"/>
                <w:szCs w:val="24"/>
              </w:rPr>
            </w:pPr>
            <w:r>
              <w:rPr>
                <w:rFonts w:cs="Times New Roman"/>
                <w:sz w:val="24"/>
                <w:szCs w:val="24"/>
              </w:rPr>
              <w:t>19</w:t>
            </w:r>
          </w:p>
        </w:tc>
        <w:tc>
          <w:tcPr>
            <w:tcW w:w="1985" w:type="dxa"/>
            <w:tcBorders>
              <w:top w:val="single" w:sz="12" w:space="0" w:color="000000"/>
              <w:bottom w:val="single" w:sz="4" w:space="0" w:color="000000"/>
            </w:tcBorders>
            <w:vAlign w:val="center"/>
          </w:tcPr>
          <w:p w14:paraId="3B2DC166" w14:textId="77777777" w:rsidR="00C41966" w:rsidRPr="00803E39" w:rsidRDefault="00C41966" w:rsidP="00990131">
            <w:pPr>
              <w:suppressLineNumbers/>
              <w:jc w:val="center"/>
              <w:rPr>
                <w:rFonts w:cs="Times New Roman"/>
                <w:sz w:val="24"/>
                <w:szCs w:val="24"/>
              </w:rPr>
            </w:pPr>
            <w:r>
              <w:rPr>
                <w:rFonts w:cs="Times New Roman"/>
                <w:sz w:val="24"/>
                <w:szCs w:val="24"/>
              </w:rPr>
              <w:t>14</w:t>
            </w:r>
          </w:p>
        </w:tc>
        <w:tc>
          <w:tcPr>
            <w:tcW w:w="1559" w:type="dxa"/>
            <w:tcBorders>
              <w:top w:val="single" w:sz="12" w:space="0" w:color="000000"/>
              <w:bottom w:val="single" w:sz="4" w:space="0" w:color="000000"/>
            </w:tcBorders>
            <w:vAlign w:val="center"/>
          </w:tcPr>
          <w:p w14:paraId="6561442A" w14:textId="77777777" w:rsidR="00C41966" w:rsidRPr="00803E39" w:rsidRDefault="00C41966" w:rsidP="00990131">
            <w:pPr>
              <w:suppressLineNumbers/>
              <w:jc w:val="center"/>
              <w:rPr>
                <w:rFonts w:cs="Times New Roman"/>
                <w:sz w:val="24"/>
                <w:szCs w:val="24"/>
              </w:rPr>
            </w:pPr>
            <w:r>
              <w:rPr>
                <w:rFonts w:cs="Times New Roman"/>
                <w:sz w:val="24"/>
                <w:szCs w:val="24"/>
              </w:rPr>
              <w:t>16</w:t>
            </w:r>
          </w:p>
        </w:tc>
      </w:tr>
      <w:tr w:rsidR="005004F5" w:rsidRPr="00E26EA3" w14:paraId="753250E6" w14:textId="77777777" w:rsidTr="00C41966">
        <w:trPr>
          <w:trHeight w:val="418"/>
        </w:trPr>
        <w:tc>
          <w:tcPr>
            <w:tcW w:w="2127" w:type="dxa"/>
            <w:tcBorders>
              <w:top w:val="single" w:sz="4" w:space="0" w:color="000000"/>
              <w:bottom w:val="single" w:sz="4" w:space="0" w:color="000000"/>
            </w:tcBorders>
            <w:vAlign w:val="center"/>
          </w:tcPr>
          <w:p w14:paraId="6DE45C71" w14:textId="77777777" w:rsidR="005004F5" w:rsidRPr="00057A96" w:rsidRDefault="005004F5" w:rsidP="00BB7CC1">
            <w:pPr>
              <w:suppressLineNumbers/>
              <w:jc w:val="center"/>
              <w:rPr>
                <w:rFonts w:cs="Times New Roman"/>
                <w:b/>
                <w:bCs/>
                <w:sz w:val="24"/>
                <w:szCs w:val="24"/>
              </w:rPr>
            </w:pPr>
            <w:r w:rsidRPr="00057A96">
              <w:rPr>
                <w:rFonts w:cs="Times New Roman"/>
                <w:b/>
                <w:bCs/>
                <w:sz w:val="24"/>
                <w:szCs w:val="24"/>
              </w:rPr>
              <w:t>Age</w:t>
            </w:r>
            <w:r w:rsidR="00C41966">
              <w:rPr>
                <w:rFonts w:cs="Times New Roman"/>
                <w:b/>
                <w:bCs/>
                <w:sz w:val="24"/>
                <w:szCs w:val="24"/>
              </w:rPr>
              <w:t>, years</w:t>
            </w:r>
          </w:p>
        </w:tc>
        <w:tc>
          <w:tcPr>
            <w:tcW w:w="1984" w:type="dxa"/>
            <w:tcBorders>
              <w:top w:val="single" w:sz="4" w:space="0" w:color="000000"/>
              <w:bottom w:val="single" w:sz="4" w:space="0" w:color="000000"/>
            </w:tcBorders>
            <w:vAlign w:val="center"/>
          </w:tcPr>
          <w:p w14:paraId="6CBB3EA1" w14:textId="77777777" w:rsidR="005004F5" w:rsidRPr="00803E39" w:rsidRDefault="00643DAE" w:rsidP="00643DAE">
            <w:pPr>
              <w:suppressLineNumbers/>
              <w:jc w:val="center"/>
              <w:rPr>
                <w:rFonts w:cs="Times New Roman"/>
                <w:sz w:val="24"/>
                <w:szCs w:val="24"/>
              </w:rPr>
            </w:pPr>
            <w:r w:rsidRPr="00803E39">
              <w:rPr>
                <w:rFonts w:cs="Times New Roman"/>
                <w:sz w:val="24"/>
                <w:szCs w:val="24"/>
              </w:rPr>
              <w:t>46.1</w:t>
            </w:r>
            <w:r w:rsidR="00510C31">
              <w:rPr>
                <w:rFonts w:cs="Times New Roman"/>
                <w:sz w:val="24"/>
                <w:szCs w:val="24"/>
              </w:rPr>
              <w:t xml:space="preserve"> </w:t>
            </w:r>
            <w:r w:rsidR="005004F5" w:rsidRPr="00803E39">
              <w:rPr>
                <w:rFonts w:cs="Times New Roman"/>
                <w:sz w:val="24"/>
                <w:szCs w:val="24"/>
              </w:rPr>
              <w:t>±</w:t>
            </w:r>
            <w:r w:rsidRPr="00803E39">
              <w:rPr>
                <w:sz w:val="24"/>
                <w:szCs w:val="24"/>
              </w:rPr>
              <w:t xml:space="preserve"> </w:t>
            </w:r>
            <w:r w:rsidRPr="00803E39">
              <w:rPr>
                <w:rFonts w:cs="Times New Roman"/>
                <w:sz w:val="24"/>
                <w:szCs w:val="24"/>
              </w:rPr>
              <w:t>13.9</w:t>
            </w:r>
          </w:p>
        </w:tc>
        <w:tc>
          <w:tcPr>
            <w:tcW w:w="2126" w:type="dxa"/>
            <w:tcBorders>
              <w:top w:val="single" w:sz="4" w:space="0" w:color="000000"/>
              <w:bottom w:val="single" w:sz="4" w:space="0" w:color="000000"/>
            </w:tcBorders>
            <w:vAlign w:val="center"/>
          </w:tcPr>
          <w:p w14:paraId="665E8FC3" w14:textId="77777777" w:rsidR="005004F5" w:rsidRPr="00803E39" w:rsidRDefault="00990131" w:rsidP="00990131">
            <w:pPr>
              <w:suppressLineNumbers/>
              <w:jc w:val="center"/>
              <w:rPr>
                <w:rFonts w:cs="Times New Roman"/>
                <w:sz w:val="24"/>
                <w:szCs w:val="24"/>
              </w:rPr>
            </w:pPr>
            <w:r w:rsidRPr="00803E39">
              <w:rPr>
                <w:rFonts w:cs="Times New Roman"/>
                <w:sz w:val="24"/>
                <w:szCs w:val="24"/>
              </w:rPr>
              <w:t>51.2 ± 10.9</w:t>
            </w:r>
          </w:p>
        </w:tc>
        <w:tc>
          <w:tcPr>
            <w:tcW w:w="1985" w:type="dxa"/>
            <w:tcBorders>
              <w:top w:val="single" w:sz="4" w:space="0" w:color="000000"/>
              <w:bottom w:val="single" w:sz="4" w:space="0" w:color="000000"/>
            </w:tcBorders>
            <w:vAlign w:val="center"/>
          </w:tcPr>
          <w:p w14:paraId="54BE0D9F" w14:textId="77777777" w:rsidR="005004F5" w:rsidRPr="00803E39" w:rsidRDefault="00990131" w:rsidP="00990131">
            <w:pPr>
              <w:suppressLineNumbers/>
              <w:jc w:val="center"/>
              <w:rPr>
                <w:rFonts w:cs="Times New Roman"/>
                <w:sz w:val="24"/>
                <w:szCs w:val="24"/>
                <w:rtl/>
              </w:rPr>
            </w:pPr>
            <w:r w:rsidRPr="00803E39">
              <w:rPr>
                <w:rFonts w:cs="Times New Roman"/>
                <w:sz w:val="24"/>
                <w:szCs w:val="24"/>
              </w:rPr>
              <w:t>48.5 ± 17.6</w:t>
            </w:r>
          </w:p>
        </w:tc>
        <w:tc>
          <w:tcPr>
            <w:tcW w:w="1559" w:type="dxa"/>
            <w:tcBorders>
              <w:top w:val="single" w:sz="4" w:space="0" w:color="000000"/>
              <w:bottom w:val="single" w:sz="4" w:space="0" w:color="000000"/>
            </w:tcBorders>
            <w:vAlign w:val="center"/>
          </w:tcPr>
          <w:p w14:paraId="1A1D682D" w14:textId="77777777" w:rsidR="005004F5" w:rsidRPr="00803E39" w:rsidRDefault="00990131" w:rsidP="00990131">
            <w:pPr>
              <w:suppressLineNumbers/>
              <w:jc w:val="center"/>
              <w:rPr>
                <w:rFonts w:cs="Times New Roman"/>
                <w:sz w:val="24"/>
                <w:szCs w:val="24"/>
                <w:rtl/>
              </w:rPr>
            </w:pPr>
            <w:r w:rsidRPr="00803E39">
              <w:rPr>
                <w:rFonts w:cs="Times New Roman"/>
                <w:sz w:val="24"/>
                <w:szCs w:val="24"/>
              </w:rPr>
              <w:t>3</w:t>
            </w:r>
            <w:r w:rsidR="0073511A">
              <w:rPr>
                <w:rFonts w:cs="Times New Roman"/>
                <w:sz w:val="24"/>
                <w:szCs w:val="24"/>
              </w:rPr>
              <w:t>5</w:t>
            </w:r>
            <w:r w:rsidRPr="00803E39">
              <w:rPr>
                <w:rFonts w:cs="Times New Roman"/>
                <w:sz w:val="24"/>
                <w:szCs w:val="24"/>
              </w:rPr>
              <w:t>.</w:t>
            </w:r>
            <w:r w:rsidR="0073511A">
              <w:rPr>
                <w:rFonts w:cs="Times New Roman"/>
                <w:sz w:val="24"/>
                <w:szCs w:val="24"/>
              </w:rPr>
              <w:t>1</w:t>
            </w:r>
            <w:r w:rsidRPr="00803E39">
              <w:rPr>
                <w:rFonts w:cs="Times New Roman"/>
                <w:sz w:val="24"/>
                <w:szCs w:val="24"/>
              </w:rPr>
              <w:t xml:space="preserve"> ± 15.</w:t>
            </w:r>
            <w:r w:rsidR="0073511A">
              <w:rPr>
                <w:rFonts w:cs="Times New Roman"/>
                <w:sz w:val="24"/>
                <w:szCs w:val="24"/>
              </w:rPr>
              <w:t>0</w:t>
            </w:r>
          </w:p>
        </w:tc>
      </w:tr>
      <w:tr w:rsidR="005004F5" w:rsidRPr="00E26EA3" w14:paraId="3D8DFC2A" w14:textId="77777777" w:rsidTr="00BB7DB3">
        <w:trPr>
          <w:trHeight w:val="411"/>
        </w:trPr>
        <w:tc>
          <w:tcPr>
            <w:tcW w:w="2127" w:type="dxa"/>
            <w:tcBorders>
              <w:top w:val="single" w:sz="4" w:space="0" w:color="000000"/>
              <w:bottom w:val="single" w:sz="4" w:space="0" w:color="000000"/>
            </w:tcBorders>
            <w:vAlign w:val="center"/>
          </w:tcPr>
          <w:p w14:paraId="26567D7E" w14:textId="77777777" w:rsidR="005004F5" w:rsidRPr="00057A96" w:rsidRDefault="0073511A" w:rsidP="00244B1A">
            <w:pPr>
              <w:suppressLineNumbers/>
              <w:jc w:val="center"/>
              <w:rPr>
                <w:rFonts w:cs="Times New Roman"/>
                <w:b/>
                <w:bCs/>
                <w:sz w:val="24"/>
                <w:szCs w:val="24"/>
              </w:rPr>
            </w:pPr>
            <w:r>
              <w:rPr>
                <w:rFonts w:cs="Times New Roman"/>
                <w:b/>
                <w:bCs/>
                <w:color w:val="000000" w:themeColor="text1"/>
                <w:sz w:val="24"/>
                <w:szCs w:val="24"/>
                <w:shd w:val="clear" w:color="auto" w:fill="FFFFFF"/>
              </w:rPr>
              <w:t>Sex</w:t>
            </w:r>
            <w:r w:rsidR="00C41966">
              <w:rPr>
                <w:rFonts w:cs="Times New Roman"/>
                <w:b/>
                <w:bCs/>
                <w:color w:val="000000" w:themeColor="text1"/>
                <w:sz w:val="24"/>
                <w:szCs w:val="24"/>
                <w:shd w:val="clear" w:color="auto" w:fill="FFFFFF"/>
              </w:rPr>
              <w:t xml:space="preserve">, </w:t>
            </w:r>
            <w:r w:rsidR="005004F5" w:rsidRPr="00057A96">
              <w:rPr>
                <w:rFonts w:cs="Times New Roman"/>
                <w:b/>
                <w:bCs/>
                <w:color w:val="000000" w:themeColor="text1"/>
                <w:sz w:val="24"/>
                <w:szCs w:val="24"/>
                <w:shd w:val="clear" w:color="auto" w:fill="FFFFFF"/>
              </w:rPr>
              <w:t>M/F</w:t>
            </w:r>
          </w:p>
        </w:tc>
        <w:tc>
          <w:tcPr>
            <w:tcW w:w="1984" w:type="dxa"/>
            <w:tcBorders>
              <w:top w:val="single" w:sz="4" w:space="0" w:color="000000"/>
              <w:bottom w:val="single" w:sz="4" w:space="0" w:color="000000"/>
            </w:tcBorders>
            <w:vAlign w:val="center"/>
          </w:tcPr>
          <w:p w14:paraId="5F192104" w14:textId="77777777" w:rsidR="005004F5" w:rsidRPr="00803E39" w:rsidRDefault="005004F5" w:rsidP="00BB7CC1">
            <w:pPr>
              <w:suppressLineNumbers/>
              <w:jc w:val="center"/>
              <w:rPr>
                <w:rFonts w:cs="Times New Roman"/>
                <w:sz w:val="24"/>
                <w:szCs w:val="24"/>
              </w:rPr>
            </w:pPr>
            <w:r w:rsidRPr="00803E39">
              <w:rPr>
                <w:rFonts w:cs="Times New Roman"/>
                <w:sz w:val="24"/>
                <w:szCs w:val="24"/>
              </w:rPr>
              <w:t xml:space="preserve"> </w:t>
            </w:r>
            <w:r w:rsidR="00643DAE" w:rsidRPr="00803E39">
              <w:rPr>
                <w:rFonts w:cs="Times New Roman"/>
                <w:sz w:val="24"/>
                <w:szCs w:val="24"/>
              </w:rPr>
              <w:t>9</w:t>
            </w:r>
            <w:r w:rsidRPr="00803E39">
              <w:rPr>
                <w:rFonts w:cs="Times New Roman"/>
                <w:sz w:val="24"/>
                <w:szCs w:val="24"/>
              </w:rPr>
              <w:t xml:space="preserve">/ </w:t>
            </w:r>
            <w:r w:rsidR="00643DAE" w:rsidRPr="00803E39">
              <w:rPr>
                <w:rFonts w:cs="Times New Roman"/>
                <w:sz w:val="24"/>
                <w:szCs w:val="24"/>
              </w:rPr>
              <w:t>12</w:t>
            </w:r>
          </w:p>
        </w:tc>
        <w:tc>
          <w:tcPr>
            <w:tcW w:w="2126" w:type="dxa"/>
            <w:tcBorders>
              <w:top w:val="single" w:sz="4" w:space="0" w:color="000000"/>
              <w:bottom w:val="single" w:sz="4" w:space="0" w:color="000000"/>
            </w:tcBorders>
            <w:vAlign w:val="center"/>
          </w:tcPr>
          <w:p w14:paraId="621472EA" w14:textId="77777777" w:rsidR="005004F5" w:rsidRPr="00803E39" w:rsidRDefault="005004F5" w:rsidP="00990131">
            <w:pPr>
              <w:suppressLineNumbers/>
              <w:jc w:val="center"/>
              <w:rPr>
                <w:rFonts w:cs="Times New Roman"/>
                <w:sz w:val="24"/>
                <w:szCs w:val="24"/>
              </w:rPr>
            </w:pPr>
            <w:r w:rsidRPr="00803E39">
              <w:rPr>
                <w:rFonts w:cs="Times New Roman"/>
                <w:sz w:val="24"/>
                <w:szCs w:val="24"/>
              </w:rPr>
              <w:t xml:space="preserve"> </w:t>
            </w:r>
            <w:r w:rsidR="00990131" w:rsidRPr="00803E39">
              <w:rPr>
                <w:rFonts w:cs="Times New Roman"/>
                <w:sz w:val="24"/>
                <w:szCs w:val="24"/>
              </w:rPr>
              <w:t>11 / 8</w:t>
            </w:r>
            <w:r w:rsidRPr="00803E39">
              <w:rPr>
                <w:rFonts w:cs="Times New Roman"/>
                <w:sz w:val="24"/>
                <w:szCs w:val="24"/>
              </w:rPr>
              <w:t xml:space="preserve"> </w:t>
            </w:r>
          </w:p>
        </w:tc>
        <w:tc>
          <w:tcPr>
            <w:tcW w:w="1985" w:type="dxa"/>
            <w:tcBorders>
              <w:top w:val="single" w:sz="4" w:space="0" w:color="000000"/>
              <w:bottom w:val="single" w:sz="4" w:space="0" w:color="000000"/>
            </w:tcBorders>
            <w:vAlign w:val="center"/>
          </w:tcPr>
          <w:p w14:paraId="45895A64" w14:textId="77777777" w:rsidR="005004F5" w:rsidRPr="00803E39" w:rsidRDefault="005004F5" w:rsidP="00990131">
            <w:pPr>
              <w:suppressLineNumbers/>
              <w:jc w:val="center"/>
              <w:rPr>
                <w:rFonts w:cs="Times New Roman"/>
                <w:sz w:val="24"/>
                <w:szCs w:val="24"/>
                <w:rtl/>
              </w:rPr>
            </w:pPr>
            <w:r w:rsidRPr="00803E39">
              <w:rPr>
                <w:rFonts w:cs="Times New Roman"/>
                <w:sz w:val="24"/>
                <w:szCs w:val="24"/>
              </w:rPr>
              <w:t xml:space="preserve"> </w:t>
            </w:r>
            <w:r w:rsidR="00990131" w:rsidRPr="00803E39">
              <w:rPr>
                <w:rFonts w:cs="Times New Roman"/>
                <w:sz w:val="24"/>
                <w:szCs w:val="24"/>
              </w:rPr>
              <w:t>8 / 6</w:t>
            </w:r>
          </w:p>
        </w:tc>
        <w:tc>
          <w:tcPr>
            <w:tcW w:w="1559" w:type="dxa"/>
            <w:tcBorders>
              <w:top w:val="single" w:sz="4" w:space="0" w:color="000000"/>
              <w:bottom w:val="single" w:sz="4" w:space="0" w:color="000000"/>
            </w:tcBorders>
            <w:vAlign w:val="center"/>
          </w:tcPr>
          <w:p w14:paraId="415D90EF" w14:textId="77777777" w:rsidR="005004F5" w:rsidRPr="00803E39" w:rsidRDefault="00990131" w:rsidP="00990131">
            <w:pPr>
              <w:suppressLineNumbers/>
              <w:jc w:val="center"/>
              <w:rPr>
                <w:rFonts w:cs="Times New Roman"/>
                <w:sz w:val="24"/>
                <w:szCs w:val="24"/>
              </w:rPr>
            </w:pPr>
            <w:r w:rsidRPr="00803E39">
              <w:rPr>
                <w:rFonts w:cs="Times New Roman"/>
                <w:sz w:val="24"/>
                <w:szCs w:val="24"/>
              </w:rPr>
              <w:t xml:space="preserve">9 / </w:t>
            </w:r>
            <w:r w:rsidR="0073511A">
              <w:rPr>
                <w:rFonts w:cs="Times New Roman"/>
                <w:sz w:val="24"/>
                <w:szCs w:val="24"/>
              </w:rPr>
              <w:t>7</w:t>
            </w:r>
            <w:r w:rsidR="005004F5" w:rsidRPr="00803E39">
              <w:rPr>
                <w:rFonts w:cs="Times New Roman"/>
                <w:sz w:val="24"/>
                <w:szCs w:val="24"/>
              </w:rPr>
              <w:t xml:space="preserve"> </w:t>
            </w:r>
          </w:p>
        </w:tc>
      </w:tr>
      <w:tr w:rsidR="00C41966" w:rsidRPr="00E26EA3" w14:paraId="5A4BA5EF" w14:textId="77777777" w:rsidTr="00BB7DB3">
        <w:trPr>
          <w:trHeight w:val="419"/>
        </w:trPr>
        <w:tc>
          <w:tcPr>
            <w:tcW w:w="2127" w:type="dxa"/>
            <w:tcBorders>
              <w:top w:val="single" w:sz="4" w:space="0" w:color="000000"/>
              <w:bottom w:val="single" w:sz="4" w:space="0" w:color="000000"/>
            </w:tcBorders>
            <w:vAlign w:val="center"/>
          </w:tcPr>
          <w:p w14:paraId="0B0F9AD9" w14:textId="77777777" w:rsidR="00C41966" w:rsidRDefault="00C41966" w:rsidP="00244B1A">
            <w:pPr>
              <w:suppressLineNumbers/>
              <w:jc w:val="center"/>
              <w:rPr>
                <w:rFonts w:cs="Times New Roman"/>
                <w:b/>
                <w:bCs/>
                <w:color w:val="000000" w:themeColor="text1"/>
                <w:sz w:val="24"/>
                <w:szCs w:val="24"/>
                <w:shd w:val="clear" w:color="auto" w:fill="FFFFFF"/>
              </w:rPr>
            </w:pPr>
            <w:r>
              <w:rPr>
                <w:rFonts w:cs="Times New Roman"/>
                <w:b/>
                <w:bCs/>
                <w:color w:val="000000" w:themeColor="text1"/>
                <w:sz w:val="24"/>
                <w:szCs w:val="24"/>
                <w:shd w:val="clear" w:color="auto" w:fill="FFFFFF"/>
              </w:rPr>
              <w:t>BD subtype, I/II</w:t>
            </w:r>
          </w:p>
        </w:tc>
        <w:tc>
          <w:tcPr>
            <w:tcW w:w="1984" w:type="dxa"/>
            <w:tcBorders>
              <w:top w:val="single" w:sz="4" w:space="0" w:color="000000"/>
              <w:bottom w:val="single" w:sz="4" w:space="0" w:color="000000"/>
            </w:tcBorders>
            <w:vAlign w:val="center"/>
          </w:tcPr>
          <w:p w14:paraId="70B42429" w14:textId="77777777" w:rsidR="00C41966" w:rsidRPr="00803E39" w:rsidRDefault="00C41966" w:rsidP="00C41966">
            <w:pPr>
              <w:suppressLineNumbers/>
              <w:jc w:val="center"/>
              <w:rPr>
                <w:rFonts w:cs="Times New Roman"/>
                <w:sz w:val="24"/>
                <w:szCs w:val="24"/>
              </w:rPr>
            </w:pPr>
            <w:r w:rsidRPr="00C41966">
              <w:rPr>
                <w:rFonts w:cs="Times New Roman"/>
                <w:sz w:val="24"/>
                <w:szCs w:val="24"/>
              </w:rPr>
              <w:t>9 / 12</w:t>
            </w:r>
          </w:p>
        </w:tc>
        <w:tc>
          <w:tcPr>
            <w:tcW w:w="2126" w:type="dxa"/>
            <w:tcBorders>
              <w:top w:val="single" w:sz="4" w:space="0" w:color="000000"/>
              <w:bottom w:val="single" w:sz="4" w:space="0" w:color="000000"/>
            </w:tcBorders>
            <w:vAlign w:val="center"/>
          </w:tcPr>
          <w:p w14:paraId="49DC34FA" w14:textId="77777777" w:rsidR="00C41966" w:rsidRPr="00803E39" w:rsidRDefault="00C41966" w:rsidP="00C41966">
            <w:pPr>
              <w:suppressLineNumbers/>
              <w:jc w:val="center"/>
              <w:rPr>
                <w:rFonts w:cs="Times New Roman"/>
                <w:sz w:val="24"/>
                <w:szCs w:val="24"/>
              </w:rPr>
            </w:pPr>
            <w:r>
              <w:rPr>
                <w:rFonts w:cs="Times New Roman"/>
                <w:sz w:val="24"/>
                <w:szCs w:val="24"/>
              </w:rPr>
              <w:t>6</w:t>
            </w:r>
            <w:r w:rsidRPr="00C41966">
              <w:rPr>
                <w:rFonts w:cs="Times New Roman"/>
                <w:sz w:val="24"/>
                <w:szCs w:val="24"/>
              </w:rPr>
              <w:t xml:space="preserve"> / </w:t>
            </w:r>
            <w:r>
              <w:rPr>
                <w:rFonts w:cs="Times New Roman"/>
                <w:sz w:val="24"/>
                <w:szCs w:val="24"/>
              </w:rPr>
              <w:t>13</w:t>
            </w:r>
          </w:p>
        </w:tc>
        <w:tc>
          <w:tcPr>
            <w:tcW w:w="1985" w:type="dxa"/>
            <w:tcBorders>
              <w:top w:val="single" w:sz="4" w:space="0" w:color="000000"/>
              <w:bottom w:val="single" w:sz="4" w:space="0" w:color="000000"/>
            </w:tcBorders>
            <w:vAlign w:val="center"/>
          </w:tcPr>
          <w:p w14:paraId="1FE92CDE" w14:textId="77777777" w:rsidR="00C41966" w:rsidRPr="00803E39" w:rsidRDefault="00C41966" w:rsidP="00990131">
            <w:pPr>
              <w:suppressLineNumbers/>
              <w:jc w:val="center"/>
              <w:rPr>
                <w:rFonts w:cs="Times New Roman"/>
                <w:sz w:val="24"/>
                <w:szCs w:val="24"/>
              </w:rPr>
            </w:pPr>
            <w:r>
              <w:rPr>
                <w:rFonts w:cs="Times New Roman"/>
                <w:sz w:val="24"/>
                <w:szCs w:val="24"/>
              </w:rPr>
              <w:t>N/A</w:t>
            </w:r>
          </w:p>
        </w:tc>
        <w:tc>
          <w:tcPr>
            <w:tcW w:w="1559" w:type="dxa"/>
            <w:tcBorders>
              <w:top w:val="single" w:sz="4" w:space="0" w:color="000000"/>
              <w:bottom w:val="single" w:sz="4" w:space="0" w:color="000000"/>
            </w:tcBorders>
            <w:vAlign w:val="center"/>
          </w:tcPr>
          <w:p w14:paraId="4F6B1684" w14:textId="77777777" w:rsidR="00C41966" w:rsidRPr="00803E39" w:rsidRDefault="00C41966" w:rsidP="00990131">
            <w:pPr>
              <w:suppressLineNumbers/>
              <w:jc w:val="center"/>
              <w:rPr>
                <w:rFonts w:cs="Times New Roman"/>
                <w:sz w:val="24"/>
                <w:szCs w:val="24"/>
              </w:rPr>
            </w:pPr>
            <w:r>
              <w:rPr>
                <w:rFonts w:cs="Times New Roman"/>
                <w:sz w:val="24"/>
                <w:szCs w:val="24"/>
              </w:rPr>
              <w:t>N/A</w:t>
            </w:r>
          </w:p>
        </w:tc>
      </w:tr>
      <w:tr w:rsidR="00C41966" w:rsidRPr="00E26EA3" w14:paraId="2429FF9C" w14:textId="77777777" w:rsidTr="00BB7DB3">
        <w:trPr>
          <w:trHeight w:val="411"/>
        </w:trPr>
        <w:tc>
          <w:tcPr>
            <w:tcW w:w="2127" w:type="dxa"/>
            <w:tcBorders>
              <w:top w:val="single" w:sz="4" w:space="0" w:color="000000"/>
              <w:bottom w:val="single" w:sz="4" w:space="0" w:color="000000"/>
            </w:tcBorders>
            <w:vAlign w:val="center"/>
          </w:tcPr>
          <w:p w14:paraId="2329B5D1" w14:textId="77777777" w:rsidR="00C41966" w:rsidRDefault="001D6ADF" w:rsidP="00244B1A">
            <w:pPr>
              <w:suppressLineNumbers/>
              <w:jc w:val="center"/>
              <w:rPr>
                <w:rFonts w:cs="Times New Roman"/>
                <w:b/>
                <w:bCs/>
                <w:color w:val="000000" w:themeColor="text1"/>
                <w:sz w:val="24"/>
                <w:szCs w:val="24"/>
                <w:shd w:val="clear" w:color="auto" w:fill="FFFFFF"/>
              </w:rPr>
            </w:pPr>
            <w:r>
              <w:rPr>
                <w:rFonts w:cs="Times New Roman"/>
                <w:b/>
                <w:bCs/>
                <w:color w:val="000000" w:themeColor="text1"/>
                <w:sz w:val="24"/>
                <w:szCs w:val="24"/>
                <w:shd w:val="clear" w:color="auto" w:fill="FFFFFF"/>
              </w:rPr>
              <w:t>Daily ci</w:t>
            </w:r>
            <w:r w:rsidR="00C41966">
              <w:rPr>
                <w:rFonts w:cs="Times New Roman"/>
                <w:b/>
                <w:bCs/>
                <w:color w:val="000000" w:themeColor="text1"/>
                <w:sz w:val="24"/>
                <w:szCs w:val="24"/>
                <w:shd w:val="clear" w:color="auto" w:fill="FFFFFF"/>
              </w:rPr>
              <w:t>garettes</w:t>
            </w:r>
          </w:p>
        </w:tc>
        <w:tc>
          <w:tcPr>
            <w:tcW w:w="1984" w:type="dxa"/>
            <w:tcBorders>
              <w:top w:val="single" w:sz="4" w:space="0" w:color="000000"/>
              <w:bottom w:val="single" w:sz="4" w:space="0" w:color="000000"/>
            </w:tcBorders>
            <w:vAlign w:val="center"/>
          </w:tcPr>
          <w:p w14:paraId="1230CD4C" w14:textId="77777777" w:rsidR="00C41966" w:rsidRPr="00803E39" w:rsidRDefault="00C41966" w:rsidP="00C41966">
            <w:pPr>
              <w:suppressLineNumbers/>
              <w:jc w:val="center"/>
              <w:rPr>
                <w:rFonts w:cs="Times New Roman"/>
                <w:sz w:val="24"/>
                <w:szCs w:val="24"/>
              </w:rPr>
            </w:pPr>
            <w:r w:rsidRPr="00C41966">
              <w:rPr>
                <w:rFonts w:cs="Times New Roman"/>
                <w:sz w:val="24"/>
                <w:szCs w:val="24"/>
              </w:rPr>
              <w:t>3.3 ± 6.0</w:t>
            </w:r>
          </w:p>
        </w:tc>
        <w:tc>
          <w:tcPr>
            <w:tcW w:w="2126" w:type="dxa"/>
            <w:tcBorders>
              <w:top w:val="single" w:sz="4" w:space="0" w:color="000000"/>
              <w:bottom w:val="single" w:sz="4" w:space="0" w:color="000000"/>
            </w:tcBorders>
            <w:vAlign w:val="center"/>
          </w:tcPr>
          <w:p w14:paraId="7540A330" w14:textId="77777777" w:rsidR="00C41966" w:rsidRPr="00803E39" w:rsidRDefault="00C41966" w:rsidP="00C41966">
            <w:pPr>
              <w:suppressLineNumbers/>
              <w:jc w:val="center"/>
              <w:rPr>
                <w:rFonts w:cs="Times New Roman"/>
                <w:sz w:val="24"/>
                <w:szCs w:val="24"/>
              </w:rPr>
            </w:pPr>
            <w:r w:rsidRPr="00C41966">
              <w:rPr>
                <w:rFonts w:cs="Times New Roman"/>
                <w:sz w:val="24"/>
                <w:szCs w:val="24"/>
              </w:rPr>
              <w:t>2.3 ± 6.0</w:t>
            </w:r>
          </w:p>
        </w:tc>
        <w:tc>
          <w:tcPr>
            <w:tcW w:w="1985" w:type="dxa"/>
            <w:tcBorders>
              <w:top w:val="single" w:sz="4" w:space="0" w:color="000000"/>
              <w:bottom w:val="single" w:sz="4" w:space="0" w:color="000000"/>
            </w:tcBorders>
            <w:vAlign w:val="center"/>
          </w:tcPr>
          <w:p w14:paraId="4BC16CAF" w14:textId="77777777" w:rsidR="00C41966" w:rsidRPr="00803E39" w:rsidRDefault="00C41966" w:rsidP="00C41966">
            <w:pPr>
              <w:suppressLineNumbers/>
              <w:jc w:val="center"/>
              <w:rPr>
                <w:rFonts w:cs="Times New Roman"/>
                <w:sz w:val="24"/>
                <w:szCs w:val="24"/>
              </w:rPr>
            </w:pPr>
            <w:r w:rsidRPr="00C41966">
              <w:rPr>
                <w:rFonts w:cs="Times New Roman"/>
                <w:sz w:val="24"/>
                <w:szCs w:val="24"/>
              </w:rPr>
              <w:t>2.6 ± 3.7</w:t>
            </w:r>
          </w:p>
        </w:tc>
        <w:tc>
          <w:tcPr>
            <w:tcW w:w="1559" w:type="dxa"/>
            <w:tcBorders>
              <w:top w:val="single" w:sz="4" w:space="0" w:color="000000"/>
              <w:bottom w:val="single" w:sz="4" w:space="0" w:color="000000"/>
            </w:tcBorders>
            <w:vAlign w:val="center"/>
          </w:tcPr>
          <w:p w14:paraId="56736657" w14:textId="77777777" w:rsidR="00C41966" w:rsidRPr="00803E39" w:rsidRDefault="00C41966" w:rsidP="00C41966">
            <w:pPr>
              <w:suppressLineNumbers/>
              <w:jc w:val="center"/>
              <w:rPr>
                <w:rFonts w:cs="Times New Roman"/>
                <w:sz w:val="24"/>
                <w:szCs w:val="24"/>
              </w:rPr>
            </w:pPr>
            <w:r w:rsidRPr="00C41966">
              <w:rPr>
                <w:rFonts w:cs="Times New Roman"/>
                <w:sz w:val="24"/>
                <w:szCs w:val="24"/>
              </w:rPr>
              <w:t>0.9 ± 2.7</w:t>
            </w:r>
          </w:p>
        </w:tc>
      </w:tr>
      <w:tr w:rsidR="005004F5" w:rsidRPr="00E26EA3" w14:paraId="638323DE" w14:textId="77777777" w:rsidTr="00BB7DB3">
        <w:trPr>
          <w:trHeight w:val="417"/>
        </w:trPr>
        <w:tc>
          <w:tcPr>
            <w:tcW w:w="2127" w:type="dxa"/>
            <w:tcBorders>
              <w:top w:val="single" w:sz="4" w:space="0" w:color="000000"/>
              <w:bottom w:val="single" w:sz="4" w:space="0" w:color="000000"/>
            </w:tcBorders>
            <w:vAlign w:val="center"/>
          </w:tcPr>
          <w:p w14:paraId="7A3FBBA4" w14:textId="77777777" w:rsidR="005004F5" w:rsidRPr="00057A96" w:rsidRDefault="005004F5" w:rsidP="00BB7CC1">
            <w:pPr>
              <w:suppressLineNumbers/>
              <w:jc w:val="center"/>
              <w:rPr>
                <w:rFonts w:cs="Times New Roman"/>
                <w:b/>
                <w:bCs/>
                <w:sz w:val="24"/>
                <w:szCs w:val="24"/>
              </w:rPr>
            </w:pPr>
            <w:r w:rsidRPr="00057A96">
              <w:rPr>
                <w:rFonts w:cs="Times New Roman"/>
                <w:b/>
                <w:bCs/>
                <w:color w:val="000000" w:themeColor="text1"/>
                <w:sz w:val="24"/>
                <w:szCs w:val="24"/>
                <w:shd w:val="clear" w:color="auto" w:fill="FFFFFF"/>
              </w:rPr>
              <w:t>MADRS</w:t>
            </w:r>
          </w:p>
        </w:tc>
        <w:tc>
          <w:tcPr>
            <w:tcW w:w="1984" w:type="dxa"/>
            <w:tcBorders>
              <w:top w:val="single" w:sz="4" w:space="0" w:color="000000"/>
              <w:bottom w:val="single" w:sz="4" w:space="0" w:color="000000"/>
            </w:tcBorders>
            <w:vAlign w:val="center"/>
          </w:tcPr>
          <w:p w14:paraId="7A0E76B7" w14:textId="77777777" w:rsidR="005004F5" w:rsidRPr="00803E39" w:rsidRDefault="00990131" w:rsidP="00990131">
            <w:pPr>
              <w:suppressLineNumbers/>
              <w:jc w:val="center"/>
              <w:rPr>
                <w:rFonts w:cs="Times New Roman"/>
                <w:sz w:val="24"/>
                <w:szCs w:val="24"/>
              </w:rPr>
            </w:pPr>
            <w:r w:rsidRPr="00803E39">
              <w:rPr>
                <w:rFonts w:cs="Times New Roman"/>
                <w:sz w:val="24"/>
                <w:szCs w:val="24"/>
              </w:rPr>
              <w:t>17.3 ± 7.4</w:t>
            </w:r>
          </w:p>
        </w:tc>
        <w:tc>
          <w:tcPr>
            <w:tcW w:w="2126" w:type="dxa"/>
            <w:tcBorders>
              <w:top w:val="single" w:sz="4" w:space="0" w:color="000000"/>
              <w:bottom w:val="single" w:sz="4" w:space="0" w:color="000000"/>
            </w:tcBorders>
            <w:vAlign w:val="center"/>
          </w:tcPr>
          <w:p w14:paraId="17ED394D" w14:textId="77777777" w:rsidR="005004F5" w:rsidRPr="00803E39" w:rsidRDefault="00990131" w:rsidP="00990131">
            <w:pPr>
              <w:suppressLineNumbers/>
              <w:jc w:val="center"/>
              <w:rPr>
                <w:rFonts w:cs="Times New Roman"/>
                <w:sz w:val="24"/>
                <w:szCs w:val="24"/>
              </w:rPr>
            </w:pPr>
            <w:r w:rsidRPr="00803E39">
              <w:rPr>
                <w:rFonts w:cs="Times New Roman"/>
                <w:sz w:val="24"/>
                <w:szCs w:val="24"/>
              </w:rPr>
              <w:t>2.6 ± 2.0</w:t>
            </w:r>
          </w:p>
        </w:tc>
        <w:tc>
          <w:tcPr>
            <w:tcW w:w="1985" w:type="dxa"/>
            <w:tcBorders>
              <w:top w:val="single" w:sz="4" w:space="0" w:color="000000"/>
              <w:bottom w:val="single" w:sz="4" w:space="0" w:color="000000"/>
            </w:tcBorders>
            <w:vAlign w:val="center"/>
          </w:tcPr>
          <w:p w14:paraId="02BC0B54" w14:textId="77777777" w:rsidR="005004F5" w:rsidRPr="00803E39" w:rsidRDefault="005004F5" w:rsidP="00BB7CC1">
            <w:pPr>
              <w:suppressLineNumbers/>
              <w:jc w:val="center"/>
              <w:rPr>
                <w:rFonts w:cs="Times New Roman"/>
                <w:sz w:val="24"/>
                <w:szCs w:val="24"/>
              </w:rPr>
            </w:pPr>
            <w:r w:rsidRPr="00803E39">
              <w:rPr>
                <w:rFonts w:cs="Times New Roman"/>
                <w:sz w:val="24"/>
                <w:szCs w:val="24"/>
              </w:rPr>
              <w:t>N/A</w:t>
            </w:r>
          </w:p>
        </w:tc>
        <w:tc>
          <w:tcPr>
            <w:tcW w:w="1559" w:type="dxa"/>
            <w:tcBorders>
              <w:top w:val="single" w:sz="4" w:space="0" w:color="000000"/>
              <w:bottom w:val="single" w:sz="4" w:space="0" w:color="000000"/>
            </w:tcBorders>
            <w:vAlign w:val="center"/>
          </w:tcPr>
          <w:p w14:paraId="030B4C84" w14:textId="77777777" w:rsidR="005004F5" w:rsidRPr="00803E39" w:rsidRDefault="005004F5" w:rsidP="00BB7CC1">
            <w:pPr>
              <w:suppressLineNumbers/>
              <w:jc w:val="center"/>
              <w:rPr>
                <w:rFonts w:cs="Times New Roman"/>
                <w:sz w:val="24"/>
                <w:szCs w:val="24"/>
              </w:rPr>
            </w:pPr>
            <w:r w:rsidRPr="00803E39">
              <w:rPr>
                <w:rFonts w:cs="Times New Roman"/>
                <w:sz w:val="24"/>
                <w:szCs w:val="24"/>
              </w:rPr>
              <w:t>N/A</w:t>
            </w:r>
          </w:p>
        </w:tc>
      </w:tr>
      <w:tr w:rsidR="005004F5" w:rsidRPr="00E26EA3" w14:paraId="7721FB57" w14:textId="77777777" w:rsidTr="00BB7DB3">
        <w:trPr>
          <w:trHeight w:val="409"/>
        </w:trPr>
        <w:tc>
          <w:tcPr>
            <w:tcW w:w="2127" w:type="dxa"/>
            <w:tcBorders>
              <w:top w:val="single" w:sz="4" w:space="0" w:color="000000"/>
              <w:bottom w:val="single" w:sz="4" w:space="0" w:color="000000"/>
            </w:tcBorders>
            <w:vAlign w:val="center"/>
          </w:tcPr>
          <w:p w14:paraId="3903EA2A" w14:textId="77777777" w:rsidR="005004F5" w:rsidRPr="00057A96" w:rsidRDefault="005004F5" w:rsidP="00BB7CC1">
            <w:pPr>
              <w:suppressLineNumbers/>
              <w:jc w:val="center"/>
              <w:rPr>
                <w:rFonts w:cs="Times New Roman"/>
                <w:b/>
                <w:bCs/>
                <w:color w:val="000000" w:themeColor="text1"/>
                <w:sz w:val="24"/>
                <w:szCs w:val="24"/>
                <w:shd w:val="clear" w:color="auto" w:fill="FFFFFF"/>
              </w:rPr>
            </w:pPr>
            <w:r w:rsidRPr="00057A96">
              <w:rPr>
                <w:rFonts w:cs="Times New Roman"/>
                <w:b/>
                <w:bCs/>
                <w:color w:val="000000" w:themeColor="text1"/>
                <w:sz w:val="24"/>
                <w:szCs w:val="24"/>
                <w:shd w:val="clear" w:color="auto" w:fill="FFFFFF"/>
              </w:rPr>
              <w:t>YMRS</w:t>
            </w:r>
          </w:p>
        </w:tc>
        <w:tc>
          <w:tcPr>
            <w:tcW w:w="1984" w:type="dxa"/>
            <w:tcBorders>
              <w:top w:val="single" w:sz="4" w:space="0" w:color="000000"/>
              <w:bottom w:val="single" w:sz="4" w:space="0" w:color="000000"/>
            </w:tcBorders>
            <w:vAlign w:val="center"/>
          </w:tcPr>
          <w:p w14:paraId="663B1C61" w14:textId="77777777" w:rsidR="005004F5" w:rsidRPr="00803E39" w:rsidRDefault="00990131" w:rsidP="00990131">
            <w:pPr>
              <w:suppressLineNumbers/>
              <w:jc w:val="center"/>
              <w:rPr>
                <w:rFonts w:cs="Times New Roman"/>
                <w:sz w:val="24"/>
                <w:szCs w:val="24"/>
              </w:rPr>
            </w:pPr>
            <w:r w:rsidRPr="00803E39">
              <w:rPr>
                <w:rFonts w:cs="Times New Roman"/>
                <w:sz w:val="24"/>
                <w:szCs w:val="24"/>
              </w:rPr>
              <w:t>1.6 ± 2.0</w:t>
            </w:r>
          </w:p>
        </w:tc>
        <w:tc>
          <w:tcPr>
            <w:tcW w:w="2126" w:type="dxa"/>
            <w:tcBorders>
              <w:top w:val="single" w:sz="4" w:space="0" w:color="000000"/>
              <w:bottom w:val="single" w:sz="4" w:space="0" w:color="000000"/>
            </w:tcBorders>
            <w:vAlign w:val="center"/>
          </w:tcPr>
          <w:p w14:paraId="04BCAE40" w14:textId="77777777" w:rsidR="005004F5" w:rsidRPr="00803E39" w:rsidRDefault="00990131" w:rsidP="00990131">
            <w:pPr>
              <w:suppressLineNumbers/>
              <w:jc w:val="center"/>
              <w:rPr>
                <w:rFonts w:cs="Times New Roman"/>
                <w:sz w:val="24"/>
                <w:szCs w:val="24"/>
              </w:rPr>
            </w:pPr>
            <w:r w:rsidRPr="00803E39">
              <w:rPr>
                <w:rFonts w:cs="Times New Roman"/>
                <w:sz w:val="24"/>
                <w:szCs w:val="24"/>
              </w:rPr>
              <w:t>0.4 ± 0.7</w:t>
            </w:r>
          </w:p>
        </w:tc>
        <w:tc>
          <w:tcPr>
            <w:tcW w:w="1985" w:type="dxa"/>
            <w:tcBorders>
              <w:top w:val="single" w:sz="4" w:space="0" w:color="000000"/>
              <w:bottom w:val="single" w:sz="4" w:space="0" w:color="000000"/>
            </w:tcBorders>
            <w:vAlign w:val="center"/>
          </w:tcPr>
          <w:p w14:paraId="55758E23" w14:textId="77777777" w:rsidR="005004F5" w:rsidRPr="00803E39" w:rsidRDefault="005004F5" w:rsidP="00BB7CC1">
            <w:pPr>
              <w:suppressLineNumbers/>
              <w:jc w:val="center"/>
              <w:rPr>
                <w:rFonts w:cs="Times New Roman"/>
                <w:sz w:val="24"/>
                <w:szCs w:val="24"/>
              </w:rPr>
            </w:pPr>
            <w:r w:rsidRPr="00803E39">
              <w:rPr>
                <w:rFonts w:cs="Times New Roman"/>
                <w:sz w:val="24"/>
                <w:szCs w:val="24"/>
              </w:rPr>
              <w:t>N/A</w:t>
            </w:r>
          </w:p>
        </w:tc>
        <w:tc>
          <w:tcPr>
            <w:tcW w:w="1559" w:type="dxa"/>
            <w:tcBorders>
              <w:top w:val="single" w:sz="4" w:space="0" w:color="000000"/>
              <w:bottom w:val="single" w:sz="4" w:space="0" w:color="000000"/>
            </w:tcBorders>
            <w:vAlign w:val="center"/>
          </w:tcPr>
          <w:p w14:paraId="19DABA18" w14:textId="77777777" w:rsidR="005004F5" w:rsidRPr="00803E39" w:rsidRDefault="005004F5" w:rsidP="00BB7CC1">
            <w:pPr>
              <w:suppressLineNumbers/>
              <w:jc w:val="center"/>
              <w:rPr>
                <w:rFonts w:cs="Times New Roman"/>
                <w:sz w:val="24"/>
                <w:szCs w:val="24"/>
              </w:rPr>
            </w:pPr>
            <w:r w:rsidRPr="00803E39">
              <w:rPr>
                <w:rFonts w:cs="Times New Roman"/>
                <w:sz w:val="24"/>
                <w:szCs w:val="24"/>
              </w:rPr>
              <w:t>N/A</w:t>
            </w:r>
          </w:p>
        </w:tc>
      </w:tr>
      <w:tr w:rsidR="005004F5" w:rsidRPr="00E26EA3" w14:paraId="2B197EC9" w14:textId="77777777" w:rsidTr="00BB7DB3">
        <w:trPr>
          <w:trHeight w:val="415"/>
        </w:trPr>
        <w:tc>
          <w:tcPr>
            <w:tcW w:w="2127" w:type="dxa"/>
            <w:tcBorders>
              <w:top w:val="single" w:sz="4" w:space="0" w:color="000000"/>
              <w:bottom w:val="single" w:sz="12" w:space="0" w:color="000000"/>
            </w:tcBorders>
            <w:vAlign w:val="center"/>
          </w:tcPr>
          <w:p w14:paraId="6DB42387" w14:textId="77777777" w:rsidR="005004F5" w:rsidRPr="00057A96" w:rsidRDefault="005004F5" w:rsidP="00BB7CC1">
            <w:pPr>
              <w:suppressLineNumbers/>
              <w:jc w:val="center"/>
              <w:rPr>
                <w:rFonts w:cs="Times New Roman"/>
                <w:b/>
                <w:bCs/>
                <w:color w:val="000000" w:themeColor="text1"/>
                <w:sz w:val="24"/>
                <w:szCs w:val="24"/>
                <w:shd w:val="clear" w:color="auto" w:fill="FFFFFF"/>
              </w:rPr>
            </w:pPr>
            <w:r w:rsidRPr="00057A96">
              <w:rPr>
                <w:rFonts w:cs="Times New Roman"/>
                <w:b/>
                <w:bCs/>
                <w:color w:val="000000" w:themeColor="text1"/>
                <w:sz w:val="24"/>
                <w:szCs w:val="24"/>
                <w:shd w:val="clear" w:color="auto" w:fill="FFFFFF"/>
              </w:rPr>
              <w:t>GAF</w:t>
            </w:r>
          </w:p>
        </w:tc>
        <w:tc>
          <w:tcPr>
            <w:tcW w:w="1984" w:type="dxa"/>
            <w:tcBorders>
              <w:top w:val="single" w:sz="4" w:space="0" w:color="000000"/>
              <w:bottom w:val="single" w:sz="12" w:space="0" w:color="000000"/>
            </w:tcBorders>
            <w:vAlign w:val="center"/>
          </w:tcPr>
          <w:p w14:paraId="32C3D3AD" w14:textId="77777777" w:rsidR="005004F5" w:rsidRPr="00803E39" w:rsidRDefault="00990131" w:rsidP="00990131">
            <w:pPr>
              <w:suppressLineNumbers/>
              <w:jc w:val="center"/>
              <w:rPr>
                <w:rFonts w:cs="Times New Roman"/>
                <w:sz w:val="24"/>
                <w:szCs w:val="24"/>
              </w:rPr>
            </w:pPr>
            <w:r w:rsidRPr="00803E39">
              <w:rPr>
                <w:rFonts w:cs="Times New Roman"/>
                <w:sz w:val="24"/>
                <w:szCs w:val="24"/>
              </w:rPr>
              <w:t>60.3 ± 17.4</w:t>
            </w:r>
          </w:p>
        </w:tc>
        <w:tc>
          <w:tcPr>
            <w:tcW w:w="2126" w:type="dxa"/>
            <w:tcBorders>
              <w:top w:val="single" w:sz="4" w:space="0" w:color="000000"/>
              <w:bottom w:val="single" w:sz="12" w:space="0" w:color="000000"/>
            </w:tcBorders>
            <w:vAlign w:val="center"/>
          </w:tcPr>
          <w:p w14:paraId="1D9C6167" w14:textId="77777777" w:rsidR="005004F5" w:rsidRPr="00803E39" w:rsidRDefault="00990131" w:rsidP="00990131">
            <w:pPr>
              <w:suppressLineNumbers/>
              <w:jc w:val="center"/>
              <w:rPr>
                <w:rFonts w:cs="Times New Roman"/>
                <w:sz w:val="24"/>
                <w:szCs w:val="24"/>
              </w:rPr>
            </w:pPr>
            <w:r w:rsidRPr="00803E39">
              <w:rPr>
                <w:rFonts w:cs="Times New Roman"/>
                <w:sz w:val="24"/>
                <w:szCs w:val="24"/>
              </w:rPr>
              <w:t>88.7 ± 10.5</w:t>
            </w:r>
          </w:p>
        </w:tc>
        <w:tc>
          <w:tcPr>
            <w:tcW w:w="1985" w:type="dxa"/>
            <w:tcBorders>
              <w:top w:val="single" w:sz="4" w:space="0" w:color="000000"/>
              <w:bottom w:val="single" w:sz="12" w:space="0" w:color="000000"/>
            </w:tcBorders>
            <w:vAlign w:val="center"/>
          </w:tcPr>
          <w:p w14:paraId="13515FD2" w14:textId="77777777" w:rsidR="005004F5" w:rsidRPr="00803E39" w:rsidRDefault="005004F5" w:rsidP="00BB7CC1">
            <w:pPr>
              <w:suppressLineNumbers/>
              <w:jc w:val="center"/>
              <w:rPr>
                <w:rFonts w:cs="Times New Roman"/>
                <w:sz w:val="24"/>
                <w:szCs w:val="24"/>
              </w:rPr>
            </w:pPr>
            <w:r w:rsidRPr="00803E39">
              <w:rPr>
                <w:rFonts w:cs="Times New Roman"/>
                <w:sz w:val="24"/>
                <w:szCs w:val="24"/>
              </w:rPr>
              <w:t>N/A</w:t>
            </w:r>
          </w:p>
        </w:tc>
        <w:tc>
          <w:tcPr>
            <w:tcW w:w="1559" w:type="dxa"/>
            <w:tcBorders>
              <w:top w:val="single" w:sz="4" w:space="0" w:color="000000"/>
              <w:bottom w:val="single" w:sz="12" w:space="0" w:color="000000"/>
            </w:tcBorders>
            <w:vAlign w:val="center"/>
          </w:tcPr>
          <w:p w14:paraId="33D5C5FE" w14:textId="77777777" w:rsidR="005004F5" w:rsidRPr="00803E39" w:rsidRDefault="005004F5" w:rsidP="00BB7CC1">
            <w:pPr>
              <w:suppressLineNumbers/>
              <w:jc w:val="center"/>
              <w:rPr>
                <w:rFonts w:cs="Times New Roman"/>
                <w:sz w:val="24"/>
                <w:szCs w:val="24"/>
              </w:rPr>
            </w:pPr>
            <w:r w:rsidRPr="00803E39">
              <w:rPr>
                <w:rFonts w:cs="Times New Roman"/>
                <w:sz w:val="24"/>
                <w:szCs w:val="24"/>
              </w:rPr>
              <w:t>N/A</w:t>
            </w:r>
          </w:p>
        </w:tc>
      </w:tr>
    </w:tbl>
    <w:p w14:paraId="0C21B2E0" w14:textId="77777777" w:rsidR="00DC7DCE" w:rsidRDefault="00E9629E" w:rsidP="001D6ADF">
      <w:pPr>
        <w:spacing w:before="120" w:after="0" w:line="360" w:lineRule="auto"/>
        <w:jc w:val="both"/>
        <w:rPr>
          <w:rFonts w:cs="Times New Roman"/>
          <w:sz w:val="24"/>
          <w:szCs w:val="24"/>
        </w:rPr>
      </w:pPr>
      <w:r w:rsidRPr="00E9629E">
        <w:rPr>
          <w:rFonts w:cs="Times New Roman"/>
          <w:sz w:val="24"/>
          <w:szCs w:val="24"/>
        </w:rPr>
        <w:t xml:space="preserve">Values are presented as mean ± SD unless otherwise indicated. Sex and BD subtype are presented as counts. Cigarette use is reported descriptively because of its potential relevance to autonomic and cardio-cortical physiology; the primary models were adjusted for age and sex, and a post hoc smoking-adjusted sensitivity analysis is reported in the Supplementary Information. MADRS, YMRS, and GAF scores were available for BD participants only and are </w:t>
      </w:r>
      <w:r w:rsidR="001D6ADF" w:rsidRPr="001D6ADF">
        <w:rPr>
          <w:rFonts w:cs="Times New Roman"/>
          <w:sz w:val="24"/>
          <w:szCs w:val="24"/>
        </w:rPr>
        <w:t>shown as N/A</w:t>
      </w:r>
      <w:r w:rsidRPr="00E9629E">
        <w:rPr>
          <w:rFonts w:cs="Times New Roman"/>
          <w:sz w:val="24"/>
          <w:szCs w:val="24"/>
        </w:rPr>
        <w:t xml:space="preserve"> for healthy controls and unaffected siblings. Medication categories are reported in Supplementary Table S1.</w:t>
      </w:r>
    </w:p>
    <w:p w14:paraId="03D7E44A" w14:textId="77777777" w:rsidR="00E9629E" w:rsidRPr="00E9629E" w:rsidRDefault="00E9629E" w:rsidP="00E9629E">
      <w:pPr>
        <w:spacing w:before="120" w:after="0" w:line="360" w:lineRule="auto"/>
        <w:jc w:val="both"/>
        <w:rPr>
          <w:rFonts w:cs="Times New Roman"/>
          <w:sz w:val="24"/>
          <w:szCs w:val="24"/>
        </w:rPr>
      </w:pPr>
      <w:r w:rsidRPr="00E9629E">
        <w:rPr>
          <w:rFonts w:cs="Times New Roman"/>
          <w:sz w:val="24"/>
          <w:szCs w:val="24"/>
        </w:rPr>
        <w:t>Abbreviations: BD, bipolar disorder; HC, healthy controls; M, male; F, female; MADRS, Montgomery–Åsberg Depression Rating Scale; YMRS, Young Mania Rating Scale; GAF, Global Assessment of Functioning; N/A, not applicable</w:t>
      </w:r>
      <w:r>
        <w:rPr>
          <w:rFonts w:cs="Times New Roman"/>
          <w:sz w:val="24"/>
          <w:szCs w:val="24"/>
        </w:rPr>
        <w:t>.</w:t>
      </w:r>
    </w:p>
    <w:p w14:paraId="0C5DA51B" w14:textId="77777777" w:rsidR="00DC7DCE" w:rsidRDefault="00DC7DCE">
      <w:pPr>
        <w:rPr>
          <w:rFonts w:cs="Times New Roman"/>
          <w:b/>
          <w:bCs/>
          <w:sz w:val="24"/>
          <w:szCs w:val="24"/>
        </w:rPr>
      </w:pPr>
      <w:r>
        <w:rPr>
          <w:rFonts w:cs="Times New Roman"/>
          <w:b/>
          <w:bCs/>
          <w:sz w:val="24"/>
          <w:szCs w:val="24"/>
        </w:rPr>
        <w:br w:type="page"/>
      </w:r>
    </w:p>
    <w:p w14:paraId="7F93B573" w14:textId="77777777" w:rsidR="008677DA" w:rsidRPr="000B5F71" w:rsidRDefault="00000000">
      <w:pPr>
        <w:pStyle w:val="Heading1"/>
        <w:spacing w:after="120" w:line="259" w:lineRule="auto"/>
        <w:rPr>
          <w:color w:val="000000" w:themeColor="text1"/>
          <w:sz w:val="40"/>
          <w:szCs w:val="40"/>
        </w:rPr>
      </w:pPr>
      <w:r w:rsidRPr="000B5F71">
        <w:rPr>
          <w:rFonts w:ascii="Times New Roman" w:eastAsia="Times New Roman" w:hAnsi="Times New Roman"/>
          <w:color w:val="000000" w:themeColor="text1"/>
          <w:sz w:val="32"/>
          <w:szCs w:val="40"/>
        </w:rPr>
        <w:lastRenderedPageBreak/>
        <w:t>Figure legends</w:t>
      </w:r>
    </w:p>
    <w:p w14:paraId="60A50944" w14:textId="77777777" w:rsidR="008677DA" w:rsidRPr="000B5F71" w:rsidRDefault="00000000" w:rsidP="00795FA3">
      <w:pPr>
        <w:spacing w:after="0" w:line="360" w:lineRule="auto"/>
        <w:jc w:val="both"/>
        <w:rPr>
          <w:sz w:val="24"/>
          <w:szCs w:val="24"/>
        </w:rPr>
      </w:pPr>
      <w:r w:rsidRPr="000B5F71">
        <w:rPr>
          <w:b/>
          <w:sz w:val="24"/>
          <w:szCs w:val="24"/>
        </w:rPr>
        <w:t xml:space="preserve">Figure 1. </w:t>
      </w:r>
    </w:p>
    <w:p w14:paraId="366165B9" w14:textId="77777777" w:rsidR="00795FA3" w:rsidRDefault="00795FA3" w:rsidP="00795FA3">
      <w:pPr>
        <w:spacing w:after="0" w:line="360" w:lineRule="auto"/>
        <w:rPr>
          <w:b/>
          <w:sz w:val="24"/>
          <w:szCs w:val="24"/>
        </w:rPr>
      </w:pPr>
      <w:r w:rsidRPr="000B5F71">
        <w:rPr>
          <w:b/>
          <w:sz w:val="24"/>
          <w:szCs w:val="24"/>
        </w:rPr>
        <w:t xml:space="preserve">Figure </w:t>
      </w:r>
      <w:r>
        <w:rPr>
          <w:b/>
          <w:sz w:val="24"/>
          <w:szCs w:val="24"/>
        </w:rPr>
        <w:t>2</w:t>
      </w:r>
      <w:r w:rsidRPr="000B5F71">
        <w:rPr>
          <w:b/>
          <w:sz w:val="24"/>
          <w:szCs w:val="24"/>
        </w:rPr>
        <w:t>.</w:t>
      </w:r>
    </w:p>
    <w:p w14:paraId="518832E3" w14:textId="77777777" w:rsidR="00795FA3" w:rsidRDefault="00795FA3" w:rsidP="00795FA3">
      <w:pPr>
        <w:spacing w:after="0" w:line="360" w:lineRule="auto"/>
        <w:rPr>
          <w:b/>
          <w:sz w:val="24"/>
          <w:szCs w:val="24"/>
        </w:rPr>
      </w:pPr>
      <w:r w:rsidRPr="000B5F71">
        <w:rPr>
          <w:b/>
          <w:sz w:val="24"/>
          <w:szCs w:val="24"/>
        </w:rPr>
        <w:t xml:space="preserve">Figure </w:t>
      </w:r>
      <w:r>
        <w:rPr>
          <w:b/>
          <w:sz w:val="24"/>
          <w:szCs w:val="24"/>
        </w:rPr>
        <w:t>3</w:t>
      </w:r>
      <w:r w:rsidRPr="000B5F71">
        <w:rPr>
          <w:b/>
          <w:sz w:val="24"/>
          <w:szCs w:val="24"/>
        </w:rPr>
        <w:t>.</w:t>
      </w:r>
    </w:p>
    <w:p w14:paraId="71150FA5" w14:textId="77777777" w:rsidR="00795FA3" w:rsidRDefault="00795FA3" w:rsidP="00795FA3">
      <w:pPr>
        <w:spacing w:after="0" w:line="360" w:lineRule="auto"/>
        <w:rPr>
          <w:b/>
          <w:sz w:val="24"/>
          <w:szCs w:val="24"/>
        </w:rPr>
      </w:pPr>
      <w:r w:rsidRPr="000B5F71">
        <w:rPr>
          <w:b/>
          <w:sz w:val="24"/>
          <w:szCs w:val="24"/>
        </w:rPr>
        <w:t xml:space="preserve">Figure </w:t>
      </w:r>
      <w:r>
        <w:rPr>
          <w:b/>
          <w:sz w:val="24"/>
          <w:szCs w:val="24"/>
        </w:rPr>
        <w:t>4</w:t>
      </w:r>
      <w:r w:rsidRPr="000B5F71">
        <w:rPr>
          <w:b/>
          <w:sz w:val="24"/>
          <w:szCs w:val="24"/>
        </w:rPr>
        <w:t>.</w:t>
      </w:r>
    </w:p>
    <w:p w14:paraId="50061D55" w14:textId="2A72D60C" w:rsidR="008677DA" w:rsidRDefault="00006EF5" w:rsidP="00795FA3">
      <w:pPr>
        <w:spacing w:after="0" w:line="360" w:lineRule="auto"/>
      </w:pPr>
      <w:r>
        <w:br w:type="page"/>
      </w:r>
    </w:p>
    <w:p w14:paraId="15A03167" w14:textId="77777777" w:rsidR="00FD419A" w:rsidRPr="00FD419A" w:rsidRDefault="00FD419A" w:rsidP="00FD419A">
      <w:pPr>
        <w:pStyle w:val="Heading1"/>
        <w:suppressLineNumbers/>
        <w:spacing w:before="0" w:line="360" w:lineRule="auto"/>
        <w:contextualSpacing/>
        <w:jc w:val="both"/>
        <w:rPr>
          <w:rFonts w:ascii="Times New Roman" w:eastAsia="Times New Roman" w:hAnsi="Times New Roman" w:cs="Times New Roman"/>
          <w:color w:val="000000" w:themeColor="text1"/>
          <w:sz w:val="32"/>
          <w:szCs w:val="32"/>
          <w:lang w:val="fr-FR"/>
        </w:rPr>
      </w:pPr>
      <w:r w:rsidRPr="00FD419A">
        <w:rPr>
          <w:rFonts w:ascii="Times New Roman" w:hAnsi="Times New Roman" w:cs="Times New Roman"/>
          <w:color w:val="000000" w:themeColor="text1"/>
          <w:sz w:val="32"/>
          <w:szCs w:val="32"/>
        </w:rPr>
        <w:lastRenderedPageBreak/>
        <w:t>Acknowledgements</w:t>
      </w:r>
    </w:p>
    <w:p w14:paraId="3D9408FF" w14:textId="77777777" w:rsidR="00FD419A" w:rsidRPr="00FD419A" w:rsidRDefault="00FD419A" w:rsidP="00FD419A">
      <w:pPr>
        <w:suppressLineNumbers/>
        <w:spacing w:after="0" w:line="360" w:lineRule="auto"/>
        <w:contextualSpacing/>
        <w:jc w:val="both"/>
        <w:rPr>
          <w:rFonts w:cs="Times New Roman"/>
          <w:color w:val="000000" w:themeColor="text1"/>
          <w:sz w:val="24"/>
          <w:szCs w:val="24"/>
        </w:rPr>
      </w:pPr>
      <w:r w:rsidRPr="00FD419A">
        <w:rPr>
          <w:rFonts w:cs="Times New Roman"/>
          <w:color w:val="000000" w:themeColor="text1"/>
          <w:sz w:val="24"/>
          <w:szCs w:val="24"/>
        </w:rPr>
        <w:t xml:space="preserve">We thank all participants for their time and the clinical teams involved in recruitment and data collection. This work was supported by the Ministry of Science and Technology (MOST) research program “Maimonides-Israël” (Grant #103366) and by the Ministère de </w:t>
      </w:r>
      <w:proofErr w:type="spellStart"/>
      <w:r w:rsidRPr="00FD419A">
        <w:rPr>
          <w:rFonts w:cs="Times New Roman"/>
          <w:color w:val="000000" w:themeColor="text1"/>
          <w:sz w:val="24"/>
          <w:szCs w:val="24"/>
        </w:rPr>
        <w:t>l’Europe</w:t>
      </w:r>
      <w:proofErr w:type="spellEnd"/>
      <w:r w:rsidRPr="00FD419A">
        <w:rPr>
          <w:rFonts w:cs="Times New Roman"/>
          <w:color w:val="000000" w:themeColor="text1"/>
          <w:sz w:val="24"/>
          <w:szCs w:val="24"/>
        </w:rPr>
        <w:t xml:space="preserve"> et des Affaires étrangers (MEAE) and the Ministère de l’Enseignement Supérieur et de la Recherche (MESR) programme MAIMONIDE (France).</w:t>
      </w:r>
    </w:p>
    <w:p w14:paraId="7329EA89" w14:textId="77777777" w:rsidR="00FD419A" w:rsidRPr="00FD419A" w:rsidRDefault="00FD419A" w:rsidP="00FD419A">
      <w:pPr>
        <w:pStyle w:val="Heading1"/>
        <w:suppressLineNumbers/>
        <w:spacing w:line="360" w:lineRule="auto"/>
        <w:rPr>
          <w:rFonts w:ascii="Times New Roman" w:hAnsi="Times New Roman" w:cs="Times New Roman"/>
          <w:color w:val="000000" w:themeColor="text1"/>
          <w:sz w:val="32"/>
          <w:szCs w:val="32"/>
        </w:rPr>
      </w:pPr>
      <w:r w:rsidRPr="00FD419A">
        <w:rPr>
          <w:rFonts w:ascii="Times New Roman" w:eastAsia="Times New Roman" w:hAnsi="Times New Roman" w:cs="Times New Roman"/>
          <w:color w:val="000000" w:themeColor="text1"/>
          <w:sz w:val="32"/>
          <w:szCs w:val="32"/>
        </w:rPr>
        <w:t xml:space="preserve">Declaration of </w:t>
      </w:r>
      <w:r w:rsidR="00883EE2" w:rsidRPr="00FD419A">
        <w:rPr>
          <w:rFonts w:ascii="Times New Roman" w:eastAsia="Times New Roman" w:hAnsi="Times New Roman" w:cs="Times New Roman"/>
          <w:color w:val="000000" w:themeColor="text1"/>
          <w:sz w:val="32"/>
          <w:szCs w:val="32"/>
        </w:rPr>
        <w:t>Competing Interest</w:t>
      </w:r>
    </w:p>
    <w:p w14:paraId="2A178A0C" w14:textId="77777777" w:rsidR="00FD419A" w:rsidRPr="00FD419A" w:rsidRDefault="00FD419A" w:rsidP="00FD419A">
      <w:pPr>
        <w:suppressLineNumbers/>
        <w:spacing w:after="0" w:line="360" w:lineRule="auto"/>
        <w:contextualSpacing/>
        <w:jc w:val="both"/>
        <w:rPr>
          <w:rFonts w:cs="Times New Roman"/>
          <w:color w:val="000000" w:themeColor="text1"/>
          <w:sz w:val="24"/>
          <w:szCs w:val="24"/>
          <w:lang w:val="fr-FR"/>
        </w:rPr>
      </w:pPr>
      <w:r w:rsidRPr="00FD419A">
        <w:rPr>
          <w:rFonts w:cs="Times New Roman"/>
          <w:color w:val="000000" w:themeColor="text1"/>
          <w:sz w:val="24"/>
          <w:szCs w:val="24"/>
        </w:rPr>
        <w:t>The authors declare no competing interests.</w:t>
      </w:r>
    </w:p>
    <w:p w14:paraId="6417C6FF" w14:textId="77777777" w:rsidR="00FD419A" w:rsidRPr="00FD419A" w:rsidRDefault="00FD419A" w:rsidP="00FD419A">
      <w:pPr>
        <w:pStyle w:val="Heading1"/>
        <w:suppressLineNumbers/>
        <w:spacing w:line="360" w:lineRule="auto"/>
        <w:rPr>
          <w:rFonts w:ascii="Times New Roman" w:hAnsi="Times New Roman" w:cs="Times New Roman"/>
          <w:color w:val="000000" w:themeColor="text1"/>
          <w:sz w:val="32"/>
          <w:szCs w:val="32"/>
        </w:rPr>
      </w:pPr>
      <w:r w:rsidRPr="00FD419A">
        <w:rPr>
          <w:rFonts w:ascii="Times New Roman" w:eastAsia="Times New Roman" w:hAnsi="Times New Roman" w:cs="Times New Roman"/>
          <w:color w:val="000000" w:themeColor="text1"/>
          <w:sz w:val="32"/>
          <w:szCs w:val="32"/>
        </w:rPr>
        <w:t xml:space="preserve">Data and </w:t>
      </w:r>
      <w:r w:rsidR="00883EE2">
        <w:rPr>
          <w:rFonts w:ascii="Times New Roman" w:eastAsia="Times New Roman" w:hAnsi="Times New Roman" w:cs="Times New Roman"/>
          <w:color w:val="000000" w:themeColor="text1"/>
          <w:sz w:val="32"/>
          <w:szCs w:val="32"/>
        </w:rPr>
        <w:t>C</w:t>
      </w:r>
      <w:r w:rsidRPr="00FD419A">
        <w:rPr>
          <w:rFonts w:ascii="Times New Roman" w:eastAsia="Times New Roman" w:hAnsi="Times New Roman" w:cs="Times New Roman"/>
          <w:color w:val="000000" w:themeColor="text1"/>
          <w:sz w:val="32"/>
          <w:szCs w:val="32"/>
        </w:rPr>
        <w:t xml:space="preserve">ode </w:t>
      </w:r>
      <w:r w:rsidR="00883EE2">
        <w:rPr>
          <w:rFonts w:ascii="Times New Roman" w:eastAsia="Times New Roman" w:hAnsi="Times New Roman" w:cs="Times New Roman"/>
          <w:color w:val="000000" w:themeColor="text1"/>
          <w:sz w:val="32"/>
          <w:szCs w:val="32"/>
        </w:rPr>
        <w:t>A</w:t>
      </w:r>
      <w:r w:rsidRPr="00FD419A">
        <w:rPr>
          <w:rFonts w:ascii="Times New Roman" w:eastAsia="Times New Roman" w:hAnsi="Times New Roman" w:cs="Times New Roman"/>
          <w:color w:val="000000" w:themeColor="text1"/>
          <w:sz w:val="32"/>
          <w:szCs w:val="32"/>
        </w:rPr>
        <w:t>vailability</w:t>
      </w:r>
    </w:p>
    <w:p w14:paraId="7F3A2044" w14:textId="77777777" w:rsidR="00FD419A" w:rsidRPr="00FD419A" w:rsidRDefault="00FD419A" w:rsidP="00FD419A">
      <w:pPr>
        <w:suppressLineNumbers/>
        <w:spacing w:after="0" w:line="360" w:lineRule="auto"/>
        <w:contextualSpacing/>
        <w:jc w:val="both"/>
        <w:rPr>
          <w:rFonts w:cs="Times New Roman"/>
          <w:color w:val="000000" w:themeColor="text1"/>
          <w:sz w:val="24"/>
          <w:szCs w:val="24"/>
        </w:rPr>
      </w:pPr>
      <w:r w:rsidRPr="00FD419A">
        <w:rPr>
          <w:rFonts w:cs="Times New Roman"/>
          <w:color w:val="000000" w:themeColor="text1"/>
          <w:sz w:val="24"/>
          <w:szCs w:val="24"/>
        </w:rPr>
        <w:t xml:space="preserve">De-identified participant-level data (continuous EEG, event markers, and derived metrics), together with analysis-ready design matrices for the models, are available on </w:t>
      </w:r>
      <w:proofErr w:type="spellStart"/>
      <w:r w:rsidRPr="00FD419A">
        <w:rPr>
          <w:rFonts w:cs="Times New Roman"/>
          <w:color w:val="000000" w:themeColor="text1"/>
          <w:sz w:val="24"/>
          <w:szCs w:val="24"/>
        </w:rPr>
        <w:t>Zenodo</w:t>
      </w:r>
      <w:proofErr w:type="spellEnd"/>
      <w:r w:rsidRPr="00FD419A">
        <w:rPr>
          <w:rFonts w:cs="Times New Roman"/>
          <w:color w:val="000000" w:themeColor="text1"/>
          <w:sz w:val="24"/>
          <w:szCs w:val="24"/>
        </w:rPr>
        <w:t xml:space="preserve"> (DOI: </w:t>
      </w:r>
      <w:r w:rsidRPr="00FD419A">
        <w:rPr>
          <w:rFonts w:cs="Times New Roman"/>
          <w:color w:val="000000" w:themeColor="text1"/>
          <w:sz w:val="24"/>
          <w:szCs w:val="24"/>
          <w:highlight w:val="yellow"/>
        </w:rPr>
        <w:t>???</w:t>
      </w:r>
      <w:r w:rsidRPr="00FD419A">
        <w:rPr>
          <w:rFonts w:cs="Times New Roman"/>
          <w:color w:val="000000" w:themeColor="text1"/>
          <w:sz w:val="24"/>
          <w:szCs w:val="24"/>
        </w:rPr>
        <w:t xml:space="preserve">) </w:t>
      </w:r>
      <w:r w:rsidRPr="00FD419A">
        <w:rPr>
          <w:rFonts w:cs="Times New Roman"/>
          <w:color w:val="000000" w:themeColor="text1"/>
          <w:sz w:val="24"/>
          <w:szCs w:val="24"/>
          <w:highlight w:val="yellow"/>
        </w:rPr>
        <w:t>[???].</w:t>
      </w:r>
      <w:r w:rsidRPr="00FD419A">
        <w:rPr>
          <w:rFonts w:cs="Times New Roman"/>
          <w:color w:val="000000" w:themeColor="text1"/>
          <w:sz w:val="24"/>
          <w:szCs w:val="24"/>
        </w:rPr>
        <w:t xml:space="preserve"> A synchronized code/data mirror is maintained at GitHub (???). Any additional supporting data are supplied in the Supplementary Information.</w:t>
      </w:r>
      <w:r w:rsidRPr="00FD419A">
        <w:rPr>
          <w:noProof/>
          <w:color w:val="000000" w:themeColor="text1"/>
        </w:rPr>
        <w:t xml:space="preserve"> </w:t>
      </w:r>
    </w:p>
    <w:p w14:paraId="73F4C5AA" w14:textId="77777777" w:rsidR="00FD419A" w:rsidRPr="00FD419A" w:rsidRDefault="00FD419A" w:rsidP="00FD419A">
      <w:pPr>
        <w:pStyle w:val="Heading1"/>
        <w:suppressLineNumbers/>
        <w:spacing w:line="360" w:lineRule="auto"/>
        <w:rPr>
          <w:rFonts w:ascii="Times New Roman" w:hAnsi="Times New Roman" w:cs="Times New Roman"/>
          <w:color w:val="000000" w:themeColor="text1"/>
          <w:sz w:val="32"/>
          <w:szCs w:val="32"/>
        </w:rPr>
      </w:pPr>
      <w:r w:rsidRPr="00FD419A">
        <w:rPr>
          <w:rFonts w:ascii="Times New Roman" w:eastAsia="Times New Roman" w:hAnsi="Times New Roman" w:cs="Times New Roman"/>
          <w:color w:val="000000" w:themeColor="text1"/>
          <w:sz w:val="32"/>
          <w:szCs w:val="32"/>
        </w:rPr>
        <w:t>Ethics statement</w:t>
      </w:r>
    </w:p>
    <w:p w14:paraId="104FF96E" w14:textId="77777777" w:rsidR="00FD419A" w:rsidRPr="00FD419A" w:rsidRDefault="00FD419A" w:rsidP="00FD419A">
      <w:pPr>
        <w:suppressLineNumbers/>
        <w:spacing w:after="0" w:line="360" w:lineRule="auto"/>
        <w:contextualSpacing/>
        <w:jc w:val="both"/>
        <w:rPr>
          <w:rFonts w:cs="Times New Roman"/>
          <w:color w:val="000000" w:themeColor="text1"/>
          <w:sz w:val="24"/>
          <w:szCs w:val="24"/>
        </w:rPr>
      </w:pPr>
      <w:r w:rsidRPr="00FD419A">
        <w:rPr>
          <w:rFonts w:cs="Times New Roman"/>
          <w:color w:val="000000" w:themeColor="text1"/>
          <w:sz w:val="24"/>
          <w:szCs w:val="24"/>
        </w:rPr>
        <w:t>All procedures were approved by the local ethics committee (Comité de Protection des Personnes, CPP Sud-Est II; 2021-A00290-41) and adhered to the Declaration of Helsinki.</w:t>
      </w:r>
    </w:p>
    <w:p w14:paraId="6720AF60" w14:textId="77777777" w:rsidR="00FD419A" w:rsidRPr="00FD419A" w:rsidRDefault="00FD419A" w:rsidP="00FD419A">
      <w:pPr>
        <w:pStyle w:val="Heading1"/>
        <w:suppressLineNumbers/>
        <w:spacing w:line="360" w:lineRule="auto"/>
        <w:rPr>
          <w:rFonts w:ascii="Times New Roman" w:hAnsi="Times New Roman" w:cs="Times New Roman"/>
          <w:color w:val="000000" w:themeColor="text1"/>
          <w:sz w:val="32"/>
          <w:szCs w:val="32"/>
        </w:rPr>
      </w:pPr>
      <w:r w:rsidRPr="00FD419A">
        <w:rPr>
          <w:rFonts w:ascii="Times New Roman" w:eastAsia="Times New Roman" w:hAnsi="Times New Roman" w:cs="Times New Roman"/>
          <w:color w:val="000000" w:themeColor="text1"/>
          <w:sz w:val="32"/>
          <w:szCs w:val="32"/>
        </w:rPr>
        <w:t xml:space="preserve">CRediT </w:t>
      </w:r>
      <w:r w:rsidR="00883EE2">
        <w:rPr>
          <w:rFonts w:ascii="Times New Roman" w:eastAsia="Times New Roman" w:hAnsi="Times New Roman" w:cs="Times New Roman"/>
          <w:color w:val="000000" w:themeColor="text1"/>
          <w:sz w:val="32"/>
          <w:szCs w:val="32"/>
        </w:rPr>
        <w:t>A</w:t>
      </w:r>
      <w:r w:rsidRPr="00FD419A">
        <w:rPr>
          <w:rFonts w:ascii="Times New Roman" w:eastAsia="Times New Roman" w:hAnsi="Times New Roman" w:cs="Times New Roman"/>
          <w:color w:val="000000" w:themeColor="text1"/>
          <w:sz w:val="32"/>
          <w:szCs w:val="32"/>
        </w:rPr>
        <w:t xml:space="preserve">uthorship </w:t>
      </w:r>
      <w:r w:rsidR="00883EE2">
        <w:rPr>
          <w:rFonts w:ascii="Times New Roman" w:eastAsia="Times New Roman" w:hAnsi="Times New Roman" w:cs="Times New Roman"/>
          <w:color w:val="000000" w:themeColor="text1"/>
          <w:sz w:val="32"/>
          <w:szCs w:val="32"/>
        </w:rPr>
        <w:t>C</w:t>
      </w:r>
      <w:r w:rsidRPr="00FD419A">
        <w:rPr>
          <w:rFonts w:ascii="Times New Roman" w:eastAsia="Times New Roman" w:hAnsi="Times New Roman" w:cs="Times New Roman"/>
          <w:color w:val="000000" w:themeColor="text1"/>
          <w:sz w:val="32"/>
          <w:szCs w:val="32"/>
        </w:rPr>
        <w:t xml:space="preserve">ontribution </w:t>
      </w:r>
      <w:r w:rsidR="00883EE2">
        <w:rPr>
          <w:rFonts w:ascii="Times New Roman" w:eastAsia="Times New Roman" w:hAnsi="Times New Roman" w:cs="Times New Roman"/>
          <w:color w:val="000000" w:themeColor="text1"/>
          <w:sz w:val="32"/>
          <w:szCs w:val="32"/>
        </w:rPr>
        <w:t>S</w:t>
      </w:r>
      <w:r w:rsidRPr="00FD419A">
        <w:rPr>
          <w:rFonts w:ascii="Times New Roman" w:eastAsia="Times New Roman" w:hAnsi="Times New Roman" w:cs="Times New Roman"/>
          <w:color w:val="000000" w:themeColor="text1"/>
          <w:sz w:val="32"/>
          <w:szCs w:val="32"/>
        </w:rPr>
        <w:t>tatement</w:t>
      </w:r>
    </w:p>
    <w:p w14:paraId="6BF4DB7A" w14:textId="77777777" w:rsidR="00FD419A" w:rsidRPr="00FD419A" w:rsidRDefault="00FD419A" w:rsidP="00FD419A">
      <w:pPr>
        <w:suppressLineNumbers/>
        <w:spacing w:after="0" w:line="360" w:lineRule="auto"/>
        <w:contextualSpacing/>
        <w:jc w:val="both"/>
        <w:rPr>
          <w:rFonts w:cs="Times New Roman"/>
          <w:b/>
          <w:bCs/>
          <w:color w:val="000000" w:themeColor="text1"/>
          <w:sz w:val="24"/>
          <w:szCs w:val="24"/>
        </w:rPr>
      </w:pPr>
      <w:r w:rsidRPr="00FD419A">
        <w:rPr>
          <w:rFonts w:cs="Times New Roman"/>
          <w:b/>
          <w:bCs/>
          <w:color w:val="000000" w:themeColor="text1"/>
          <w:sz w:val="24"/>
          <w:szCs w:val="24"/>
        </w:rPr>
        <w:t>Ronen Sosnik:</w:t>
      </w:r>
      <w:r w:rsidRPr="00FD419A">
        <w:rPr>
          <w:rFonts w:cs="Times New Roman"/>
          <w:color w:val="000000" w:themeColor="text1"/>
          <w:sz w:val="24"/>
          <w:szCs w:val="24"/>
        </w:rPr>
        <w:t xml:space="preserve"> Writing – original draft, Conceptualization, Methodology, Formal analysis, Visualization, Funding acquisition, Supervision. </w:t>
      </w:r>
      <w:r w:rsidRPr="00FD419A">
        <w:rPr>
          <w:rFonts w:cs="Times New Roman"/>
          <w:b/>
          <w:bCs/>
          <w:color w:val="000000" w:themeColor="text1"/>
          <w:sz w:val="24"/>
          <w:szCs w:val="24"/>
        </w:rPr>
        <w:t>Arnaud Pouchon:</w:t>
      </w:r>
      <w:r w:rsidRPr="00FD419A">
        <w:rPr>
          <w:rFonts w:cs="Times New Roman"/>
          <w:color w:val="000000" w:themeColor="text1"/>
          <w:sz w:val="24"/>
          <w:szCs w:val="24"/>
        </w:rPr>
        <w:t xml:space="preserve"> Writing –</w:t>
      </w:r>
      <w:r w:rsidRPr="00FD419A">
        <w:rPr>
          <w:color w:val="000000" w:themeColor="text1"/>
        </w:rPr>
        <w:t xml:space="preserve"> </w:t>
      </w:r>
      <w:r w:rsidRPr="00FD419A">
        <w:rPr>
          <w:rFonts w:cs="Times New Roman"/>
          <w:color w:val="000000" w:themeColor="text1"/>
          <w:sz w:val="24"/>
          <w:szCs w:val="24"/>
        </w:rPr>
        <w:t xml:space="preserve">review and editing. </w:t>
      </w:r>
      <w:r w:rsidRPr="00FD419A">
        <w:rPr>
          <w:rFonts w:cs="Times New Roman"/>
          <w:b/>
          <w:bCs/>
          <w:color w:val="000000" w:themeColor="text1"/>
          <w:sz w:val="24"/>
          <w:szCs w:val="24"/>
        </w:rPr>
        <w:t xml:space="preserve">Antoine Bertrand: </w:t>
      </w:r>
      <w:r w:rsidRPr="00FD419A">
        <w:rPr>
          <w:rFonts w:cs="Times New Roman"/>
          <w:color w:val="000000" w:themeColor="text1"/>
          <w:sz w:val="24"/>
          <w:szCs w:val="24"/>
        </w:rPr>
        <w:t xml:space="preserve">Methodology, Data curation. </w:t>
      </w:r>
      <w:r w:rsidRPr="00FD419A">
        <w:rPr>
          <w:rFonts w:cs="Times New Roman"/>
          <w:b/>
          <w:bCs/>
          <w:color w:val="000000" w:themeColor="text1"/>
          <w:sz w:val="24"/>
          <w:szCs w:val="24"/>
        </w:rPr>
        <w:t xml:space="preserve">Muli Linder: </w:t>
      </w:r>
      <w:r w:rsidRPr="00FD419A">
        <w:rPr>
          <w:rFonts w:cs="Times New Roman"/>
          <w:color w:val="000000" w:themeColor="text1"/>
          <w:sz w:val="24"/>
          <w:szCs w:val="24"/>
        </w:rPr>
        <w:t>Writing –</w:t>
      </w:r>
      <w:r w:rsidRPr="00FD419A">
        <w:rPr>
          <w:color w:val="000000" w:themeColor="text1"/>
        </w:rPr>
        <w:t xml:space="preserve"> </w:t>
      </w:r>
      <w:r w:rsidRPr="00FD419A">
        <w:rPr>
          <w:rFonts w:cs="Times New Roman"/>
          <w:color w:val="000000" w:themeColor="text1"/>
          <w:sz w:val="24"/>
          <w:szCs w:val="24"/>
        </w:rPr>
        <w:t xml:space="preserve">review and editing, Methodology. </w:t>
      </w:r>
      <w:r w:rsidRPr="00FD419A">
        <w:rPr>
          <w:rFonts w:cs="Times New Roman"/>
          <w:b/>
          <w:bCs/>
          <w:color w:val="000000" w:themeColor="text1"/>
          <w:sz w:val="24"/>
          <w:szCs w:val="24"/>
        </w:rPr>
        <w:t>Mircea Polosan:</w:t>
      </w:r>
      <w:r w:rsidRPr="00FD419A">
        <w:rPr>
          <w:rFonts w:cs="Times New Roman"/>
          <w:color w:val="000000" w:themeColor="text1"/>
          <w:sz w:val="24"/>
          <w:szCs w:val="24"/>
        </w:rPr>
        <w:t xml:space="preserve"> Writing –</w:t>
      </w:r>
      <w:r w:rsidRPr="00FD419A">
        <w:rPr>
          <w:color w:val="000000" w:themeColor="text1"/>
        </w:rPr>
        <w:t xml:space="preserve"> </w:t>
      </w:r>
      <w:r w:rsidRPr="00FD419A">
        <w:rPr>
          <w:rFonts w:cs="Times New Roman"/>
          <w:color w:val="000000" w:themeColor="text1"/>
          <w:sz w:val="24"/>
          <w:szCs w:val="24"/>
        </w:rPr>
        <w:t>review and editing, Methodology, Supervision, Conceptualization, Funding acquisition.</w:t>
      </w:r>
    </w:p>
    <w:p w14:paraId="2B94BCDA" w14:textId="77777777" w:rsidR="008677DA" w:rsidRDefault="008677DA">
      <w:pPr>
        <w:spacing w:after="120" w:line="259" w:lineRule="auto"/>
      </w:pPr>
    </w:p>
    <w:sectPr w:rsidR="008677DA" w:rsidSect="00034616">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A6B85" w14:textId="77777777" w:rsidR="00AD08EE" w:rsidRDefault="00AD08EE" w:rsidP="00006EF5">
      <w:pPr>
        <w:spacing w:after="0" w:line="240" w:lineRule="auto"/>
      </w:pPr>
      <w:r>
        <w:separator/>
      </w:r>
    </w:p>
  </w:endnote>
  <w:endnote w:type="continuationSeparator" w:id="0">
    <w:p w14:paraId="49962C84" w14:textId="77777777" w:rsidR="00AD08EE" w:rsidRDefault="00AD08EE" w:rsidP="00006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47FC7" w14:textId="77777777" w:rsidR="00AD08EE" w:rsidRDefault="00AD08EE" w:rsidP="00006EF5">
      <w:pPr>
        <w:spacing w:after="0" w:line="240" w:lineRule="auto"/>
      </w:pPr>
      <w:r>
        <w:separator/>
      </w:r>
    </w:p>
  </w:footnote>
  <w:footnote w:type="continuationSeparator" w:id="0">
    <w:p w14:paraId="69D17A4E" w14:textId="77777777" w:rsidR="00AD08EE" w:rsidRDefault="00AD08EE" w:rsidP="00006E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D22AB8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F161E5"/>
    <w:multiLevelType w:val="hybridMultilevel"/>
    <w:tmpl w:val="0BAC07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54878262">
    <w:abstractNumId w:val="8"/>
  </w:num>
  <w:num w:numId="2" w16cid:durableId="383217703">
    <w:abstractNumId w:val="6"/>
  </w:num>
  <w:num w:numId="3" w16cid:durableId="1122382183">
    <w:abstractNumId w:val="5"/>
  </w:num>
  <w:num w:numId="4" w16cid:durableId="226232939">
    <w:abstractNumId w:val="4"/>
  </w:num>
  <w:num w:numId="5" w16cid:durableId="1530101562">
    <w:abstractNumId w:val="7"/>
  </w:num>
  <w:num w:numId="6" w16cid:durableId="581373694">
    <w:abstractNumId w:val="3"/>
  </w:num>
  <w:num w:numId="7" w16cid:durableId="378431596">
    <w:abstractNumId w:val="2"/>
  </w:num>
  <w:num w:numId="8" w16cid:durableId="1354767217">
    <w:abstractNumId w:val="1"/>
  </w:num>
  <w:num w:numId="9" w16cid:durableId="1677685644">
    <w:abstractNumId w:val="0"/>
  </w:num>
  <w:num w:numId="10" w16cid:durableId="6418839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A3"/>
    <w:rsid w:val="00005E09"/>
    <w:rsid w:val="00006EF5"/>
    <w:rsid w:val="00014F2A"/>
    <w:rsid w:val="000224EC"/>
    <w:rsid w:val="00026DED"/>
    <w:rsid w:val="00034616"/>
    <w:rsid w:val="00042C6A"/>
    <w:rsid w:val="000566BC"/>
    <w:rsid w:val="0006063C"/>
    <w:rsid w:val="000A66F2"/>
    <w:rsid w:val="000B36B7"/>
    <w:rsid w:val="000B5F71"/>
    <w:rsid w:val="000E10BB"/>
    <w:rsid w:val="000E6180"/>
    <w:rsid w:val="001004D1"/>
    <w:rsid w:val="00105DD5"/>
    <w:rsid w:val="00111AAF"/>
    <w:rsid w:val="00116CC2"/>
    <w:rsid w:val="0013027B"/>
    <w:rsid w:val="001373B9"/>
    <w:rsid w:val="0015074B"/>
    <w:rsid w:val="00164029"/>
    <w:rsid w:val="00191C83"/>
    <w:rsid w:val="0019723C"/>
    <w:rsid w:val="001A5221"/>
    <w:rsid w:val="001A60E5"/>
    <w:rsid w:val="001C166F"/>
    <w:rsid w:val="001C4375"/>
    <w:rsid w:val="001D6ADF"/>
    <w:rsid w:val="001E32EC"/>
    <w:rsid w:val="001E738D"/>
    <w:rsid w:val="001F7B3C"/>
    <w:rsid w:val="0021776F"/>
    <w:rsid w:val="00223478"/>
    <w:rsid w:val="0022423C"/>
    <w:rsid w:val="00225746"/>
    <w:rsid w:val="00236B0E"/>
    <w:rsid w:val="00244759"/>
    <w:rsid w:val="00244B1A"/>
    <w:rsid w:val="00254D98"/>
    <w:rsid w:val="00256424"/>
    <w:rsid w:val="00275867"/>
    <w:rsid w:val="0029639D"/>
    <w:rsid w:val="002A7BF2"/>
    <w:rsid w:val="002D74F6"/>
    <w:rsid w:val="002E47FB"/>
    <w:rsid w:val="00311A8B"/>
    <w:rsid w:val="0031479B"/>
    <w:rsid w:val="00316340"/>
    <w:rsid w:val="00326F90"/>
    <w:rsid w:val="003557F7"/>
    <w:rsid w:val="00356A1A"/>
    <w:rsid w:val="00360193"/>
    <w:rsid w:val="0036181D"/>
    <w:rsid w:val="003626FD"/>
    <w:rsid w:val="003736A2"/>
    <w:rsid w:val="003B2DB6"/>
    <w:rsid w:val="003D05C1"/>
    <w:rsid w:val="003D7944"/>
    <w:rsid w:val="003F419F"/>
    <w:rsid w:val="003F5225"/>
    <w:rsid w:val="0040084B"/>
    <w:rsid w:val="00421CFF"/>
    <w:rsid w:val="00426527"/>
    <w:rsid w:val="0042719E"/>
    <w:rsid w:val="00451026"/>
    <w:rsid w:val="00452408"/>
    <w:rsid w:val="004546F3"/>
    <w:rsid w:val="004B14A6"/>
    <w:rsid w:val="004B20F9"/>
    <w:rsid w:val="004C4C78"/>
    <w:rsid w:val="004C4E4C"/>
    <w:rsid w:val="005004F5"/>
    <w:rsid w:val="005009CB"/>
    <w:rsid w:val="00503F9A"/>
    <w:rsid w:val="00510C31"/>
    <w:rsid w:val="00526818"/>
    <w:rsid w:val="005269F5"/>
    <w:rsid w:val="00527E2A"/>
    <w:rsid w:val="00544F18"/>
    <w:rsid w:val="005633D8"/>
    <w:rsid w:val="0057633A"/>
    <w:rsid w:val="0058142A"/>
    <w:rsid w:val="005A1853"/>
    <w:rsid w:val="005B06A8"/>
    <w:rsid w:val="005B2693"/>
    <w:rsid w:val="005B3BD9"/>
    <w:rsid w:val="005B584A"/>
    <w:rsid w:val="005F3811"/>
    <w:rsid w:val="00600026"/>
    <w:rsid w:val="006003F2"/>
    <w:rsid w:val="0060362D"/>
    <w:rsid w:val="006122A9"/>
    <w:rsid w:val="00643355"/>
    <w:rsid w:val="00643DAE"/>
    <w:rsid w:val="00647CC4"/>
    <w:rsid w:val="00656FA8"/>
    <w:rsid w:val="006612AB"/>
    <w:rsid w:val="006614BD"/>
    <w:rsid w:val="00663A01"/>
    <w:rsid w:val="00686234"/>
    <w:rsid w:val="006912BD"/>
    <w:rsid w:val="006E3998"/>
    <w:rsid w:val="006E6D4D"/>
    <w:rsid w:val="006E7E21"/>
    <w:rsid w:val="006F7BE4"/>
    <w:rsid w:val="00704692"/>
    <w:rsid w:val="00711934"/>
    <w:rsid w:val="007174C8"/>
    <w:rsid w:val="0072762D"/>
    <w:rsid w:val="0073511A"/>
    <w:rsid w:val="0074302B"/>
    <w:rsid w:val="007746CD"/>
    <w:rsid w:val="00795FA3"/>
    <w:rsid w:val="007A5AF6"/>
    <w:rsid w:val="007B49AA"/>
    <w:rsid w:val="007B7918"/>
    <w:rsid w:val="007C13F1"/>
    <w:rsid w:val="007D7F1E"/>
    <w:rsid w:val="007E25D5"/>
    <w:rsid w:val="00803E39"/>
    <w:rsid w:val="008144E2"/>
    <w:rsid w:val="00827012"/>
    <w:rsid w:val="00832F87"/>
    <w:rsid w:val="008677DA"/>
    <w:rsid w:val="00883EE2"/>
    <w:rsid w:val="0088539C"/>
    <w:rsid w:val="00887BF9"/>
    <w:rsid w:val="008943D5"/>
    <w:rsid w:val="008C67B0"/>
    <w:rsid w:val="008D4146"/>
    <w:rsid w:val="00910B20"/>
    <w:rsid w:val="00912AA7"/>
    <w:rsid w:val="00934852"/>
    <w:rsid w:val="009350FC"/>
    <w:rsid w:val="0096584D"/>
    <w:rsid w:val="009758BC"/>
    <w:rsid w:val="00985459"/>
    <w:rsid w:val="00990131"/>
    <w:rsid w:val="009A161A"/>
    <w:rsid w:val="009A1F9F"/>
    <w:rsid w:val="009E2498"/>
    <w:rsid w:val="009F1031"/>
    <w:rsid w:val="00A00F96"/>
    <w:rsid w:val="00A059E0"/>
    <w:rsid w:val="00A06A99"/>
    <w:rsid w:val="00A11B06"/>
    <w:rsid w:val="00A14B00"/>
    <w:rsid w:val="00A24882"/>
    <w:rsid w:val="00A300D0"/>
    <w:rsid w:val="00A372E2"/>
    <w:rsid w:val="00A559A3"/>
    <w:rsid w:val="00A610C4"/>
    <w:rsid w:val="00AA1D8D"/>
    <w:rsid w:val="00AA4395"/>
    <w:rsid w:val="00AC43DE"/>
    <w:rsid w:val="00AD08EE"/>
    <w:rsid w:val="00AD7BA1"/>
    <w:rsid w:val="00B33419"/>
    <w:rsid w:val="00B47730"/>
    <w:rsid w:val="00B50A32"/>
    <w:rsid w:val="00B65930"/>
    <w:rsid w:val="00B778E4"/>
    <w:rsid w:val="00BB3745"/>
    <w:rsid w:val="00BB7DB3"/>
    <w:rsid w:val="00BD7B81"/>
    <w:rsid w:val="00BF2DA0"/>
    <w:rsid w:val="00C03C68"/>
    <w:rsid w:val="00C057B4"/>
    <w:rsid w:val="00C070A2"/>
    <w:rsid w:val="00C13BFD"/>
    <w:rsid w:val="00C2122F"/>
    <w:rsid w:val="00C36A0C"/>
    <w:rsid w:val="00C41966"/>
    <w:rsid w:val="00C51B4F"/>
    <w:rsid w:val="00C62232"/>
    <w:rsid w:val="00C648B0"/>
    <w:rsid w:val="00C716BF"/>
    <w:rsid w:val="00CB0664"/>
    <w:rsid w:val="00CB1911"/>
    <w:rsid w:val="00CB753A"/>
    <w:rsid w:val="00CD7FE0"/>
    <w:rsid w:val="00CE160F"/>
    <w:rsid w:val="00CF7609"/>
    <w:rsid w:val="00D23C0E"/>
    <w:rsid w:val="00D24682"/>
    <w:rsid w:val="00D25CE4"/>
    <w:rsid w:val="00D43DB9"/>
    <w:rsid w:val="00D531D7"/>
    <w:rsid w:val="00D63072"/>
    <w:rsid w:val="00D675DF"/>
    <w:rsid w:val="00DC7DCE"/>
    <w:rsid w:val="00DE2BF9"/>
    <w:rsid w:val="00E057F2"/>
    <w:rsid w:val="00E10BD7"/>
    <w:rsid w:val="00E3278A"/>
    <w:rsid w:val="00E35F3D"/>
    <w:rsid w:val="00E37BDC"/>
    <w:rsid w:val="00E70C32"/>
    <w:rsid w:val="00E95BD6"/>
    <w:rsid w:val="00E9629E"/>
    <w:rsid w:val="00E96364"/>
    <w:rsid w:val="00EA59C5"/>
    <w:rsid w:val="00EB2402"/>
    <w:rsid w:val="00EE197A"/>
    <w:rsid w:val="00EF5860"/>
    <w:rsid w:val="00F30AF1"/>
    <w:rsid w:val="00F45C69"/>
    <w:rsid w:val="00F45CB1"/>
    <w:rsid w:val="00F85320"/>
    <w:rsid w:val="00FC6512"/>
    <w:rsid w:val="00FC693F"/>
    <w:rsid w:val="00FD02B8"/>
    <w:rsid w:val="00FD419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FF000"/>
  <w14:defaultImageDpi w14:val="300"/>
  <w15:docId w15:val="{AB28DAE4-637A-4EF9-B3D7-63F476C4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130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650">
      <w:bodyDiv w:val="1"/>
      <w:marLeft w:val="0"/>
      <w:marRight w:val="0"/>
      <w:marTop w:val="0"/>
      <w:marBottom w:val="0"/>
      <w:divBdr>
        <w:top w:val="none" w:sz="0" w:space="0" w:color="auto"/>
        <w:left w:val="none" w:sz="0" w:space="0" w:color="auto"/>
        <w:bottom w:val="none" w:sz="0" w:space="0" w:color="auto"/>
        <w:right w:val="none" w:sz="0" w:space="0" w:color="auto"/>
      </w:divBdr>
    </w:div>
    <w:div w:id="2980197">
      <w:bodyDiv w:val="1"/>
      <w:marLeft w:val="0"/>
      <w:marRight w:val="0"/>
      <w:marTop w:val="0"/>
      <w:marBottom w:val="0"/>
      <w:divBdr>
        <w:top w:val="none" w:sz="0" w:space="0" w:color="auto"/>
        <w:left w:val="none" w:sz="0" w:space="0" w:color="auto"/>
        <w:bottom w:val="none" w:sz="0" w:space="0" w:color="auto"/>
        <w:right w:val="none" w:sz="0" w:space="0" w:color="auto"/>
      </w:divBdr>
    </w:div>
    <w:div w:id="9258530">
      <w:bodyDiv w:val="1"/>
      <w:marLeft w:val="0"/>
      <w:marRight w:val="0"/>
      <w:marTop w:val="0"/>
      <w:marBottom w:val="0"/>
      <w:divBdr>
        <w:top w:val="none" w:sz="0" w:space="0" w:color="auto"/>
        <w:left w:val="none" w:sz="0" w:space="0" w:color="auto"/>
        <w:bottom w:val="none" w:sz="0" w:space="0" w:color="auto"/>
        <w:right w:val="none" w:sz="0" w:space="0" w:color="auto"/>
      </w:divBdr>
    </w:div>
    <w:div w:id="15809777">
      <w:bodyDiv w:val="1"/>
      <w:marLeft w:val="0"/>
      <w:marRight w:val="0"/>
      <w:marTop w:val="0"/>
      <w:marBottom w:val="0"/>
      <w:divBdr>
        <w:top w:val="none" w:sz="0" w:space="0" w:color="auto"/>
        <w:left w:val="none" w:sz="0" w:space="0" w:color="auto"/>
        <w:bottom w:val="none" w:sz="0" w:space="0" w:color="auto"/>
        <w:right w:val="none" w:sz="0" w:space="0" w:color="auto"/>
      </w:divBdr>
    </w:div>
    <w:div w:id="22246846">
      <w:bodyDiv w:val="1"/>
      <w:marLeft w:val="0"/>
      <w:marRight w:val="0"/>
      <w:marTop w:val="0"/>
      <w:marBottom w:val="0"/>
      <w:divBdr>
        <w:top w:val="none" w:sz="0" w:space="0" w:color="auto"/>
        <w:left w:val="none" w:sz="0" w:space="0" w:color="auto"/>
        <w:bottom w:val="none" w:sz="0" w:space="0" w:color="auto"/>
        <w:right w:val="none" w:sz="0" w:space="0" w:color="auto"/>
      </w:divBdr>
    </w:div>
    <w:div w:id="55206998">
      <w:bodyDiv w:val="1"/>
      <w:marLeft w:val="0"/>
      <w:marRight w:val="0"/>
      <w:marTop w:val="0"/>
      <w:marBottom w:val="0"/>
      <w:divBdr>
        <w:top w:val="none" w:sz="0" w:space="0" w:color="auto"/>
        <w:left w:val="none" w:sz="0" w:space="0" w:color="auto"/>
        <w:bottom w:val="none" w:sz="0" w:space="0" w:color="auto"/>
        <w:right w:val="none" w:sz="0" w:space="0" w:color="auto"/>
      </w:divBdr>
    </w:div>
    <w:div w:id="57095295">
      <w:bodyDiv w:val="1"/>
      <w:marLeft w:val="0"/>
      <w:marRight w:val="0"/>
      <w:marTop w:val="0"/>
      <w:marBottom w:val="0"/>
      <w:divBdr>
        <w:top w:val="none" w:sz="0" w:space="0" w:color="auto"/>
        <w:left w:val="none" w:sz="0" w:space="0" w:color="auto"/>
        <w:bottom w:val="none" w:sz="0" w:space="0" w:color="auto"/>
        <w:right w:val="none" w:sz="0" w:space="0" w:color="auto"/>
      </w:divBdr>
    </w:div>
    <w:div w:id="99642484">
      <w:bodyDiv w:val="1"/>
      <w:marLeft w:val="0"/>
      <w:marRight w:val="0"/>
      <w:marTop w:val="0"/>
      <w:marBottom w:val="0"/>
      <w:divBdr>
        <w:top w:val="none" w:sz="0" w:space="0" w:color="auto"/>
        <w:left w:val="none" w:sz="0" w:space="0" w:color="auto"/>
        <w:bottom w:val="none" w:sz="0" w:space="0" w:color="auto"/>
        <w:right w:val="none" w:sz="0" w:space="0" w:color="auto"/>
      </w:divBdr>
    </w:div>
    <w:div w:id="99689051">
      <w:bodyDiv w:val="1"/>
      <w:marLeft w:val="0"/>
      <w:marRight w:val="0"/>
      <w:marTop w:val="0"/>
      <w:marBottom w:val="0"/>
      <w:divBdr>
        <w:top w:val="none" w:sz="0" w:space="0" w:color="auto"/>
        <w:left w:val="none" w:sz="0" w:space="0" w:color="auto"/>
        <w:bottom w:val="none" w:sz="0" w:space="0" w:color="auto"/>
        <w:right w:val="none" w:sz="0" w:space="0" w:color="auto"/>
      </w:divBdr>
    </w:div>
    <w:div w:id="101610246">
      <w:bodyDiv w:val="1"/>
      <w:marLeft w:val="0"/>
      <w:marRight w:val="0"/>
      <w:marTop w:val="0"/>
      <w:marBottom w:val="0"/>
      <w:divBdr>
        <w:top w:val="none" w:sz="0" w:space="0" w:color="auto"/>
        <w:left w:val="none" w:sz="0" w:space="0" w:color="auto"/>
        <w:bottom w:val="none" w:sz="0" w:space="0" w:color="auto"/>
        <w:right w:val="none" w:sz="0" w:space="0" w:color="auto"/>
      </w:divBdr>
    </w:div>
    <w:div w:id="104927188">
      <w:bodyDiv w:val="1"/>
      <w:marLeft w:val="0"/>
      <w:marRight w:val="0"/>
      <w:marTop w:val="0"/>
      <w:marBottom w:val="0"/>
      <w:divBdr>
        <w:top w:val="none" w:sz="0" w:space="0" w:color="auto"/>
        <w:left w:val="none" w:sz="0" w:space="0" w:color="auto"/>
        <w:bottom w:val="none" w:sz="0" w:space="0" w:color="auto"/>
        <w:right w:val="none" w:sz="0" w:space="0" w:color="auto"/>
      </w:divBdr>
    </w:div>
    <w:div w:id="108281739">
      <w:bodyDiv w:val="1"/>
      <w:marLeft w:val="0"/>
      <w:marRight w:val="0"/>
      <w:marTop w:val="0"/>
      <w:marBottom w:val="0"/>
      <w:divBdr>
        <w:top w:val="none" w:sz="0" w:space="0" w:color="auto"/>
        <w:left w:val="none" w:sz="0" w:space="0" w:color="auto"/>
        <w:bottom w:val="none" w:sz="0" w:space="0" w:color="auto"/>
        <w:right w:val="none" w:sz="0" w:space="0" w:color="auto"/>
      </w:divBdr>
    </w:div>
    <w:div w:id="111941438">
      <w:bodyDiv w:val="1"/>
      <w:marLeft w:val="0"/>
      <w:marRight w:val="0"/>
      <w:marTop w:val="0"/>
      <w:marBottom w:val="0"/>
      <w:divBdr>
        <w:top w:val="none" w:sz="0" w:space="0" w:color="auto"/>
        <w:left w:val="none" w:sz="0" w:space="0" w:color="auto"/>
        <w:bottom w:val="none" w:sz="0" w:space="0" w:color="auto"/>
        <w:right w:val="none" w:sz="0" w:space="0" w:color="auto"/>
      </w:divBdr>
    </w:div>
    <w:div w:id="120997451">
      <w:bodyDiv w:val="1"/>
      <w:marLeft w:val="0"/>
      <w:marRight w:val="0"/>
      <w:marTop w:val="0"/>
      <w:marBottom w:val="0"/>
      <w:divBdr>
        <w:top w:val="none" w:sz="0" w:space="0" w:color="auto"/>
        <w:left w:val="none" w:sz="0" w:space="0" w:color="auto"/>
        <w:bottom w:val="none" w:sz="0" w:space="0" w:color="auto"/>
        <w:right w:val="none" w:sz="0" w:space="0" w:color="auto"/>
      </w:divBdr>
    </w:div>
    <w:div w:id="150605906">
      <w:bodyDiv w:val="1"/>
      <w:marLeft w:val="0"/>
      <w:marRight w:val="0"/>
      <w:marTop w:val="0"/>
      <w:marBottom w:val="0"/>
      <w:divBdr>
        <w:top w:val="none" w:sz="0" w:space="0" w:color="auto"/>
        <w:left w:val="none" w:sz="0" w:space="0" w:color="auto"/>
        <w:bottom w:val="none" w:sz="0" w:space="0" w:color="auto"/>
        <w:right w:val="none" w:sz="0" w:space="0" w:color="auto"/>
      </w:divBdr>
    </w:div>
    <w:div w:id="156462435">
      <w:bodyDiv w:val="1"/>
      <w:marLeft w:val="0"/>
      <w:marRight w:val="0"/>
      <w:marTop w:val="0"/>
      <w:marBottom w:val="0"/>
      <w:divBdr>
        <w:top w:val="none" w:sz="0" w:space="0" w:color="auto"/>
        <w:left w:val="none" w:sz="0" w:space="0" w:color="auto"/>
        <w:bottom w:val="none" w:sz="0" w:space="0" w:color="auto"/>
        <w:right w:val="none" w:sz="0" w:space="0" w:color="auto"/>
      </w:divBdr>
    </w:div>
    <w:div w:id="184373337">
      <w:bodyDiv w:val="1"/>
      <w:marLeft w:val="0"/>
      <w:marRight w:val="0"/>
      <w:marTop w:val="0"/>
      <w:marBottom w:val="0"/>
      <w:divBdr>
        <w:top w:val="none" w:sz="0" w:space="0" w:color="auto"/>
        <w:left w:val="none" w:sz="0" w:space="0" w:color="auto"/>
        <w:bottom w:val="none" w:sz="0" w:space="0" w:color="auto"/>
        <w:right w:val="none" w:sz="0" w:space="0" w:color="auto"/>
      </w:divBdr>
    </w:div>
    <w:div w:id="190649123">
      <w:bodyDiv w:val="1"/>
      <w:marLeft w:val="0"/>
      <w:marRight w:val="0"/>
      <w:marTop w:val="0"/>
      <w:marBottom w:val="0"/>
      <w:divBdr>
        <w:top w:val="none" w:sz="0" w:space="0" w:color="auto"/>
        <w:left w:val="none" w:sz="0" w:space="0" w:color="auto"/>
        <w:bottom w:val="none" w:sz="0" w:space="0" w:color="auto"/>
        <w:right w:val="none" w:sz="0" w:space="0" w:color="auto"/>
      </w:divBdr>
    </w:div>
    <w:div w:id="212237245">
      <w:bodyDiv w:val="1"/>
      <w:marLeft w:val="0"/>
      <w:marRight w:val="0"/>
      <w:marTop w:val="0"/>
      <w:marBottom w:val="0"/>
      <w:divBdr>
        <w:top w:val="none" w:sz="0" w:space="0" w:color="auto"/>
        <w:left w:val="none" w:sz="0" w:space="0" w:color="auto"/>
        <w:bottom w:val="none" w:sz="0" w:space="0" w:color="auto"/>
        <w:right w:val="none" w:sz="0" w:space="0" w:color="auto"/>
      </w:divBdr>
    </w:div>
    <w:div w:id="234122154">
      <w:bodyDiv w:val="1"/>
      <w:marLeft w:val="0"/>
      <w:marRight w:val="0"/>
      <w:marTop w:val="0"/>
      <w:marBottom w:val="0"/>
      <w:divBdr>
        <w:top w:val="none" w:sz="0" w:space="0" w:color="auto"/>
        <w:left w:val="none" w:sz="0" w:space="0" w:color="auto"/>
        <w:bottom w:val="none" w:sz="0" w:space="0" w:color="auto"/>
        <w:right w:val="none" w:sz="0" w:space="0" w:color="auto"/>
      </w:divBdr>
    </w:div>
    <w:div w:id="239295212">
      <w:bodyDiv w:val="1"/>
      <w:marLeft w:val="0"/>
      <w:marRight w:val="0"/>
      <w:marTop w:val="0"/>
      <w:marBottom w:val="0"/>
      <w:divBdr>
        <w:top w:val="none" w:sz="0" w:space="0" w:color="auto"/>
        <w:left w:val="none" w:sz="0" w:space="0" w:color="auto"/>
        <w:bottom w:val="none" w:sz="0" w:space="0" w:color="auto"/>
        <w:right w:val="none" w:sz="0" w:space="0" w:color="auto"/>
      </w:divBdr>
    </w:div>
    <w:div w:id="240261631">
      <w:bodyDiv w:val="1"/>
      <w:marLeft w:val="0"/>
      <w:marRight w:val="0"/>
      <w:marTop w:val="0"/>
      <w:marBottom w:val="0"/>
      <w:divBdr>
        <w:top w:val="none" w:sz="0" w:space="0" w:color="auto"/>
        <w:left w:val="none" w:sz="0" w:space="0" w:color="auto"/>
        <w:bottom w:val="none" w:sz="0" w:space="0" w:color="auto"/>
        <w:right w:val="none" w:sz="0" w:space="0" w:color="auto"/>
      </w:divBdr>
    </w:div>
    <w:div w:id="240869726">
      <w:bodyDiv w:val="1"/>
      <w:marLeft w:val="0"/>
      <w:marRight w:val="0"/>
      <w:marTop w:val="0"/>
      <w:marBottom w:val="0"/>
      <w:divBdr>
        <w:top w:val="none" w:sz="0" w:space="0" w:color="auto"/>
        <w:left w:val="none" w:sz="0" w:space="0" w:color="auto"/>
        <w:bottom w:val="none" w:sz="0" w:space="0" w:color="auto"/>
        <w:right w:val="none" w:sz="0" w:space="0" w:color="auto"/>
      </w:divBdr>
    </w:div>
    <w:div w:id="269895902">
      <w:bodyDiv w:val="1"/>
      <w:marLeft w:val="0"/>
      <w:marRight w:val="0"/>
      <w:marTop w:val="0"/>
      <w:marBottom w:val="0"/>
      <w:divBdr>
        <w:top w:val="none" w:sz="0" w:space="0" w:color="auto"/>
        <w:left w:val="none" w:sz="0" w:space="0" w:color="auto"/>
        <w:bottom w:val="none" w:sz="0" w:space="0" w:color="auto"/>
        <w:right w:val="none" w:sz="0" w:space="0" w:color="auto"/>
      </w:divBdr>
    </w:div>
    <w:div w:id="277029172">
      <w:bodyDiv w:val="1"/>
      <w:marLeft w:val="0"/>
      <w:marRight w:val="0"/>
      <w:marTop w:val="0"/>
      <w:marBottom w:val="0"/>
      <w:divBdr>
        <w:top w:val="none" w:sz="0" w:space="0" w:color="auto"/>
        <w:left w:val="none" w:sz="0" w:space="0" w:color="auto"/>
        <w:bottom w:val="none" w:sz="0" w:space="0" w:color="auto"/>
        <w:right w:val="none" w:sz="0" w:space="0" w:color="auto"/>
      </w:divBdr>
    </w:div>
    <w:div w:id="290290886">
      <w:bodyDiv w:val="1"/>
      <w:marLeft w:val="0"/>
      <w:marRight w:val="0"/>
      <w:marTop w:val="0"/>
      <w:marBottom w:val="0"/>
      <w:divBdr>
        <w:top w:val="none" w:sz="0" w:space="0" w:color="auto"/>
        <w:left w:val="none" w:sz="0" w:space="0" w:color="auto"/>
        <w:bottom w:val="none" w:sz="0" w:space="0" w:color="auto"/>
        <w:right w:val="none" w:sz="0" w:space="0" w:color="auto"/>
      </w:divBdr>
    </w:div>
    <w:div w:id="292370867">
      <w:bodyDiv w:val="1"/>
      <w:marLeft w:val="0"/>
      <w:marRight w:val="0"/>
      <w:marTop w:val="0"/>
      <w:marBottom w:val="0"/>
      <w:divBdr>
        <w:top w:val="none" w:sz="0" w:space="0" w:color="auto"/>
        <w:left w:val="none" w:sz="0" w:space="0" w:color="auto"/>
        <w:bottom w:val="none" w:sz="0" w:space="0" w:color="auto"/>
        <w:right w:val="none" w:sz="0" w:space="0" w:color="auto"/>
      </w:divBdr>
    </w:div>
    <w:div w:id="297228279">
      <w:bodyDiv w:val="1"/>
      <w:marLeft w:val="0"/>
      <w:marRight w:val="0"/>
      <w:marTop w:val="0"/>
      <w:marBottom w:val="0"/>
      <w:divBdr>
        <w:top w:val="none" w:sz="0" w:space="0" w:color="auto"/>
        <w:left w:val="none" w:sz="0" w:space="0" w:color="auto"/>
        <w:bottom w:val="none" w:sz="0" w:space="0" w:color="auto"/>
        <w:right w:val="none" w:sz="0" w:space="0" w:color="auto"/>
      </w:divBdr>
    </w:div>
    <w:div w:id="304432806">
      <w:bodyDiv w:val="1"/>
      <w:marLeft w:val="0"/>
      <w:marRight w:val="0"/>
      <w:marTop w:val="0"/>
      <w:marBottom w:val="0"/>
      <w:divBdr>
        <w:top w:val="none" w:sz="0" w:space="0" w:color="auto"/>
        <w:left w:val="none" w:sz="0" w:space="0" w:color="auto"/>
        <w:bottom w:val="none" w:sz="0" w:space="0" w:color="auto"/>
        <w:right w:val="none" w:sz="0" w:space="0" w:color="auto"/>
      </w:divBdr>
    </w:div>
    <w:div w:id="308098735">
      <w:bodyDiv w:val="1"/>
      <w:marLeft w:val="0"/>
      <w:marRight w:val="0"/>
      <w:marTop w:val="0"/>
      <w:marBottom w:val="0"/>
      <w:divBdr>
        <w:top w:val="none" w:sz="0" w:space="0" w:color="auto"/>
        <w:left w:val="none" w:sz="0" w:space="0" w:color="auto"/>
        <w:bottom w:val="none" w:sz="0" w:space="0" w:color="auto"/>
        <w:right w:val="none" w:sz="0" w:space="0" w:color="auto"/>
      </w:divBdr>
    </w:div>
    <w:div w:id="309477765">
      <w:bodyDiv w:val="1"/>
      <w:marLeft w:val="0"/>
      <w:marRight w:val="0"/>
      <w:marTop w:val="0"/>
      <w:marBottom w:val="0"/>
      <w:divBdr>
        <w:top w:val="none" w:sz="0" w:space="0" w:color="auto"/>
        <w:left w:val="none" w:sz="0" w:space="0" w:color="auto"/>
        <w:bottom w:val="none" w:sz="0" w:space="0" w:color="auto"/>
        <w:right w:val="none" w:sz="0" w:space="0" w:color="auto"/>
      </w:divBdr>
    </w:div>
    <w:div w:id="314341403">
      <w:bodyDiv w:val="1"/>
      <w:marLeft w:val="0"/>
      <w:marRight w:val="0"/>
      <w:marTop w:val="0"/>
      <w:marBottom w:val="0"/>
      <w:divBdr>
        <w:top w:val="none" w:sz="0" w:space="0" w:color="auto"/>
        <w:left w:val="none" w:sz="0" w:space="0" w:color="auto"/>
        <w:bottom w:val="none" w:sz="0" w:space="0" w:color="auto"/>
        <w:right w:val="none" w:sz="0" w:space="0" w:color="auto"/>
      </w:divBdr>
    </w:div>
    <w:div w:id="315646033">
      <w:bodyDiv w:val="1"/>
      <w:marLeft w:val="0"/>
      <w:marRight w:val="0"/>
      <w:marTop w:val="0"/>
      <w:marBottom w:val="0"/>
      <w:divBdr>
        <w:top w:val="none" w:sz="0" w:space="0" w:color="auto"/>
        <w:left w:val="none" w:sz="0" w:space="0" w:color="auto"/>
        <w:bottom w:val="none" w:sz="0" w:space="0" w:color="auto"/>
        <w:right w:val="none" w:sz="0" w:space="0" w:color="auto"/>
      </w:divBdr>
    </w:div>
    <w:div w:id="329481341">
      <w:bodyDiv w:val="1"/>
      <w:marLeft w:val="0"/>
      <w:marRight w:val="0"/>
      <w:marTop w:val="0"/>
      <w:marBottom w:val="0"/>
      <w:divBdr>
        <w:top w:val="none" w:sz="0" w:space="0" w:color="auto"/>
        <w:left w:val="none" w:sz="0" w:space="0" w:color="auto"/>
        <w:bottom w:val="none" w:sz="0" w:space="0" w:color="auto"/>
        <w:right w:val="none" w:sz="0" w:space="0" w:color="auto"/>
      </w:divBdr>
    </w:div>
    <w:div w:id="351997384">
      <w:bodyDiv w:val="1"/>
      <w:marLeft w:val="0"/>
      <w:marRight w:val="0"/>
      <w:marTop w:val="0"/>
      <w:marBottom w:val="0"/>
      <w:divBdr>
        <w:top w:val="none" w:sz="0" w:space="0" w:color="auto"/>
        <w:left w:val="none" w:sz="0" w:space="0" w:color="auto"/>
        <w:bottom w:val="none" w:sz="0" w:space="0" w:color="auto"/>
        <w:right w:val="none" w:sz="0" w:space="0" w:color="auto"/>
      </w:divBdr>
    </w:div>
    <w:div w:id="380323868">
      <w:bodyDiv w:val="1"/>
      <w:marLeft w:val="0"/>
      <w:marRight w:val="0"/>
      <w:marTop w:val="0"/>
      <w:marBottom w:val="0"/>
      <w:divBdr>
        <w:top w:val="none" w:sz="0" w:space="0" w:color="auto"/>
        <w:left w:val="none" w:sz="0" w:space="0" w:color="auto"/>
        <w:bottom w:val="none" w:sz="0" w:space="0" w:color="auto"/>
        <w:right w:val="none" w:sz="0" w:space="0" w:color="auto"/>
      </w:divBdr>
    </w:div>
    <w:div w:id="410273351">
      <w:bodyDiv w:val="1"/>
      <w:marLeft w:val="0"/>
      <w:marRight w:val="0"/>
      <w:marTop w:val="0"/>
      <w:marBottom w:val="0"/>
      <w:divBdr>
        <w:top w:val="none" w:sz="0" w:space="0" w:color="auto"/>
        <w:left w:val="none" w:sz="0" w:space="0" w:color="auto"/>
        <w:bottom w:val="none" w:sz="0" w:space="0" w:color="auto"/>
        <w:right w:val="none" w:sz="0" w:space="0" w:color="auto"/>
      </w:divBdr>
    </w:div>
    <w:div w:id="425424087">
      <w:bodyDiv w:val="1"/>
      <w:marLeft w:val="0"/>
      <w:marRight w:val="0"/>
      <w:marTop w:val="0"/>
      <w:marBottom w:val="0"/>
      <w:divBdr>
        <w:top w:val="none" w:sz="0" w:space="0" w:color="auto"/>
        <w:left w:val="none" w:sz="0" w:space="0" w:color="auto"/>
        <w:bottom w:val="none" w:sz="0" w:space="0" w:color="auto"/>
        <w:right w:val="none" w:sz="0" w:space="0" w:color="auto"/>
      </w:divBdr>
    </w:div>
    <w:div w:id="449786369">
      <w:bodyDiv w:val="1"/>
      <w:marLeft w:val="0"/>
      <w:marRight w:val="0"/>
      <w:marTop w:val="0"/>
      <w:marBottom w:val="0"/>
      <w:divBdr>
        <w:top w:val="none" w:sz="0" w:space="0" w:color="auto"/>
        <w:left w:val="none" w:sz="0" w:space="0" w:color="auto"/>
        <w:bottom w:val="none" w:sz="0" w:space="0" w:color="auto"/>
        <w:right w:val="none" w:sz="0" w:space="0" w:color="auto"/>
      </w:divBdr>
    </w:div>
    <w:div w:id="456728254">
      <w:bodyDiv w:val="1"/>
      <w:marLeft w:val="0"/>
      <w:marRight w:val="0"/>
      <w:marTop w:val="0"/>
      <w:marBottom w:val="0"/>
      <w:divBdr>
        <w:top w:val="none" w:sz="0" w:space="0" w:color="auto"/>
        <w:left w:val="none" w:sz="0" w:space="0" w:color="auto"/>
        <w:bottom w:val="none" w:sz="0" w:space="0" w:color="auto"/>
        <w:right w:val="none" w:sz="0" w:space="0" w:color="auto"/>
      </w:divBdr>
    </w:div>
    <w:div w:id="463736765">
      <w:bodyDiv w:val="1"/>
      <w:marLeft w:val="0"/>
      <w:marRight w:val="0"/>
      <w:marTop w:val="0"/>
      <w:marBottom w:val="0"/>
      <w:divBdr>
        <w:top w:val="none" w:sz="0" w:space="0" w:color="auto"/>
        <w:left w:val="none" w:sz="0" w:space="0" w:color="auto"/>
        <w:bottom w:val="none" w:sz="0" w:space="0" w:color="auto"/>
        <w:right w:val="none" w:sz="0" w:space="0" w:color="auto"/>
      </w:divBdr>
    </w:div>
    <w:div w:id="477964339">
      <w:bodyDiv w:val="1"/>
      <w:marLeft w:val="0"/>
      <w:marRight w:val="0"/>
      <w:marTop w:val="0"/>
      <w:marBottom w:val="0"/>
      <w:divBdr>
        <w:top w:val="none" w:sz="0" w:space="0" w:color="auto"/>
        <w:left w:val="none" w:sz="0" w:space="0" w:color="auto"/>
        <w:bottom w:val="none" w:sz="0" w:space="0" w:color="auto"/>
        <w:right w:val="none" w:sz="0" w:space="0" w:color="auto"/>
      </w:divBdr>
    </w:div>
    <w:div w:id="479469223">
      <w:bodyDiv w:val="1"/>
      <w:marLeft w:val="0"/>
      <w:marRight w:val="0"/>
      <w:marTop w:val="0"/>
      <w:marBottom w:val="0"/>
      <w:divBdr>
        <w:top w:val="none" w:sz="0" w:space="0" w:color="auto"/>
        <w:left w:val="none" w:sz="0" w:space="0" w:color="auto"/>
        <w:bottom w:val="none" w:sz="0" w:space="0" w:color="auto"/>
        <w:right w:val="none" w:sz="0" w:space="0" w:color="auto"/>
      </w:divBdr>
    </w:div>
    <w:div w:id="480854785">
      <w:bodyDiv w:val="1"/>
      <w:marLeft w:val="0"/>
      <w:marRight w:val="0"/>
      <w:marTop w:val="0"/>
      <w:marBottom w:val="0"/>
      <w:divBdr>
        <w:top w:val="none" w:sz="0" w:space="0" w:color="auto"/>
        <w:left w:val="none" w:sz="0" w:space="0" w:color="auto"/>
        <w:bottom w:val="none" w:sz="0" w:space="0" w:color="auto"/>
        <w:right w:val="none" w:sz="0" w:space="0" w:color="auto"/>
      </w:divBdr>
    </w:div>
    <w:div w:id="483788041">
      <w:bodyDiv w:val="1"/>
      <w:marLeft w:val="0"/>
      <w:marRight w:val="0"/>
      <w:marTop w:val="0"/>
      <w:marBottom w:val="0"/>
      <w:divBdr>
        <w:top w:val="none" w:sz="0" w:space="0" w:color="auto"/>
        <w:left w:val="none" w:sz="0" w:space="0" w:color="auto"/>
        <w:bottom w:val="none" w:sz="0" w:space="0" w:color="auto"/>
        <w:right w:val="none" w:sz="0" w:space="0" w:color="auto"/>
      </w:divBdr>
    </w:div>
    <w:div w:id="490875928">
      <w:bodyDiv w:val="1"/>
      <w:marLeft w:val="0"/>
      <w:marRight w:val="0"/>
      <w:marTop w:val="0"/>
      <w:marBottom w:val="0"/>
      <w:divBdr>
        <w:top w:val="none" w:sz="0" w:space="0" w:color="auto"/>
        <w:left w:val="none" w:sz="0" w:space="0" w:color="auto"/>
        <w:bottom w:val="none" w:sz="0" w:space="0" w:color="auto"/>
        <w:right w:val="none" w:sz="0" w:space="0" w:color="auto"/>
      </w:divBdr>
    </w:div>
    <w:div w:id="497429160">
      <w:bodyDiv w:val="1"/>
      <w:marLeft w:val="0"/>
      <w:marRight w:val="0"/>
      <w:marTop w:val="0"/>
      <w:marBottom w:val="0"/>
      <w:divBdr>
        <w:top w:val="none" w:sz="0" w:space="0" w:color="auto"/>
        <w:left w:val="none" w:sz="0" w:space="0" w:color="auto"/>
        <w:bottom w:val="none" w:sz="0" w:space="0" w:color="auto"/>
        <w:right w:val="none" w:sz="0" w:space="0" w:color="auto"/>
      </w:divBdr>
    </w:div>
    <w:div w:id="502010238">
      <w:bodyDiv w:val="1"/>
      <w:marLeft w:val="0"/>
      <w:marRight w:val="0"/>
      <w:marTop w:val="0"/>
      <w:marBottom w:val="0"/>
      <w:divBdr>
        <w:top w:val="none" w:sz="0" w:space="0" w:color="auto"/>
        <w:left w:val="none" w:sz="0" w:space="0" w:color="auto"/>
        <w:bottom w:val="none" w:sz="0" w:space="0" w:color="auto"/>
        <w:right w:val="none" w:sz="0" w:space="0" w:color="auto"/>
      </w:divBdr>
    </w:div>
    <w:div w:id="502206058">
      <w:bodyDiv w:val="1"/>
      <w:marLeft w:val="0"/>
      <w:marRight w:val="0"/>
      <w:marTop w:val="0"/>
      <w:marBottom w:val="0"/>
      <w:divBdr>
        <w:top w:val="none" w:sz="0" w:space="0" w:color="auto"/>
        <w:left w:val="none" w:sz="0" w:space="0" w:color="auto"/>
        <w:bottom w:val="none" w:sz="0" w:space="0" w:color="auto"/>
        <w:right w:val="none" w:sz="0" w:space="0" w:color="auto"/>
      </w:divBdr>
    </w:div>
    <w:div w:id="505897689">
      <w:bodyDiv w:val="1"/>
      <w:marLeft w:val="0"/>
      <w:marRight w:val="0"/>
      <w:marTop w:val="0"/>
      <w:marBottom w:val="0"/>
      <w:divBdr>
        <w:top w:val="none" w:sz="0" w:space="0" w:color="auto"/>
        <w:left w:val="none" w:sz="0" w:space="0" w:color="auto"/>
        <w:bottom w:val="none" w:sz="0" w:space="0" w:color="auto"/>
        <w:right w:val="none" w:sz="0" w:space="0" w:color="auto"/>
      </w:divBdr>
    </w:div>
    <w:div w:id="515968924">
      <w:bodyDiv w:val="1"/>
      <w:marLeft w:val="0"/>
      <w:marRight w:val="0"/>
      <w:marTop w:val="0"/>
      <w:marBottom w:val="0"/>
      <w:divBdr>
        <w:top w:val="none" w:sz="0" w:space="0" w:color="auto"/>
        <w:left w:val="none" w:sz="0" w:space="0" w:color="auto"/>
        <w:bottom w:val="none" w:sz="0" w:space="0" w:color="auto"/>
        <w:right w:val="none" w:sz="0" w:space="0" w:color="auto"/>
      </w:divBdr>
    </w:div>
    <w:div w:id="522938780">
      <w:bodyDiv w:val="1"/>
      <w:marLeft w:val="0"/>
      <w:marRight w:val="0"/>
      <w:marTop w:val="0"/>
      <w:marBottom w:val="0"/>
      <w:divBdr>
        <w:top w:val="none" w:sz="0" w:space="0" w:color="auto"/>
        <w:left w:val="none" w:sz="0" w:space="0" w:color="auto"/>
        <w:bottom w:val="none" w:sz="0" w:space="0" w:color="auto"/>
        <w:right w:val="none" w:sz="0" w:space="0" w:color="auto"/>
      </w:divBdr>
    </w:div>
    <w:div w:id="541937646">
      <w:bodyDiv w:val="1"/>
      <w:marLeft w:val="0"/>
      <w:marRight w:val="0"/>
      <w:marTop w:val="0"/>
      <w:marBottom w:val="0"/>
      <w:divBdr>
        <w:top w:val="none" w:sz="0" w:space="0" w:color="auto"/>
        <w:left w:val="none" w:sz="0" w:space="0" w:color="auto"/>
        <w:bottom w:val="none" w:sz="0" w:space="0" w:color="auto"/>
        <w:right w:val="none" w:sz="0" w:space="0" w:color="auto"/>
      </w:divBdr>
    </w:div>
    <w:div w:id="554200410">
      <w:bodyDiv w:val="1"/>
      <w:marLeft w:val="0"/>
      <w:marRight w:val="0"/>
      <w:marTop w:val="0"/>
      <w:marBottom w:val="0"/>
      <w:divBdr>
        <w:top w:val="none" w:sz="0" w:space="0" w:color="auto"/>
        <w:left w:val="none" w:sz="0" w:space="0" w:color="auto"/>
        <w:bottom w:val="none" w:sz="0" w:space="0" w:color="auto"/>
        <w:right w:val="none" w:sz="0" w:space="0" w:color="auto"/>
      </w:divBdr>
    </w:div>
    <w:div w:id="562638079">
      <w:bodyDiv w:val="1"/>
      <w:marLeft w:val="0"/>
      <w:marRight w:val="0"/>
      <w:marTop w:val="0"/>
      <w:marBottom w:val="0"/>
      <w:divBdr>
        <w:top w:val="none" w:sz="0" w:space="0" w:color="auto"/>
        <w:left w:val="none" w:sz="0" w:space="0" w:color="auto"/>
        <w:bottom w:val="none" w:sz="0" w:space="0" w:color="auto"/>
        <w:right w:val="none" w:sz="0" w:space="0" w:color="auto"/>
      </w:divBdr>
    </w:div>
    <w:div w:id="574628830">
      <w:bodyDiv w:val="1"/>
      <w:marLeft w:val="0"/>
      <w:marRight w:val="0"/>
      <w:marTop w:val="0"/>
      <w:marBottom w:val="0"/>
      <w:divBdr>
        <w:top w:val="none" w:sz="0" w:space="0" w:color="auto"/>
        <w:left w:val="none" w:sz="0" w:space="0" w:color="auto"/>
        <w:bottom w:val="none" w:sz="0" w:space="0" w:color="auto"/>
        <w:right w:val="none" w:sz="0" w:space="0" w:color="auto"/>
      </w:divBdr>
    </w:div>
    <w:div w:id="577519008">
      <w:bodyDiv w:val="1"/>
      <w:marLeft w:val="0"/>
      <w:marRight w:val="0"/>
      <w:marTop w:val="0"/>
      <w:marBottom w:val="0"/>
      <w:divBdr>
        <w:top w:val="none" w:sz="0" w:space="0" w:color="auto"/>
        <w:left w:val="none" w:sz="0" w:space="0" w:color="auto"/>
        <w:bottom w:val="none" w:sz="0" w:space="0" w:color="auto"/>
        <w:right w:val="none" w:sz="0" w:space="0" w:color="auto"/>
      </w:divBdr>
    </w:div>
    <w:div w:id="581136561">
      <w:bodyDiv w:val="1"/>
      <w:marLeft w:val="0"/>
      <w:marRight w:val="0"/>
      <w:marTop w:val="0"/>
      <w:marBottom w:val="0"/>
      <w:divBdr>
        <w:top w:val="none" w:sz="0" w:space="0" w:color="auto"/>
        <w:left w:val="none" w:sz="0" w:space="0" w:color="auto"/>
        <w:bottom w:val="none" w:sz="0" w:space="0" w:color="auto"/>
        <w:right w:val="none" w:sz="0" w:space="0" w:color="auto"/>
      </w:divBdr>
    </w:div>
    <w:div w:id="581455949">
      <w:bodyDiv w:val="1"/>
      <w:marLeft w:val="0"/>
      <w:marRight w:val="0"/>
      <w:marTop w:val="0"/>
      <w:marBottom w:val="0"/>
      <w:divBdr>
        <w:top w:val="none" w:sz="0" w:space="0" w:color="auto"/>
        <w:left w:val="none" w:sz="0" w:space="0" w:color="auto"/>
        <w:bottom w:val="none" w:sz="0" w:space="0" w:color="auto"/>
        <w:right w:val="none" w:sz="0" w:space="0" w:color="auto"/>
      </w:divBdr>
    </w:div>
    <w:div w:id="583564790">
      <w:bodyDiv w:val="1"/>
      <w:marLeft w:val="0"/>
      <w:marRight w:val="0"/>
      <w:marTop w:val="0"/>
      <w:marBottom w:val="0"/>
      <w:divBdr>
        <w:top w:val="none" w:sz="0" w:space="0" w:color="auto"/>
        <w:left w:val="none" w:sz="0" w:space="0" w:color="auto"/>
        <w:bottom w:val="none" w:sz="0" w:space="0" w:color="auto"/>
        <w:right w:val="none" w:sz="0" w:space="0" w:color="auto"/>
      </w:divBdr>
    </w:div>
    <w:div w:id="584344259">
      <w:bodyDiv w:val="1"/>
      <w:marLeft w:val="0"/>
      <w:marRight w:val="0"/>
      <w:marTop w:val="0"/>
      <w:marBottom w:val="0"/>
      <w:divBdr>
        <w:top w:val="none" w:sz="0" w:space="0" w:color="auto"/>
        <w:left w:val="none" w:sz="0" w:space="0" w:color="auto"/>
        <w:bottom w:val="none" w:sz="0" w:space="0" w:color="auto"/>
        <w:right w:val="none" w:sz="0" w:space="0" w:color="auto"/>
      </w:divBdr>
    </w:div>
    <w:div w:id="602415509">
      <w:bodyDiv w:val="1"/>
      <w:marLeft w:val="0"/>
      <w:marRight w:val="0"/>
      <w:marTop w:val="0"/>
      <w:marBottom w:val="0"/>
      <w:divBdr>
        <w:top w:val="none" w:sz="0" w:space="0" w:color="auto"/>
        <w:left w:val="none" w:sz="0" w:space="0" w:color="auto"/>
        <w:bottom w:val="none" w:sz="0" w:space="0" w:color="auto"/>
        <w:right w:val="none" w:sz="0" w:space="0" w:color="auto"/>
      </w:divBdr>
    </w:div>
    <w:div w:id="605308301">
      <w:bodyDiv w:val="1"/>
      <w:marLeft w:val="0"/>
      <w:marRight w:val="0"/>
      <w:marTop w:val="0"/>
      <w:marBottom w:val="0"/>
      <w:divBdr>
        <w:top w:val="none" w:sz="0" w:space="0" w:color="auto"/>
        <w:left w:val="none" w:sz="0" w:space="0" w:color="auto"/>
        <w:bottom w:val="none" w:sz="0" w:space="0" w:color="auto"/>
        <w:right w:val="none" w:sz="0" w:space="0" w:color="auto"/>
      </w:divBdr>
    </w:div>
    <w:div w:id="612438727">
      <w:bodyDiv w:val="1"/>
      <w:marLeft w:val="0"/>
      <w:marRight w:val="0"/>
      <w:marTop w:val="0"/>
      <w:marBottom w:val="0"/>
      <w:divBdr>
        <w:top w:val="none" w:sz="0" w:space="0" w:color="auto"/>
        <w:left w:val="none" w:sz="0" w:space="0" w:color="auto"/>
        <w:bottom w:val="none" w:sz="0" w:space="0" w:color="auto"/>
        <w:right w:val="none" w:sz="0" w:space="0" w:color="auto"/>
      </w:divBdr>
    </w:div>
    <w:div w:id="642006729">
      <w:bodyDiv w:val="1"/>
      <w:marLeft w:val="0"/>
      <w:marRight w:val="0"/>
      <w:marTop w:val="0"/>
      <w:marBottom w:val="0"/>
      <w:divBdr>
        <w:top w:val="none" w:sz="0" w:space="0" w:color="auto"/>
        <w:left w:val="none" w:sz="0" w:space="0" w:color="auto"/>
        <w:bottom w:val="none" w:sz="0" w:space="0" w:color="auto"/>
        <w:right w:val="none" w:sz="0" w:space="0" w:color="auto"/>
      </w:divBdr>
    </w:div>
    <w:div w:id="648637196">
      <w:bodyDiv w:val="1"/>
      <w:marLeft w:val="0"/>
      <w:marRight w:val="0"/>
      <w:marTop w:val="0"/>
      <w:marBottom w:val="0"/>
      <w:divBdr>
        <w:top w:val="none" w:sz="0" w:space="0" w:color="auto"/>
        <w:left w:val="none" w:sz="0" w:space="0" w:color="auto"/>
        <w:bottom w:val="none" w:sz="0" w:space="0" w:color="auto"/>
        <w:right w:val="none" w:sz="0" w:space="0" w:color="auto"/>
      </w:divBdr>
    </w:div>
    <w:div w:id="653606025">
      <w:bodyDiv w:val="1"/>
      <w:marLeft w:val="0"/>
      <w:marRight w:val="0"/>
      <w:marTop w:val="0"/>
      <w:marBottom w:val="0"/>
      <w:divBdr>
        <w:top w:val="none" w:sz="0" w:space="0" w:color="auto"/>
        <w:left w:val="none" w:sz="0" w:space="0" w:color="auto"/>
        <w:bottom w:val="none" w:sz="0" w:space="0" w:color="auto"/>
        <w:right w:val="none" w:sz="0" w:space="0" w:color="auto"/>
      </w:divBdr>
    </w:div>
    <w:div w:id="687298179">
      <w:bodyDiv w:val="1"/>
      <w:marLeft w:val="0"/>
      <w:marRight w:val="0"/>
      <w:marTop w:val="0"/>
      <w:marBottom w:val="0"/>
      <w:divBdr>
        <w:top w:val="none" w:sz="0" w:space="0" w:color="auto"/>
        <w:left w:val="none" w:sz="0" w:space="0" w:color="auto"/>
        <w:bottom w:val="none" w:sz="0" w:space="0" w:color="auto"/>
        <w:right w:val="none" w:sz="0" w:space="0" w:color="auto"/>
      </w:divBdr>
    </w:div>
    <w:div w:id="705058012">
      <w:bodyDiv w:val="1"/>
      <w:marLeft w:val="0"/>
      <w:marRight w:val="0"/>
      <w:marTop w:val="0"/>
      <w:marBottom w:val="0"/>
      <w:divBdr>
        <w:top w:val="none" w:sz="0" w:space="0" w:color="auto"/>
        <w:left w:val="none" w:sz="0" w:space="0" w:color="auto"/>
        <w:bottom w:val="none" w:sz="0" w:space="0" w:color="auto"/>
        <w:right w:val="none" w:sz="0" w:space="0" w:color="auto"/>
      </w:divBdr>
    </w:div>
    <w:div w:id="705302360">
      <w:bodyDiv w:val="1"/>
      <w:marLeft w:val="0"/>
      <w:marRight w:val="0"/>
      <w:marTop w:val="0"/>
      <w:marBottom w:val="0"/>
      <w:divBdr>
        <w:top w:val="none" w:sz="0" w:space="0" w:color="auto"/>
        <w:left w:val="none" w:sz="0" w:space="0" w:color="auto"/>
        <w:bottom w:val="none" w:sz="0" w:space="0" w:color="auto"/>
        <w:right w:val="none" w:sz="0" w:space="0" w:color="auto"/>
      </w:divBdr>
    </w:div>
    <w:div w:id="727648074">
      <w:bodyDiv w:val="1"/>
      <w:marLeft w:val="0"/>
      <w:marRight w:val="0"/>
      <w:marTop w:val="0"/>
      <w:marBottom w:val="0"/>
      <w:divBdr>
        <w:top w:val="none" w:sz="0" w:space="0" w:color="auto"/>
        <w:left w:val="none" w:sz="0" w:space="0" w:color="auto"/>
        <w:bottom w:val="none" w:sz="0" w:space="0" w:color="auto"/>
        <w:right w:val="none" w:sz="0" w:space="0" w:color="auto"/>
      </w:divBdr>
    </w:div>
    <w:div w:id="728919819">
      <w:bodyDiv w:val="1"/>
      <w:marLeft w:val="0"/>
      <w:marRight w:val="0"/>
      <w:marTop w:val="0"/>
      <w:marBottom w:val="0"/>
      <w:divBdr>
        <w:top w:val="none" w:sz="0" w:space="0" w:color="auto"/>
        <w:left w:val="none" w:sz="0" w:space="0" w:color="auto"/>
        <w:bottom w:val="none" w:sz="0" w:space="0" w:color="auto"/>
        <w:right w:val="none" w:sz="0" w:space="0" w:color="auto"/>
      </w:divBdr>
    </w:div>
    <w:div w:id="755594642">
      <w:bodyDiv w:val="1"/>
      <w:marLeft w:val="0"/>
      <w:marRight w:val="0"/>
      <w:marTop w:val="0"/>
      <w:marBottom w:val="0"/>
      <w:divBdr>
        <w:top w:val="none" w:sz="0" w:space="0" w:color="auto"/>
        <w:left w:val="none" w:sz="0" w:space="0" w:color="auto"/>
        <w:bottom w:val="none" w:sz="0" w:space="0" w:color="auto"/>
        <w:right w:val="none" w:sz="0" w:space="0" w:color="auto"/>
      </w:divBdr>
    </w:div>
    <w:div w:id="766773410">
      <w:bodyDiv w:val="1"/>
      <w:marLeft w:val="0"/>
      <w:marRight w:val="0"/>
      <w:marTop w:val="0"/>
      <w:marBottom w:val="0"/>
      <w:divBdr>
        <w:top w:val="none" w:sz="0" w:space="0" w:color="auto"/>
        <w:left w:val="none" w:sz="0" w:space="0" w:color="auto"/>
        <w:bottom w:val="none" w:sz="0" w:space="0" w:color="auto"/>
        <w:right w:val="none" w:sz="0" w:space="0" w:color="auto"/>
      </w:divBdr>
    </w:div>
    <w:div w:id="789589257">
      <w:bodyDiv w:val="1"/>
      <w:marLeft w:val="0"/>
      <w:marRight w:val="0"/>
      <w:marTop w:val="0"/>
      <w:marBottom w:val="0"/>
      <w:divBdr>
        <w:top w:val="none" w:sz="0" w:space="0" w:color="auto"/>
        <w:left w:val="none" w:sz="0" w:space="0" w:color="auto"/>
        <w:bottom w:val="none" w:sz="0" w:space="0" w:color="auto"/>
        <w:right w:val="none" w:sz="0" w:space="0" w:color="auto"/>
      </w:divBdr>
    </w:div>
    <w:div w:id="789857989">
      <w:bodyDiv w:val="1"/>
      <w:marLeft w:val="0"/>
      <w:marRight w:val="0"/>
      <w:marTop w:val="0"/>
      <w:marBottom w:val="0"/>
      <w:divBdr>
        <w:top w:val="none" w:sz="0" w:space="0" w:color="auto"/>
        <w:left w:val="none" w:sz="0" w:space="0" w:color="auto"/>
        <w:bottom w:val="none" w:sz="0" w:space="0" w:color="auto"/>
        <w:right w:val="none" w:sz="0" w:space="0" w:color="auto"/>
      </w:divBdr>
    </w:div>
    <w:div w:id="791365337">
      <w:bodyDiv w:val="1"/>
      <w:marLeft w:val="0"/>
      <w:marRight w:val="0"/>
      <w:marTop w:val="0"/>
      <w:marBottom w:val="0"/>
      <w:divBdr>
        <w:top w:val="none" w:sz="0" w:space="0" w:color="auto"/>
        <w:left w:val="none" w:sz="0" w:space="0" w:color="auto"/>
        <w:bottom w:val="none" w:sz="0" w:space="0" w:color="auto"/>
        <w:right w:val="none" w:sz="0" w:space="0" w:color="auto"/>
      </w:divBdr>
    </w:div>
    <w:div w:id="795756144">
      <w:bodyDiv w:val="1"/>
      <w:marLeft w:val="0"/>
      <w:marRight w:val="0"/>
      <w:marTop w:val="0"/>
      <w:marBottom w:val="0"/>
      <w:divBdr>
        <w:top w:val="none" w:sz="0" w:space="0" w:color="auto"/>
        <w:left w:val="none" w:sz="0" w:space="0" w:color="auto"/>
        <w:bottom w:val="none" w:sz="0" w:space="0" w:color="auto"/>
        <w:right w:val="none" w:sz="0" w:space="0" w:color="auto"/>
      </w:divBdr>
    </w:div>
    <w:div w:id="801075933">
      <w:bodyDiv w:val="1"/>
      <w:marLeft w:val="0"/>
      <w:marRight w:val="0"/>
      <w:marTop w:val="0"/>
      <w:marBottom w:val="0"/>
      <w:divBdr>
        <w:top w:val="none" w:sz="0" w:space="0" w:color="auto"/>
        <w:left w:val="none" w:sz="0" w:space="0" w:color="auto"/>
        <w:bottom w:val="none" w:sz="0" w:space="0" w:color="auto"/>
        <w:right w:val="none" w:sz="0" w:space="0" w:color="auto"/>
      </w:divBdr>
    </w:div>
    <w:div w:id="803425787">
      <w:bodyDiv w:val="1"/>
      <w:marLeft w:val="0"/>
      <w:marRight w:val="0"/>
      <w:marTop w:val="0"/>
      <w:marBottom w:val="0"/>
      <w:divBdr>
        <w:top w:val="none" w:sz="0" w:space="0" w:color="auto"/>
        <w:left w:val="none" w:sz="0" w:space="0" w:color="auto"/>
        <w:bottom w:val="none" w:sz="0" w:space="0" w:color="auto"/>
        <w:right w:val="none" w:sz="0" w:space="0" w:color="auto"/>
      </w:divBdr>
    </w:div>
    <w:div w:id="815226027">
      <w:bodyDiv w:val="1"/>
      <w:marLeft w:val="0"/>
      <w:marRight w:val="0"/>
      <w:marTop w:val="0"/>
      <w:marBottom w:val="0"/>
      <w:divBdr>
        <w:top w:val="none" w:sz="0" w:space="0" w:color="auto"/>
        <w:left w:val="none" w:sz="0" w:space="0" w:color="auto"/>
        <w:bottom w:val="none" w:sz="0" w:space="0" w:color="auto"/>
        <w:right w:val="none" w:sz="0" w:space="0" w:color="auto"/>
      </w:divBdr>
    </w:div>
    <w:div w:id="839154211">
      <w:bodyDiv w:val="1"/>
      <w:marLeft w:val="0"/>
      <w:marRight w:val="0"/>
      <w:marTop w:val="0"/>
      <w:marBottom w:val="0"/>
      <w:divBdr>
        <w:top w:val="none" w:sz="0" w:space="0" w:color="auto"/>
        <w:left w:val="none" w:sz="0" w:space="0" w:color="auto"/>
        <w:bottom w:val="none" w:sz="0" w:space="0" w:color="auto"/>
        <w:right w:val="none" w:sz="0" w:space="0" w:color="auto"/>
      </w:divBdr>
    </w:div>
    <w:div w:id="845173402">
      <w:bodyDiv w:val="1"/>
      <w:marLeft w:val="0"/>
      <w:marRight w:val="0"/>
      <w:marTop w:val="0"/>
      <w:marBottom w:val="0"/>
      <w:divBdr>
        <w:top w:val="none" w:sz="0" w:space="0" w:color="auto"/>
        <w:left w:val="none" w:sz="0" w:space="0" w:color="auto"/>
        <w:bottom w:val="none" w:sz="0" w:space="0" w:color="auto"/>
        <w:right w:val="none" w:sz="0" w:space="0" w:color="auto"/>
      </w:divBdr>
    </w:div>
    <w:div w:id="849177138">
      <w:bodyDiv w:val="1"/>
      <w:marLeft w:val="0"/>
      <w:marRight w:val="0"/>
      <w:marTop w:val="0"/>
      <w:marBottom w:val="0"/>
      <w:divBdr>
        <w:top w:val="none" w:sz="0" w:space="0" w:color="auto"/>
        <w:left w:val="none" w:sz="0" w:space="0" w:color="auto"/>
        <w:bottom w:val="none" w:sz="0" w:space="0" w:color="auto"/>
        <w:right w:val="none" w:sz="0" w:space="0" w:color="auto"/>
      </w:divBdr>
    </w:div>
    <w:div w:id="866455885">
      <w:bodyDiv w:val="1"/>
      <w:marLeft w:val="0"/>
      <w:marRight w:val="0"/>
      <w:marTop w:val="0"/>
      <w:marBottom w:val="0"/>
      <w:divBdr>
        <w:top w:val="none" w:sz="0" w:space="0" w:color="auto"/>
        <w:left w:val="none" w:sz="0" w:space="0" w:color="auto"/>
        <w:bottom w:val="none" w:sz="0" w:space="0" w:color="auto"/>
        <w:right w:val="none" w:sz="0" w:space="0" w:color="auto"/>
      </w:divBdr>
    </w:div>
    <w:div w:id="870457296">
      <w:bodyDiv w:val="1"/>
      <w:marLeft w:val="0"/>
      <w:marRight w:val="0"/>
      <w:marTop w:val="0"/>
      <w:marBottom w:val="0"/>
      <w:divBdr>
        <w:top w:val="none" w:sz="0" w:space="0" w:color="auto"/>
        <w:left w:val="none" w:sz="0" w:space="0" w:color="auto"/>
        <w:bottom w:val="none" w:sz="0" w:space="0" w:color="auto"/>
        <w:right w:val="none" w:sz="0" w:space="0" w:color="auto"/>
      </w:divBdr>
    </w:div>
    <w:div w:id="882712504">
      <w:bodyDiv w:val="1"/>
      <w:marLeft w:val="0"/>
      <w:marRight w:val="0"/>
      <w:marTop w:val="0"/>
      <w:marBottom w:val="0"/>
      <w:divBdr>
        <w:top w:val="none" w:sz="0" w:space="0" w:color="auto"/>
        <w:left w:val="none" w:sz="0" w:space="0" w:color="auto"/>
        <w:bottom w:val="none" w:sz="0" w:space="0" w:color="auto"/>
        <w:right w:val="none" w:sz="0" w:space="0" w:color="auto"/>
      </w:divBdr>
    </w:div>
    <w:div w:id="888569030">
      <w:bodyDiv w:val="1"/>
      <w:marLeft w:val="0"/>
      <w:marRight w:val="0"/>
      <w:marTop w:val="0"/>
      <w:marBottom w:val="0"/>
      <w:divBdr>
        <w:top w:val="none" w:sz="0" w:space="0" w:color="auto"/>
        <w:left w:val="none" w:sz="0" w:space="0" w:color="auto"/>
        <w:bottom w:val="none" w:sz="0" w:space="0" w:color="auto"/>
        <w:right w:val="none" w:sz="0" w:space="0" w:color="auto"/>
      </w:divBdr>
    </w:div>
    <w:div w:id="891696608">
      <w:bodyDiv w:val="1"/>
      <w:marLeft w:val="0"/>
      <w:marRight w:val="0"/>
      <w:marTop w:val="0"/>
      <w:marBottom w:val="0"/>
      <w:divBdr>
        <w:top w:val="none" w:sz="0" w:space="0" w:color="auto"/>
        <w:left w:val="none" w:sz="0" w:space="0" w:color="auto"/>
        <w:bottom w:val="none" w:sz="0" w:space="0" w:color="auto"/>
        <w:right w:val="none" w:sz="0" w:space="0" w:color="auto"/>
      </w:divBdr>
    </w:div>
    <w:div w:id="894238874">
      <w:bodyDiv w:val="1"/>
      <w:marLeft w:val="0"/>
      <w:marRight w:val="0"/>
      <w:marTop w:val="0"/>
      <w:marBottom w:val="0"/>
      <w:divBdr>
        <w:top w:val="none" w:sz="0" w:space="0" w:color="auto"/>
        <w:left w:val="none" w:sz="0" w:space="0" w:color="auto"/>
        <w:bottom w:val="none" w:sz="0" w:space="0" w:color="auto"/>
        <w:right w:val="none" w:sz="0" w:space="0" w:color="auto"/>
      </w:divBdr>
    </w:div>
    <w:div w:id="898595128">
      <w:bodyDiv w:val="1"/>
      <w:marLeft w:val="0"/>
      <w:marRight w:val="0"/>
      <w:marTop w:val="0"/>
      <w:marBottom w:val="0"/>
      <w:divBdr>
        <w:top w:val="none" w:sz="0" w:space="0" w:color="auto"/>
        <w:left w:val="none" w:sz="0" w:space="0" w:color="auto"/>
        <w:bottom w:val="none" w:sz="0" w:space="0" w:color="auto"/>
        <w:right w:val="none" w:sz="0" w:space="0" w:color="auto"/>
      </w:divBdr>
    </w:div>
    <w:div w:id="908998665">
      <w:bodyDiv w:val="1"/>
      <w:marLeft w:val="0"/>
      <w:marRight w:val="0"/>
      <w:marTop w:val="0"/>
      <w:marBottom w:val="0"/>
      <w:divBdr>
        <w:top w:val="none" w:sz="0" w:space="0" w:color="auto"/>
        <w:left w:val="none" w:sz="0" w:space="0" w:color="auto"/>
        <w:bottom w:val="none" w:sz="0" w:space="0" w:color="auto"/>
        <w:right w:val="none" w:sz="0" w:space="0" w:color="auto"/>
      </w:divBdr>
    </w:div>
    <w:div w:id="912160092">
      <w:bodyDiv w:val="1"/>
      <w:marLeft w:val="0"/>
      <w:marRight w:val="0"/>
      <w:marTop w:val="0"/>
      <w:marBottom w:val="0"/>
      <w:divBdr>
        <w:top w:val="none" w:sz="0" w:space="0" w:color="auto"/>
        <w:left w:val="none" w:sz="0" w:space="0" w:color="auto"/>
        <w:bottom w:val="none" w:sz="0" w:space="0" w:color="auto"/>
        <w:right w:val="none" w:sz="0" w:space="0" w:color="auto"/>
      </w:divBdr>
    </w:div>
    <w:div w:id="915091018">
      <w:bodyDiv w:val="1"/>
      <w:marLeft w:val="0"/>
      <w:marRight w:val="0"/>
      <w:marTop w:val="0"/>
      <w:marBottom w:val="0"/>
      <w:divBdr>
        <w:top w:val="none" w:sz="0" w:space="0" w:color="auto"/>
        <w:left w:val="none" w:sz="0" w:space="0" w:color="auto"/>
        <w:bottom w:val="none" w:sz="0" w:space="0" w:color="auto"/>
        <w:right w:val="none" w:sz="0" w:space="0" w:color="auto"/>
      </w:divBdr>
    </w:div>
    <w:div w:id="920329063">
      <w:bodyDiv w:val="1"/>
      <w:marLeft w:val="0"/>
      <w:marRight w:val="0"/>
      <w:marTop w:val="0"/>
      <w:marBottom w:val="0"/>
      <w:divBdr>
        <w:top w:val="none" w:sz="0" w:space="0" w:color="auto"/>
        <w:left w:val="none" w:sz="0" w:space="0" w:color="auto"/>
        <w:bottom w:val="none" w:sz="0" w:space="0" w:color="auto"/>
        <w:right w:val="none" w:sz="0" w:space="0" w:color="auto"/>
      </w:divBdr>
    </w:div>
    <w:div w:id="927616211">
      <w:bodyDiv w:val="1"/>
      <w:marLeft w:val="0"/>
      <w:marRight w:val="0"/>
      <w:marTop w:val="0"/>
      <w:marBottom w:val="0"/>
      <w:divBdr>
        <w:top w:val="none" w:sz="0" w:space="0" w:color="auto"/>
        <w:left w:val="none" w:sz="0" w:space="0" w:color="auto"/>
        <w:bottom w:val="none" w:sz="0" w:space="0" w:color="auto"/>
        <w:right w:val="none" w:sz="0" w:space="0" w:color="auto"/>
      </w:divBdr>
    </w:div>
    <w:div w:id="928733627">
      <w:bodyDiv w:val="1"/>
      <w:marLeft w:val="0"/>
      <w:marRight w:val="0"/>
      <w:marTop w:val="0"/>
      <w:marBottom w:val="0"/>
      <w:divBdr>
        <w:top w:val="none" w:sz="0" w:space="0" w:color="auto"/>
        <w:left w:val="none" w:sz="0" w:space="0" w:color="auto"/>
        <w:bottom w:val="none" w:sz="0" w:space="0" w:color="auto"/>
        <w:right w:val="none" w:sz="0" w:space="0" w:color="auto"/>
      </w:divBdr>
    </w:div>
    <w:div w:id="931814379">
      <w:bodyDiv w:val="1"/>
      <w:marLeft w:val="0"/>
      <w:marRight w:val="0"/>
      <w:marTop w:val="0"/>
      <w:marBottom w:val="0"/>
      <w:divBdr>
        <w:top w:val="none" w:sz="0" w:space="0" w:color="auto"/>
        <w:left w:val="none" w:sz="0" w:space="0" w:color="auto"/>
        <w:bottom w:val="none" w:sz="0" w:space="0" w:color="auto"/>
        <w:right w:val="none" w:sz="0" w:space="0" w:color="auto"/>
      </w:divBdr>
    </w:div>
    <w:div w:id="938953544">
      <w:bodyDiv w:val="1"/>
      <w:marLeft w:val="0"/>
      <w:marRight w:val="0"/>
      <w:marTop w:val="0"/>
      <w:marBottom w:val="0"/>
      <w:divBdr>
        <w:top w:val="none" w:sz="0" w:space="0" w:color="auto"/>
        <w:left w:val="none" w:sz="0" w:space="0" w:color="auto"/>
        <w:bottom w:val="none" w:sz="0" w:space="0" w:color="auto"/>
        <w:right w:val="none" w:sz="0" w:space="0" w:color="auto"/>
      </w:divBdr>
    </w:div>
    <w:div w:id="946428288">
      <w:bodyDiv w:val="1"/>
      <w:marLeft w:val="0"/>
      <w:marRight w:val="0"/>
      <w:marTop w:val="0"/>
      <w:marBottom w:val="0"/>
      <w:divBdr>
        <w:top w:val="none" w:sz="0" w:space="0" w:color="auto"/>
        <w:left w:val="none" w:sz="0" w:space="0" w:color="auto"/>
        <w:bottom w:val="none" w:sz="0" w:space="0" w:color="auto"/>
        <w:right w:val="none" w:sz="0" w:space="0" w:color="auto"/>
      </w:divBdr>
    </w:div>
    <w:div w:id="953026020">
      <w:bodyDiv w:val="1"/>
      <w:marLeft w:val="0"/>
      <w:marRight w:val="0"/>
      <w:marTop w:val="0"/>
      <w:marBottom w:val="0"/>
      <w:divBdr>
        <w:top w:val="none" w:sz="0" w:space="0" w:color="auto"/>
        <w:left w:val="none" w:sz="0" w:space="0" w:color="auto"/>
        <w:bottom w:val="none" w:sz="0" w:space="0" w:color="auto"/>
        <w:right w:val="none" w:sz="0" w:space="0" w:color="auto"/>
      </w:divBdr>
    </w:div>
    <w:div w:id="968585001">
      <w:bodyDiv w:val="1"/>
      <w:marLeft w:val="0"/>
      <w:marRight w:val="0"/>
      <w:marTop w:val="0"/>
      <w:marBottom w:val="0"/>
      <w:divBdr>
        <w:top w:val="none" w:sz="0" w:space="0" w:color="auto"/>
        <w:left w:val="none" w:sz="0" w:space="0" w:color="auto"/>
        <w:bottom w:val="none" w:sz="0" w:space="0" w:color="auto"/>
        <w:right w:val="none" w:sz="0" w:space="0" w:color="auto"/>
      </w:divBdr>
    </w:div>
    <w:div w:id="1007833392">
      <w:bodyDiv w:val="1"/>
      <w:marLeft w:val="0"/>
      <w:marRight w:val="0"/>
      <w:marTop w:val="0"/>
      <w:marBottom w:val="0"/>
      <w:divBdr>
        <w:top w:val="none" w:sz="0" w:space="0" w:color="auto"/>
        <w:left w:val="none" w:sz="0" w:space="0" w:color="auto"/>
        <w:bottom w:val="none" w:sz="0" w:space="0" w:color="auto"/>
        <w:right w:val="none" w:sz="0" w:space="0" w:color="auto"/>
      </w:divBdr>
    </w:div>
    <w:div w:id="1058017977">
      <w:bodyDiv w:val="1"/>
      <w:marLeft w:val="0"/>
      <w:marRight w:val="0"/>
      <w:marTop w:val="0"/>
      <w:marBottom w:val="0"/>
      <w:divBdr>
        <w:top w:val="none" w:sz="0" w:space="0" w:color="auto"/>
        <w:left w:val="none" w:sz="0" w:space="0" w:color="auto"/>
        <w:bottom w:val="none" w:sz="0" w:space="0" w:color="auto"/>
        <w:right w:val="none" w:sz="0" w:space="0" w:color="auto"/>
      </w:divBdr>
    </w:div>
    <w:div w:id="1064136251">
      <w:bodyDiv w:val="1"/>
      <w:marLeft w:val="0"/>
      <w:marRight w:val="0"/>
      <w:marTop w:val="0"/>
      <w:marBottom w:val="0"/>
      <w:divBdr>
        <w:top w:val="none" w:sz="0" w:space="0" w:color="auto"/>
        <w:left w:val="none" w:sz="0" w:space="0" w:color="auto"/>
        <w:bottom w:val="none" w:sz="0" w:space="0" w:color="auto"/>
        <w:right w:val="none" w:sz="0" w:space="0" w:color="auto"/>
      </w:divBdr>
    </w:div>
    <w:div w:id="1064253350">
      <w:bodyDiv w:val="1"/>
      <w:marLeft w:val="0"/>
      <w:marRight w:val="0"/>
      <w:marTop w:val="0"/>
      <w:marBottom w:val="0"/>
      <w:divBdr>
        <w:top w:val="none" w:sz="0" w:space="0" w:color="auto"/>
        <w:left w:val="none" w:sz="0" w:space="0" w:color="auto"/>
        <w:bottom w:val="none" w:sz="0" w:space="0" w:color="auto"/>
        <w:right w:val="none" w:sz="0" w:space="0" w:color="auto"/>
      </w:divBdr>
    </w:div>
    <w:div w:id="1069040357">
      <w:bodyDiv w:val="1"/>
      <w:marLeft w:val="0"/>
      <w:marRight w:val="0"/>
      <w:marTop w:val="0"/>
      <w:marBottom w:val="0"/>
      <w:divBdr>
        <w:top w:val="none" w:sz="0" w:space="0" w:color="auto"/>
        <w:left w:val="none" w:sz="0" w:space="0" w:color="auto"/>
        <w:bottom w:val="none" w:sz="0" w:space="0" w:color="auto"/>
        <w:right w:val="none" w:sz="0" w:space="0" w:color="auto"/>
      </w:divBdr>
    </w:div>
    <w:div w:id="1084036854">
      <w:bodyDiv w:val="1"/>
      <w:marLeft w:val="0"/>
      <w:marRight w:val="0"/>
      <w:marTop w:val="0"/>
      <w:marBottom w:val="0"/>
      <w:divBdr>
        <w:top w:val="none" w:sz="0" w:space="0" w:color="auto"/>
        <w:left w:val="none" w:sz="0" w:space="0" w:color="auto"/>
        <w:bottom w:val="none" w:sz="0" w:space="0" w:color="auto"/>
        <w:right w:val="none" w:sz="0" w:space="0" w:color="auto"/>
      </w:divBdr>
    </w:div>
    <w:div w:id="1085224110">
      <w:bodyDiv w:val="1"/>
      <w:marLeft w:val="0"/>
      <w:marRight w:val="0"/>
      <w:marTop w:val="0"/>
      <w:marBottom w:val="0"/>
      <w:divBdr>
        <w:top w:val="none" w:sz="0" w:space="0" w:color="auto"/>
        <w:left w:val="none" w:sz="0" w:space="0" w:color="auto"/>
        <w:bottom w:val="none" w:sz="0" w:space="0" w:color="auto"/>
        <w:right w:val="none" w:sz="0" w:space="0" w:color="auto"/>
      </w:divBdr>
    </w:div>
    <w:div w:id="1087653614">
      <w:bodyDiv w:val="1"/>
      <w:marLeft w:val="0"/>
      <w:marRight w:val="0"/>
      <w:marTop w:val="0"/>
      <w:marBottom w:val="0"/>
      <w:divBdr>
        <w:top w:val="none" w:sz="0" w:space="0" w:color="auto"/>
        <w:left w:val="none" w:sz="0" w:space="0" w:color="auto"/>
        <w:bottom w:val="none" w:sz="0" w:space="0" w:color="auto"/>
        <w:right w:val="none" w:sz="0" w:space="0" w:color="auto"/>
      </w:divBdr>
    </w:div>
    <w:div w:id="1097024331">
      <w:bodyDiv w:val="1"/>
      <w:marLeft w:val="0"/>
      <w:marRight w:val="0"/>
      <w:marTop w:val="0"/>
      <w:marBottom w:val="0"/>
      <w:divBdr>
        <w:top w:val="none" w:sz="0" w:space="0" w:color="auto"/>
        <w:left w:val="none" w:sz="0" w:space="0" w:color="auto"/>
        <w:bottom w:val="none" w:sz="0" w:space="0" w:color="auto"/>
        <w:right w:val="none" w:sz="0" w:space="0" w:color="auto"/>
      </w:divBdr>
    </w:div>
    <w:div w:id="1097290784">
      <w:bodyDiv w:val="1"/>
      <w:marLeft w:val="0"/>
      <w:marRight w:val="0"/>
      <w:marTop w:val="0"/>
      <w:marBottom w:val="0"/>
      <w:divBdr>
        <w:top w:val="none" w:sz="0" w:space="0" w:color="auto"/>
        <w:left w:val="none" w:sz="0" w:space="0" w:color="auto"/>
        <w:bottom w:val="none" w:sz="0" w:space="0" w:color="auto"/>
        <w:right w:val="none" w:sz="0" w:space="0" w:color="auto"/>
      </w:divBdr>
    </w:div>
    <w:div w:id="1114598604">
      <w:bodyDiv w:val="1"/>
      <w:marLeft w:val="0"/>
      <w:marRight w:val="0"/>
      <w:marTop w:val="0"/>
      <w:marBottom w:val="0"/>
      <w:divBdr>
        <w:top w:val="none" w:sz="0" w:space="0" w:color="auto"/>
        <w:left w:val="none" w:sz="0" w:space="0" w:color="auto"/>
        <w:bottom w:val="none" w:sz="0" w:space="0" w:color="auto"/>
        <w:right w:val="none" w:sz="0" w:space="0" w:color="auto"/>
      </w:divBdr>
    </w:div>
    <w:div w:id="1127970513">
      <w:bodyDiv w:val="1"/>
      <w:marLeft w:val="0"/>
      <w:marRight w:val="0"/>
      <w:marTop w:val="0"/>
      <w:marBottom w:val="0"/>
      <w:divBdr>
        <w:top w:val="none" w:sz="0" w:space="0" w:color="auto"/>
        <w:left w:val="none" w:sz="0" w:space="0" w:color="auto"/>
        <w:bottom w:val="none" w:sz="0" w:space="0" w:color="auto"/>
        <w:right w:val="none" w:sz="0" w:space="0" w:color="auto"/>
      </w:divBdr>
    </w:div>
    <w:div w:id="1131482452">
      <w:bodyDiv w:val="1"/>
      <w:marLeft w:val="0"/>
      <w:marRight w:val="0"/>
      <w:marTop w:val="0"/>
      <w:marBottom w:val="0"/>
      <w:divBdr>
        <w:top w:val="none" w:sz="0" w:space="0" w:color="auto"/>
        <w:left w:val="none" w:sz="0" w:space="0" w:color="auto"/>
        <w:bottom w:val="none" w:sz="0" w:space="0" w:color="auto"/>
        <w:right w:val="none" w:sz="0" w:space="0" w:color="auto"/>
      </w:divBdr>
    </w:div>
    <w:div w:id="1141577463">
      <w:bodyDiv w:val="1"/>
      <w:marLeft w:val="0"/>
      <w:marRight w:val="0"/>
      <w:marTop w:val="0"/>
      <w:marBottom w:val="0"/>
      <w:divBdr>
        <w:top w:val="none" w:sz="0" w:space="0" w:color="auto"/>
        <w:left w:val="none" w:sz="0" w:space="0" w:color="auto"/>
        <w:bottom w:val="none" w:sz="0" w:space="0" w:color="auto"/>
        <w:right w:val="none" w:sz="0" w:space="0" w:color="auto"/>
      </w:divBdr>
    </w:div>
    <w:div w:id="1150251318">
      <w:bodyDiv w:val="1"/>
      <w:marLeft w:val="0"/>
      <w:marRight w:val="0"/>
      <w:marTop w:val="0"/>
      <w:marBottom w:val="0"/>
      <w:divBdr>
        <w:top w:val="none" w:sz="0" w:space="0" w:color="auto"/>
        <w:left w:val="none" w:sz="0" w:space="0" w:color="auto"/>
        <w:bottom w:val="none" w:sz="0" w:space="0" w:color="auto"/>
        <w:right w:val="none" w:sz="0" w:space="0" w:color="auto"/>
      </w:divBdr>
    </w:div>
    <w:div w:id="1163858757">
      <w:bodyDiv w:val="1"/>
      <w:marLeft w:val="0"/>
      <w:marRight w:val="0"/>
      <w:marTop w:val="0"/>
      <w:marBottom w:val="0"/>
      <w:divBdr>
        <w:top w:val="none" w:sz="0" w:space="0" w:color="auto"/>
        <w:left w:val="none" w:sz="0" w:space="0" w:color="auto"/>
        <w:bottom w:val="none" w:sz="0" w:space="0" w:color="auto"/>
        <w:right w:val="none" w:sz="0" w:space="0" w:color="auto"/>
      </w:divBdr>
    </w:div>
    <w:div w:id="1169758347">
      <w:bodyDiv w:val="1"/>
      <w:marLeft w:val="0"/>
      <w:marRight w:val="0"/>
      <w:marTop w:val="0"/>
      <w:marBottom w:val="0"/>
      <w:divBdr>
        <w:top w:val="none" w:sz="0" w:space="0" w:color="auto"/>
        <w:left w:val="none" w:sz="0" w:space="0" w:color="auto"/>
        <w:bottom w:val="none" w:sz="0" w:space="0" w:color="auto"/>
        <w:right w:val="none" w:sz="0" w:space="0" w:color="auto"/>
      </w:divBdr>
    </w:div>
    <w:div w:id="1171986972">
      <w:bodyDiv w:val="1"/>
      <w:marLeft w:val="0"/>
      <w:marRight w:val="0"/>
      <w:marTop w:val="0"/>
      <w:marBottom w:val="0"/>
      <w:divBdr>
        <w:top w:val="none" w:sz="0" w:space="0" w:color="auto"/>
        <w:left w:val="none" w:sz="0" w:space="0" w:color="auto"/>
        <w:bottom w:val="none" w:sz="0" w:space="0" w:color="auto"/>
        <w:right w:val="none" w:sz="0" w:space="0" w:color="auto"/>
      </w:divBdr>
    </w:div>
    <w:div w:id="1172261860">
      <w:bodyDiv w:val="1"/>
      <w:marLeft w:val="0"/>
      <w:marRight w:val="0"/>
      <w:marTop w:val="0"/>
      <w:marBottom w:val="0"/>
      <w:divBdr>
        <w:top w:val="none" w:sz="0" w:space="0" w:color="auto"/>
        <w:left w:val="none" w:sz="0" w:space="0" w:color="auto"/>
        <w:bottom w:val="none" w:sz="0" w:space="0" w:color="auto"/>
        <w:right w:val="none" w:sz="0" w:space="0" w:color="auto"/>
      </w:divBdr>
    </w:div>
    <w:div w:id="1190995115">
      <w:bodyDiv w:val="1"/>
      <w:marLeft w:val="0"/>
      <w:marRight w:val="0"/>
      <w:marTop w:val="0"/>
      <w:marBottom w:val="0"/>
      <w:divBdr>
        <w:top w:val="none" w:sz="0" w:space="0" w:color="auto"/>
        <w:left w:val="none" w:sz="0" w:space="0" w:color="auto"/>
        <w:bottom w:val="none" w:sz="0" w:space="0" w:color="auto"/>
        <w:right w:val="none" w:sz="0" w:space="0" w:color="auto"/>
      </w:divBdr>
    </w:div>
    <w:div w:id="1220437601">
      <w:bodyDiv w:val="1"/>
      <w:marLeft w:val="0"/>
      <w:marRight w:val="0"/>
      <w:marTop w:val="0"/>
      <w:marBottom w:val="0"/>
      <w:divBdr>
        <w:top w:val="none" w:sz="0" w:space="0" w:color="auto"/>
        <w:left w:val="none" w:sz="0" w:space="0" w:color="auto"/>
        <w:bottom w:val="none" w:sz="0" w:space="0" w:color="auto"/>
        <w:right w:val="none" w:sz="0" w:space="0" w:color="auto"/>
      </w:divBdr>
    </w:div>
    <w:div w:id="1231232440">
      <w:bodyDiv w:val="1"/>
      <w:marLeft w:val="0"/>
      <w:marRight w:val="0"/>
      <w:marTop w:val="0"/>
      <w:marBottom w:val="0"/>
      <w:divBdr>
        <w:top w:val="none" w:sz="0" w:space="0" w:color="auto"/>
        <w:left w:val="none" w:sz="0" w:space="0" w:color="auto"/>
        <w:bottom w:val="none" w:sz="0" w:space="0" w:color="auto"/>
        <w:right w:val="none" w:sz="0" w:space="0" w:color="auto"/>
      </w:divBdr>
    </w:div>
    <w:div w:id="1232545396">
      <w:bodyDiv w:val="1"/>
      <w:marLeft w:val="0"/>
      <w:marRight w:val="0"/>
      <w:marTop w:val="0"/>
      <w:marBottom w:val="0"/>
      <w:divBdr>
        <w:top w:val="none" w:sz="0" w:space="0" w:color="auto"/>
        <w:left w:val="none" w:sz="0" w:space="0" w:color="auto"/>
        <w:bottom w:val="none" w:sz="0" w:space="0" w:color="auto"/>
        <w:right w:val="none" w:sz="0" w:space="0" w:color="auto"/>
      </w:divBdr>
    </w:div>
    <w:div w:id="1234125985">
      <w:bodyDiv w:val="1"/>
      <w:marLeft w:val="0"/>
      <w:marRight w:val="0"/>
      <w:marTop w:val="0"/>
      <w:marBottom w:val="0"/>
      <w:divBdr>
        <w:top w:val="none" w:sz="0" w:space="0" w:color="auto"/>
        <w:left w:val="none" w:sz="0" w:space="0" w:color="auto"/>
        <w:bottom w:val="none" w:sz="0" w:space="0" w:color="auto"/>
        <w:right w:val="none" w:sz="0" w:space="0" w:color="auto"/>
      </w:divBdr>
    </w:div>
    <w:div w:id="1259800712">
      <w:bodyDiv w:val="1"/>
      <w:marLeft w:val="0"/>
      <w:marRight w:val="0"/>
      <w:marTop w:val="0"/>
      <w:marBottom w:val="0"/>
      <w:divBdr>
        <w:top w:val="none" w:sz="0" w:space="0" w:color="auto"/>
        <w:left w:val="none" w:sz="0" w:space="0" w:color="auto"/>
        <w:bottom w:val="none" w:sz="0" w:space="0" w:color="auto"/>
        <w:right w:val="none" w:sz="0" w:space="0" w:color="auto"/>
      </w:divBdr>
    </w:div>
    <w:div w:id="1287850914">
      <w:bodyDiv w:val="1"/>
      <w:marLeft w:val="0"/>
      <w:marRight w:val="0"/>
      <w:marTop w:val="0"/>
      <w:marBottom w:val="0"/>
      <w:divBdr>
        <w:top w:val="none" w:sz="0" w:space="0" w:color="auto"/>
        <w:left w:val="none" w:sz="0" w:space="0" w:color="auto"/>
        <w:bottom w:val="none" w:sz="0" w:space="0" w:color="auto"/>
        <w:right w:val="none" w:sz="0" w:space="0" w:color="auto"/>
      </w:divBdr>
    </w:div>
    <w:div w:id="1291519129">
      <w:bodyDiv w:val="1"/>
      <w:marLeft w:val="0"/>
      <w:marRight w:val="0"/>
      <w:marTop w:val="0"/>
      <w:marBottom w:val="0"/>
      <w:divBdr>
        <w:top w:val="none" w:sz="0" w:space="0" w:color="auto"/>
        <w:left w:val="none" w:sz="0" w:space="0" w:color="auto"/>
        <w:bottom w:val="none" w:sz="0" w:space="0" w:color="auto"/>
        <w:right w:val="none" w:sz="0" w:space="0" w:color="auto"/>
      </w:divBdr>
    </w:div>
    <w:div w:id="1292051903">
      <w:bodyDiv w:val="1"/>
      <w:marLeft w:val="0"/>
      <w:marRight w:val="0"/>
      <w:marTop w:val="0"/>
      <w:marBottom w:val="0"/>
      <w:divBdr>
        <w:top w:val="none" w:sz="0" w:space="0" w:color="auto"/>
        <w:left w:val="none" w:sz="0" w:space="0" w:color="auto"/>
        <w:bottom w:val="none" w:sz="0" w:space="0" w:color="auto"/>
        <w:right w:val="none" w:sz="0" w:space="0" w:color="auto"/>
      </w:divBdr>
    </w:div>
    <w:div w:id="1295403281">
      <w:bodyDiv w:val="1"/>
      <w:marLeft w:val="0"/>
      <w:marRight w:val="0"/>
      <w:marTop w:val="0"/>
      <w:marBottom w:val="0"/>
      <w:divBdr>
        <w:top w:val="none" w:sz="0" w:space="0" w:color="auto"/>
        <w:left w:val="none" w:sz="0" w:space="0" w:color="auto"/>
        <w:bottom w:val="none" w:sz="0" w:space="0" w:color="auto"/>
        <w:right w:val="none" w:sz="0" w:space="0" w:color="auto"/>
      </w:divBdr>
    </w:div>
    <w:div w:id="1297838865">
      <w:bodyDiv w:val="1"/>
      <w:marLeft w:val="0"/>
      <w:marRight w:val="0"/>
      <w:marTop w:val="0"/>
      <w:marBottom w:val="0"/>
      <w:divBdr>
        <w:top w:val="none" w:sz="0" w:space="0" w:color="auto"/>
        <w:left w:val="none" w:sz="0" w:space="0" w:color="auto"/>
        <w:bottom w:val="none" w:sz="0" w:space="0" w:color="auto"/>
        <w:right w:val="none" w:sz="0" w:space="0" w:color="auto"/>
      </w:divBdr>
    </w:div>
    <w:div w:id="1301766597">
      <w:bodyDiv w:val="1"/>
      <w:marLeft w:val="0"/>
      <w:marRight w:val="0"/>
      <w:marTop w:val="0"/>
      <w:marBottom w:val="0"/>
      <w:divBdr>
        <w:top w:val="none" w:sz="0" w:space="0" w:color="auto"/>
        <w:left w:val="none" w:sz="0" w:space="0" w:color="auto"/>
        <w:bottom w:val="none" w:sz="0" w:space="0" w:color="auto"/>
        <w:right w:val="none" w:sz="0" w:space="0" w:color="auto"/>
      </w:divBdr>
    </w:div>
    <w:div w:id="1315716223">
      <w:bodyDiv w:val="1"/>
      <w:marLeft w:val="0"/>
      <w:marRight w:val="0"/>
      <w:marTop w:val="0"/>
      <w:marBottom w:val="0"/>
      <w:divBdr>
        <w:top w:val="none" w:sz="0" w:space="0" w:color="auto"/>
        <w:left w:val="none" w:sz="0" w:space="0" w:color="auto"/>
        <w:bottom w:val="none" w:sz="0" w:space="0" w:color="auto"/>
        <w:right w:val="none" w:sz="0" w:space="0" w:color="auto"/>
      </w:divBdr>
    </w:div>
    <w:div w:id="1326402382">
      <w:bodyDiv w:val="1"/>
      <w:marLeft w:val="0"/>
      <w:marRight w:val="0"/>
      <w:marTop w:val="0"/>
      <w:marBottom w:val="0"/>
      <w:divBdr>
        <w:top w:val="none" w:sz="0" w:space="0" w:color="auto"/>
        <w:left w:val="none" w:sz="0" w:space="0" w:color="auto"/>
        <w:bottom w:val="none" w:sz="0" w:space="0" w:color="auto"/>
        <w:right w:val="none" w:sz="0" w:space="0" w:color="auto"/>
      </w:divBdr>
    </w:div>
    <w:div w:id="1341009711">
      <w:bodyDiv w:val="1"/>
      <w:marLeft w:val="0"/>
      <w:marRight w:val="0"/>
      <w:marTop w:val="0"/>
      <w:marBottom w:val="0"/>
      <w:divBdr>
        <w:top w:val="none" w:sz="0" w:space="0" w:color="auto"/>
        <w:left w:val="none" w:sz="0" w:space="0" w:color="auto"/>
        <w:bottom w:val="none" w:sz="0" w:space="0" w:color="auto"/>
        <w:right w:val="none" w:sz="0" w:space="0" w:color="auto"/>
      </w:divBdr>
    </w:div>
    <w:div w:id="1351299661">
      <w:bodyDiv w:val="1"/>
      <w:marLeft w:val="0"/>
      <w:marRight w:val="0"/>
      <w:marTop w:val="0"/>
      <w:marBottom w:val="0"/>
      <w:divBdr>
        <w:top w:val="none" w:sz="0" w:space="0" w:color="auto"/>
        <w:left w:val="none" w:sz="0" w:space="0" w:color="auto"/>
        <w:bottom w:val="none" w:sz="0" w:space="0" w:color="auto"/>
        <w:right w:val="none" w:sz="0" w:space="0" w:color="auto"/>
      </w:divBdr>
    </w:div>
    <w:div w:id="1351956792">
      <w:bodyDiv w:val="1"/>
      <w:marLeft w:val="0"/>
      <w:marRight w:val="0"/>
      <w:marTop w:val="0"/>
      <w:marBottom w:val="0"/>
      <w:divBdr>
        <w:top w:val="none" w:sz="0" w:space="0" w:color="auto"/>
        <w:left w:val="none" w:sz="0" w:space="0" w:color="auto"/>
        <w:bottom w:val="none" w:sz="0" w:space="0" w:color="auto"/>
        <w:right w:val="none" w:sz="0" w:space="0" w:color="auto"/>
      </w:divBdr>
    </w:div>
    <w:div w:id="1355420514">
      <w:bodyDiv w:val="1"/>
      <w:marLeft w:val="0"/>
      <w:marRight w:val="0"/>
      <w:marTop w:val="0"/>
      <w:marBottom w:val="0"/>
      <w:divBdr>
        <w:top w:val="none" w:sz="0" w:space="0" w:color="auto"/>
        <w:left w:val="none" w:sz="0" w:space="0" w:color="auto"/>
        <w:bottom w:val="none" w:sz="0" w:space="0" w:color="auto"/>
        <w:right w:val="none" w:sz="0" w:space="0" w:color="auto"/>
      </w:divBdr>
    </w:div>
    <w:div w:id="1372459613">
      <w:bodyDiv w:val="1"/>
      <w:marLeft w:val="0"/>
      <w:marRight w:val="0"/>
      <w:marTop w:val="0"/>
      <w:marBottom w:val="0"/>
      <w:divBdr>
        <w:top w:val="none" w:sz="0" w:space="0" w:color="auto"/>
        <w:left w:val="none" w:sz="0" w:space="0" w:color="auto"/>
        <w:bottom w:val="none" w:sz="0" w:space="0" w:color="auto"/>
        <w:right w:val="none" w:sz="0" w:space="0" w:color="auto"/>
      </w:divBdr>
    </w:div>
    <w:div w:id="1395546320">
      <w:bodyDiv w:val="1"/>
      <w:marLeft w:val="0"/>
      <w:marRight w:val="0"/>
      <w:marTop w:val="0"/>
      <w:marBottom w:val="0"/>
      <w:divBdr>
        <w:top w:val="none" w:sz="0" w:space="0" w:color="auto"/>
        <w:left w:val="none" w:sz="0" w:space="0" w:color="auto"/>
        <w:bottom w:val="none" w:sz="0" w:space="0" w:color="auto"/>
        <w:right w:val="none" w:sz="0" w:space="0" w:color="auto"/>
      </w:divBdr>
    </w:div>
    <w:div w:id="1399859439">
      <w:bodyDiv w:val="1"/>
      <w:marLeft w:val="0"/>
      <w:marRight w:val="0"/>
      <w:marTop w:val="0"/>
      <w:marBottom w:val="0"/>
      <w:divBdr>
        <w:top w:val="none" w:sz="0" w:space="0" w:color="auto"/>
        <w:left w:val="none" w:sz="0" w:space="0" w:color="auto"/>
        <w:bottom w:val="none" w:sz="0" w:space="0" w:color="auto"/>
        <w:right w:val="none" w:sz="0" w:space="0" w:color="auto"/>
      </w:divBdr>
    </w:div>
    <w:div w:id="1401951675">
      <w:bodyDiv w:val="1"/>
      <w:marLeft w:val="0"/>
      <w:marRight w:val="0"/>
      <w:marTop w:val="0"/>
      <w:marBottom w:val="0"/>
      <w:divBdr>
        <w:top w:val="none" w:sz="0" w:space="0" w:color="auto"/>
        <w:left w:val="none" w:sz="0" w:space="0" w:color="auto"/>
        <w:bottom w:val="none" w:sz="0" w:space="0" w:color="auto"/>
        <w:right w:val="none" w:sz="0" w:space="0" w:color="auto"/>
      </w:divBdr>
    </w:div>
    <w:div w:id="1402171984">
      <w:bodyDiv w:val="1"/>
      <w:marLeft w:val="0"/>
      <w:marRight w:val="0"/>
      <w:marTop w:val="0"/>
      <w:marBottom w:val="0"/>
      <w:divBdr>
        <w:top w:val="none" w:sz="0" w:space="0" w:color="auto"/>
        <w:left w:val="none" w:sz="0" w:space="0" w:color="auto"/>
        <w:bottom w:val="none" w:sz="0" w:space="0" w:color="auto"/>
        <w:right w:val="none" w:sz="0" w:space="0" w:color="auto"/>
      </w:divBdr>
    </w:div>
    <w:div w:id="1406412041">
      <w:bodyDiv w:val="1"/>
      <w:marLeft w:val="0"/>
      <w:marRight w:val="0"/>
      <w:marTop w:val="0"/>
      <w:marBottom w:val="0"/>
      <w:divBdr>
        <w:top w:val="none" w:sz="0" w:space="0" w:color="auto"/>
        <w:left w:val="none" w:sz="0" w:space="0" w:color="auto"/>
        <w:bottom w:val="none" w:sz="0" w:space="0" w:color="auto"/>
        <w:right w:val="none" w:sz="0" w:space="0" w:color="auto"/>
      </w:divBdr>
    </w:div>
    <w:div w:id="1407264686">
      <w:bodyDiv w:val="1"/>
      <w:marLeft w:val="0"/>
      <w:marRight w:val="0"/>
      <w:marTop w:val="0"/>
      <w:marBottom w:val="0"/>
      <w:divBdr>
        <w:top w:val="none" w:sz="0" w:space="0" w:color="auto"/>
        <w:left w:val="none" w:sz="0" w:space="0" w:color="auto"/>
        <w:bottom w:val="none" w:sz="0" w:space="0" w:color="auto"/>
        <w:right w:val="none" w:sz="0" w:space="0" w:color="auto"/>
      </w:divBdr>
    </w:div>
    <w:div w:id="1411000272">
      <w:bodyDiv w:val="1"/>
      <w:marLeft w:val="0"/>
      <w:marRight w:val="0"/>
      <w:marTop w:val="0"/>
      <w:marBottom w:val="0"/>
      <w:divBdr>
        <w:top w:val="none" w:sz="0" w:space="0" w:color="auto"/>
        <w:left w:val="none" w:sz="0" w:space="0" w:color="auto"/>
        <w:bottom w:val="none" w:sz="0" w:space="0" w:color="auto"/>
        <w:right w:val="none" w:sz="0" w:space="0" w:color="auto"/>
      </w:divBdr>
    </w:div>
    <w:div w:id="1420520294">
      <w:bodyDiv w:val="1"/>
      <w:marLeft w:val="0"/>
      <w:marRight w:val="0"/>
      <w:marTop w:val="0"/>
      <w:marBottom w:val="0"/>
      <w:divBdr>
        <w:top w:val="none" w:sz="0" w:space="0" w:color="auto"/>
        <w:left w:val="none" w:sz="0" w:space="0" w:color="auto"/>
        <w:bottom w:val="none" w:sz="0" w:space="0" w:color="auto"/>
        <w:right w:val="none" w:sz="0" w:space="0" w:color="auto"/>
      </w:divBdr>
    </w:div>
    <w:div w:id="1422680121">
      <w:bodyDiv w:val="1"/>
      <w:marLeft w:val="0"/>
      <w:marRight w:val="0"/>
      <w:marTop w:val="0"/>
      <w:marBottom w:val="0"/>
      <w:divBdr>
        <w:top w:val="none" w:sz="0" w:space="0" w:color="auto"/>
        <w:left w:val="none" w:sz="0" w:space="0" w:color="auto"/>
        <w:bottom w:val="none" w:sz="0" w:space="0" w:color="auto"/>
        <w:right w:val="none" w:sz="0" w:space="0" w:color="auto"/>
      </w:divBdr>
    </w:div>
    <w:div w:id="1423331539">
      <w:bodyDiv w:val="1"/>
      <w:marLeft w:val="0"/>
      <w:marRight w:val="0"/>
      <w:marTop w:val="0"/>
      <w:marBottom w:val="0"/>
      <w:divBdr>
        <w:top w:val="none" w:sz="0" w:space="0" w:color="auto"/>
        <w:left w:val="none" w:sz="0" w:space="0" w:color="auto"/>
        <w:bottom w:val="none" w:sz="0" w:space="0" w:color="auto"/>
        <w:right w:val="none" w:sz="0" w:space="0" w:color="auto"/>
      </w:divBdr>
    </w:div>
    <w:div w:id="1438138428">
      <w:bodyDiv w:val="1"/>
      <w:marLeft w:val="0"/>
      <w:marRight w:val="0"/>
      <w:marTop w:val="0"/>
      <w:marBottom w:val="0"/>
      <w:divBdr>
        <w:top w:val="none" w:sz="0" w:space="0" w:color="auto"/>
        <w:left w:val="none" w:sz="0" w:space="0" w:color="auto"/>
        <w:bottom w:val="none" w:sz="0" w:space="0" w:color="auto"/>
        <w:right w:val="none" w:sz="0" w:space="0" w:color="auto"/>
      </w:divBdr>
    </w:div>
    <w:div w:id="1442188053">
      <w:bodyDiv w:val="1"/>
      <w:marLeft w:val="0"/>
      <w:marRight w:val="0"/>
      <w:marTop w:val="0"/>
      <w:marBottom w:val="0"/>
      <w:divBdr>
        <w:top w:val="none" w:sz="0" w:space="0" w:color="auto"/>
        <w:left w:val="none" w:sz="0" w:space="0" w:color="auto"/>
        <w:bottom w:val="none" w:sz="0" w:space="0" w:color="auto"/>
        <w:right w:val="none" w:sz="0" w:space="0" w:color="auto"/>
      </w:divBdr>
    </w:div>
    <w:div w:id="1447310902">
      <w:bodyDiv w:val="1"/>
      <w:marLeft w:val="0"/>
      <w:marRight w:val="0"/>
      <w:marTop w:val="0"/>
      <w:marBottom w:val="0"/>
      <w:divBdr>
        <w:top w:val="none" w:sz="0" w:space="0" w:color="auto"/>
        <w:left w:val="none" w:sz="0" w:space="0" w:color="auto"/>
        <w:bottom w:val="none" w:sz="0" w:space="0" w:color="auto"/>
        <w:right w:val="none" w:sz="0" w:space="0" w:color="auto"/>
      </w:divBdr>
    </w:div>
    <w:div w:id="1480927437">
      <w:bodyDiv w:val="1"/>
      <w:marLeft w:val="0"/>
      <w:marRight w:val="0"/>
      <w:marTop w:val="0"/>
      <w:marBottom w:val="0"/>
      <w:divBdr>
        <w:top w:val="none" w:sz="0" w:space="0" w:color="auto"/>
        <w:left w:val="none" w:sz="0" w:space="0" w:color="auto"/>
        <w:bottom w:val="none" w:sz="0" w:space="0" w:color="auto"/>
        <w:right w:val="none" w:sz="0" w:space="0" w:color="auto"/>
      </w:divBdr>
    </w:div>
    <w:div w:id="1486816494">
      <w:bodyDiv w:val="1"/>
      <w:marLeft w:val="0"/>
      <w:marRight w:val="0"/>
      <w:marTop w:val="0"/>
      <w:marBottom w:val="0"/>
      <w:divBdr>
        <w:top w:val="none" w:sz="0" w:space="0" w:color="auto"/>
        <w:left w:val="none" w:sz="0" w:space="0" w:color="auto"/>
        <w:bottom w:val="none" w:sz="0" w:space="0" w:color="auto"/>
        <w:right w:val="none" w:sz="0" w:space="0" w:color="auto"/>
      </w:divBdr>
    </w:div>
    <w:div w:id="1488666626">
      <w:bodyDiv w:val="1"/>
      <w:marLeft w:val="0"/>
      <w:marRight w:val="0"/>
      <w:marTop w:val="0"/>
      <w:marBottom w:val="0"/>
      <w:divBdr>
        <w:top w:val="none" w:sz="0" w:space="0" w:color="auto"/>
        <w:left w:val="none" w:sz="0" w:space="0" w:color="auto"/>
        <w:bottom w:val="none" w:sz="0" w:space="0" w:color="auto"/>
        <w:right w:val="none" w:sz="0" w:space="0" w:color="auto"/>
      </w:divBdr>
    </w:div>
    <w:div w:id="1505779385">
      <w:bodyDiv w:val="1"/>
      <w:marLeft w:val="0"/>
      <w:marRight w:val="0"/>
      <w:marTop w:val="0"/>
      <w:marBottom w:val="0"/>
      <w:divBdr>
        <w:top w:val="none" w:sz="0" w:space="0" w:color="auto"/>
        <w:left w:val="none" w:sz="0" w:space="0" w:color="auto"/>
        <w:bottom w:val="none" w:sz="0" w:space="0" w:color="auto"/>
        <w:right w:val="none" w:sz="0" w:space="0" w:color="auto"/>
      </w:divBdr>
    </w:div>
    <w:div w:id="1506624556">
      <w:bodyDiv w:val="1"/>
      <w:marLeft w:val="0"/>
      <w:marRight w:val="0"/>
      <w:marTop w:val="0"/>
      <w:marBottom w:val="0"/>
      <w:divBdr>
        <w:top w:val="none" w:sz="0" w:space="0" w:color="auto"/>
        <w:left w:val="none" w:sz="0" w:space="0" w:color="auto"/>
        <w:bottom w:val="none" w:sz="0" w:space="0" w:color="auto"/>
        <w:right w:val="none" w:sz="0" w:space="0" w:color="auto"/>
      </w:divBdr>
    </w:div>
    <w:div w:id="1519731182">
      <w:bodyDiv w:val="1"/>
      <w:marLeft w:val="0"/>
      <w:marRight w:val="0"/>
      <w:marTop w:val="0"/>
      <w:marBottom w:val="0"/>
      <w:divBdr>
        <w:top w:val="none" w:sz="0" w:space="0" w:color="auto"/>
        <w:left w:val="none" w:sz="0" w:space="0" w:color="auto"/>
        <w:bottom w:val="none" w:sz="0" w:space="0" w:color="auto"/>
        <w:right w:val="none" w:sz="0" w:space="0" w:color="auto"/>
      </w:divBdr>
    </w:div>
    <w:div w:id="1527912947">
      <w:bodyDiv w:val="1"/>
      <w:marLeft w:val="0"/>
      <w:marRight w:val="0"/>
      <w:marTop w:val="0"/>
      <w:marBottom w:val="0"/>
      <w:divBdr>
        <w:top w:val="none" w:sz="0" w:space="0" w:color="auto"/>
        <w:left w:val="none" w:sz="0" w:space="0" w:color="auto"/>
        <w:bottom w:val="none" w:sz="0" w:space="0" w:color="auto"/>
        <w:right w:val="none" w:sz="0" w:space="0" w:color="auto"/>
      </w:divBdr>
    </w:div>
    <w:div w:id="1529875168">
      <w:bodyDiv w:val="1"/>
      <w:marLeft w:val="0"/>
      <w:marRight w:val="0"/>
      <w:marTop w:val="0"/>
      <w:marBottom w:val="0"/>
      <w:divBdr>
        <w:top w:val="none" w:sz="0" w:space="0" w:color="auto"/>
        <w:left w:val="none" w:sz="0" w:space="0" w:color="auto"/>
        <w:bottom w:val="none" w:sz="0" w:space="0" w:color="auto"/>
        <w:right w:val="none" w:sz="0" w:space="0" w:color="auto"/>
      </w:divBdr>
    </w:div>
    <w:div w:id="1573197254">
      <w:bodyDiv w:val="1"/>
      <w:marLeft w:val="0"/>
      <w:marRight w:val="0"/>
      <w:marTop w:val="0"/>
      <w:marBottom w:val="0"/>
      <w:divBdr>
        <w:top w:val="none" w:sz="0" w:space="0" w:color="auto"/>
        <w:left w:val="none" w:sz="0" w:space="0" w:color="auto"/>
        <w:bottom w:val="none" w:sz="0" w:space="0" w:color="auto"/>
        <w:right w:val="none" w:sz="0" w:space="0" w:color="auto"/>
      </w:divBdr>
    </w:div>
    <w:div w:id="1578633749">
      <w:bodyDiv w:val="1"/>
      <w:marLeft w:val="0"/>
      <w:marRight w:val="0"/>
      <w:marTop w:val="0"/>
      <w:marBottom w:val="0"/>
      <w:divBdr>
        <w:top w:val="none" w:sz="0" w:space="0" w:color="auto"/>
        <w:left w:val="none" w:sz="0" w:space="0" w:color="auto"/>
        <w:bottom w:val="none" w:sz="0" w:space="0" w:color="auto"/>
        <w:right w:val="none" w:sz="0" w:space="0" w:color="auto"/>
      </w:divBdr>
    </w:div>
    <w:div w:id="1586259411">
      <w:bodyDiv w:val="1"/>
      <w:marLeft w:val="0"/>
      <w:marRight w:val="0"/>
      <w:marTop w:val="0"/>
      <w:marBottom w:val="0"/>
      <w:divBdr>
        <w:top w:val="none" w:sz="0" w:space="0" w:color="auto"/>
        <w:left w:val="none" w:sz="0" w:space="0" w:color="auto"/>
        <w:bottom w:val="none" w:sz="0" w:space="0" w:color="auto"/>
        <w:right w:val="none" w:sz="0" w:space="0" w:color="auto"/>
      </w:divBdr>
    </w:div>
    <w:div w:id="1587227602">
      <w:bodyDiv w:val="1"/>
      <w:marLeft w:val="0"/>
      <w:marRight w:val="0"/>
      <w:marTop w:val="0"/>
      <w:marBottom w:val="0"/>
      <w:divBdr>
        <w:top w:val="none" w:sz="0" w:space="0" w:color="auto"/>
        <w:left w:val="none" w:sz="0" w:space="0" w:color="auto"/>
        <w:bottom w:val="none" w:sz="0" w:space="0" w:color="auto"/>
        <w:right w:val="none" w:sz="0" w:space="0" w:color="auto"/>
      </w:divBdr>
    </w:div>
    <w:div w:id="1591115274">
      <w:bodyDiv w:val="1"/>
      <w:marLeft w:val="0"/>
      <w:marRight w:val="0"/>
      <w:marTop w:val="0"/>
      <w:marBottom w:val="0"/>
      <w:divBdr>
        <w:top w:val="none" w:sz="0" w:space="0" w:color="auto"/>
        <w:left w:val="none" w:sz="0" w:space="0" w:color="auto"/>
        <w:bottom w:val="none" w:sz="0" w:space="0" w:color="auto"/>
        <w:right w:val="none" w:sz="0" w:space="0" w:color="auto"/>
      </w:divBdr>
    </w:div>
    <w:div w:id="1596665835">
      <w:bodyDiv w:val="1"/>
      <w:marLeft w:val="0"/>
      <w:marRight w:val="0"/>
      <w:marTop w:val="0"/>
      <w:marBottom w:val="0"/>
      <w:divBdr>
        <w:top w:val="none" w:sz="0" w:space="0" w:color="auto"/>
        <w:left w:val="none" w:sz="0" w:space="0" w:color="auto"/>
        <w:bottom w:val="none" w:sz="0" w:space="0" w:color="auto"/>
        <w:right w:val="none" w:sz="0" w:space="0" w:color="auto"/>
      </w:divBdr>
    </w:div>
    <w:div w:id="1611276891">
      <w:bodyDiv w:val="1"/>
      <w:marLeft w:val="0"/>
      <w:marRight w:val="0"/>
      <w:marTop w:val="0"/>
      <w:marBottom w:val="0"/>
      <w:divBdr>
        <w:top w:val="none" w:sz="0" w:space="0" w:color="auto"/>
        <w:left w:val="none" w:sz="0" w:space="0" w:color="auto"/>
        <w:bottom w:val="none" w:sz="0" w:space="0" w:color="auto"/>
        <w:right w:val="none" w:sz="0" w:space="0" w:color="auto"/>
      </w:divBdr>
    </w:div>
    <w:div w:id="1616061704">
      <w:bodyDiv w:val="1"/>
      <w:marLeft w:val="0"/>
      <w:marRight w:val="0"/>
      <w:marTop w:val="0"/>
      <w:marBottom w:val="0"/>
      <w:divBdr>
        <w:top w:val="none" w:sz="0" w:space="0" w:color="auto"/>
        <w:left w:val="none" w:sz="0" w:space="0" w:color="auto"/>
        <w:bottom w:val="none" w:sz="0" w:space="0" w:color="auto"/>
        <w:right w:val="none" w:sz="0" w:space="0" w:color="auto"/>
      </w:divBdr>
    </w:div>
    <w:div w:id="1639451160">
      <w:bodyDiv w:val="1"/>
      <w:marLeft w:val="0"/>
      <w:marRight w:val="0"/>
      <w:marTop w:val="0"/>
      <w:marBottom w:val="0"/>
      <w:divBdr>
        <w:top w:val="none" w:sz="0" w:space="0" w:color="auto"/>
        <w:left w:val="none" w:sz="0" w:space="0" w:color="auto"/>
        <w:bottom w:val="none" w:sz="0" w:space="0" w:color="auto"/>
        <w:right w:val="none" w:sz="0" w:space="0" w:color="auto"/>
      </w:divBdr>
    </w:div>
    <w:div w:id="1650749735">
      <w:bodyDiv w:val="1"/>
      <w:marLeft w:val="0"/>
      <w:marRight w:val="0"/>
      <w:marTop w:val="0"/>
      <w:marBottom w:val="0"/>
      <w:divBdr>
        <w:top w:val="none" w:sz="0" w:space="0" w:color="auto"/>
        <w:left w:val="none" w:sz="0" w:space="0" w:color="auto"/>
        <w:bottom w:val="none" w:sz="0" w:space="0" w:color="auto"/>
        <w:right w:val="none" w:sz="0" w:space="0" w:color="auto"/>
      </w:divBdr>
    </w:div>
    <w:div w:id="1680351279">
      <w:bodyDiv w:val="1"/>
      <w:marLeft w:val="0"/>
      <w:marRight w:val="0"/>
      <w:marTop w:val="0"/>
      <w:marBottom w:val="0"/>
      <w:divBdr>
        <w:top w:val="none" w:sz="0" w:space="0" w:color="auto"/>
        <w:left w:val="none" w:sz="0" w:space="0" w:color="auto"/>
        <w:bottom w:val="none" w:sz="0" w:space="0" w:color="auto"/>
        <w:right w:val="none" w:sz="0" w:space="0" w:color="auto"/>
      </w:divBdr>
    </w:div>
    <w:div w:id="1710836195">
      <w:bodyDiv w:val="1"/>
      <w:marLeft w:val="0"/>
      <w:marRight w:val="0"/>
      <w:marTop w:val="0"/>
      <w:marBottom w:val="0"/>
      <w:divBdr>
        <w:top w:val="none" w:sz="0" w:space="0" w:color="auto"/>
        <w:left w:val="none" w:sz="0" w:space="0" w:color="auto"/>
        <w:bottom w:val="none" w:sz="0" w:space="0" w:color="auto"/>
        <w:right w:val="none" w:sz="0" w:space="0" w:color="auto"/>
      </w:divBdr>
    </w:div>
    <w:div w:id="1732845893">
      <w:bodyDiv w:val="1"/>
      <w:marLeft w:val="0"/>
      <w:marRight w:val="0"/>
      <w:marTop w:val="0"/>
      <w:marBottom w:val="0"/>
      <w:divBdr>
        <w:top w:val="none" w:sz="0" w:space="0" w:color="auto"/>
        <w:left w:val="none" w:sz="0" w:space="0" w:color="auto"/>
        <w:bottom w:val="none" w:sz="0" w:space="0" w:color="auto"/>
        <w:right w:val="none" w:sz="0" w:space="0" w:color="auto"/>
      </w:divBdr>
    </w:div>
    <w:div w:id="1767725575">
      <w:bodyDiv w:val="1"/>
      <w:marLeft w:val="0"/>
      <w:marRight w:val="0"/>
      <w:marTop w:val="0"/>
      <w:marBottom w:val="0"/>
      <w:divBdr>
        <w:top w:val="none" w:sz="0" w:space="0" w:color="auto"/>
        <w:left w:val="none" w:sz="0" w:space="0" w:color="auto"/>
        <w:bottom w:val="none" w:sz="0" w:space="0" w:color="auto"/>
        <w:right w:val="none" w:sz="0" w:space="0" w:color="auto"/>
      </w:divBdr>
    </w:div>
    <w:div w:id="1771050653">
      <w:bodyDiv w:val="1"/>
      <w:marLeft w:val="0"/>
      <w:marRight w:val="0"/>
      <w:marTop w:val="0"/>
      <w:marBottom w:val="0"/>
      <w:divBdr>
        <w:top w:val="none" w:sz="0" w:space="0" w:color="auto"/>
        <w:left w:val="none" w:sz="0" w:space="0" w:color="auto"/>
        <w:bottom w:val="none" w:sz="0" w:space="0" w:color="auto"/>
        <w:right w:val="none" w:sz="0" w:space="0" w:color="auto"/>
      </w:divBdr>
    </w:div>
    <w:div w:id="1772161675">
      <w:bodyDiv w:val="1"/>
      <w:marLeft w:val="0"/>
      <w:marRight w:val="0"/>
      <w:marTop w:val="0"/>
      <w:marBottom w:val="0"/>
      <w:divBdr>
        <w:top w:val="none" w:sz="0" w:space="0" w:color="auto"/>
        <w:left w:val="none" w:sz="0" w:space="0" w:color="auto"/>
        <w:bottom w:val="none" w:sz="0" w:space="0" w:color="auto"/>
        <w:right w:val="none" w:sz="0" w:space="0" w:color="auto"/>
      </w:divBdr>
    </w:div>
    <w:div w:id="1813792991">
      <w:bodyDiv w:val="1"/>
      <w:marLeft w:val="0"/>
      <w:marRight w:val="0"/>
      <w:marTop w:val="0"/>
      <w:marBottom w:val="0"/>
      <w:divBdr>
        <w:top w:val="none" w:sz="0" w:space="0" w:color="auto"/>
        <w:left w:val="none" w:sz="0" w:space="0" w:color="auto"/>
        <w:bottom w:val="none" w:sz="0" w:space="0" w:color="auto"/>
        <w:right w:val="none" w:sz="0" w:space="0" w:color="auto"/>
      </w:divBdr>
    </w:div>
    <w:div w:id="1832790439">
      <w:bodyDiv w:val="1"/>
      <w:marLeft w:val="0"/>
      <w:marRight w:val="0"/>
      <w:marTop w:val="0"/>
      <w:marBottom w:val="0"/>
      <w:divBdr>
        <w:top w:val="none" w:sz="0" w:space="0" w:color="auto"/>
        <w:left w:val="none" w:sz="0" w:space="0" w:color="auto"/>
        <w:bottom w:val="none" w:sz="0" w:space="0" w:color="auto"/>
        <w:right w:val="none" w:sz="0" w:space="0" w:color="auto"/>
      </w:divBdr>
    </w:div>
    <w:div w:id="1838766816">
      <w:bodyDiv w:val="1"/>
      <w:marLeft w:val="0"/>
      <w:marRight w:val="0"/>
      <w:marTop w:val="0"/>
      <w:marBottom w:val="0"/>
      <w:divBdr>
        <w:top w:val="none" w:sz="0" w:space="0" w:color="auto"/>
        <w:left w:val="none" w:sz="0" w:space="0" w:color="auto"/>
        <w:bottom w:val="none" w:sz="0" w:space="0" w:color="auto"/>
        <w:right w:val="none" w:sz="0" w:space="0" w:color="auto"/>
      </w:divBdr>
    </w:div>
    <w:div w:id="1856382469">
      <w:bodyDiv w:val="1"/>
      <w:marLeft w:val="0"/>
      <w:marRight w:val="0"/>
      <w:marTop w:val="0"/>
      <w:marBottom w:val="0"/>
      <w:divBdr>
        <w:top w:val="none" w:sz="0" w:space="0" w:color="auto"/>
        <w:left w:val="none" w:sz="0" w:space="0" w:color="auto"/>
        <w:bottom w:val="none" w:sz="0" w:space="0" w:color="auto"/>
        <w:right w:val="none" w:sz="0" w:space="0" w:color="auto"/>
      </w:divBdr>
    </w:div>
    <w:div w:id="1856384450">
      <w:bodyDiv w:val="1"/>
      <w:marLeft w:val="0"/>
      <w:marRight w:val="0"/>
      <w:marTop w:val="0"/>
      <w:marBottom w:val="0"/>
      <w:divBdr>
        <w:top w:val="none" w:sz="0" w:space="0" w:color="auto"/>
        <w:left w:val="none" w:sz="0" w:space="0" w:color="auto"/>
        <w:bottom w:val="none" w:sz="0" w:space="0" w:color="auto"/>
        <w:right w:val="none" w:sz="0" w:space="0" w:color="auto"/>
      </w:divBdr>
    </w:div>
    <w:div w:id="1861237860">
      <w:bodyDiv w:val="1"/>
      <w:marLeft w:val="0"/>
      <w:marRight w:val="0"/>
      <w:marTop w:val="0"/>
      <w:marBottom w:val="0"/>
      <w:divBdr>
        <w:top w:val="none" w:sz="0" w:space="0" w:color="auto"/>
        <w:left w:val="none" w:sz="0" w:space="0" w:color="auto"/>
        <w:bottom w:val="none" w:sz="0" w:space="0" w:color="auto"/>
        <w:right w:val="none" w:sz="0" w:space="0" w:color="auto"/>
      </w:divBdr>
    </w:div>
    <w:div w:id="1870953862">
      <w:bodyDiv w:val="1"/>
      <w:marLeft w:val="0"/>
      <w:marRight w:val="0"/>
      <w:marTop w:val="0"/>
      <w:marBottom w:val="0"/>
      <w:divBdr>
        <w:top w:val="none" w:sz="0" w:space="0" w:color="auto"/>
        <w:left w:val="none" w:sz="0" w:space="0" w:color="auto"/>
        <w:bottom w:val="none" w:sz="0" w:space="0" w:color="auto"/>
        <w:right w:val="none" w:sz="0" w:space="0" w:color="auto"/>
      </w:divBdr>
    </w:div>
    <w:div w:id="1880236218">
      <w:bodyDiv w:val="1"/>
      <w:marLeft w:val="0"/>
      <w:marRight w:val="0"/>
      <w:marTop w:val="0"/>
      <w:marBottom w:val="0"/>
      <w:divBdr>
        <w:top w:val="none" w:sz="0" w:space="0" w:color="auto"/>
        <w:left w:val="none" w:sz="0" w:space="0" w:color="auto"/>
        <w:bottom w:val="none" w:sz="0" w:space="0" w:color="auto"/>
        <w:right w:val="none" w:sz="0" w:space="0" w:color="auto"/>
      </w:divBdr>
    </w:div>
    <w:div w:id="1887571377">
      <w:bodyDiv w:val="1"/>
      <w:marLeft w:val="0"/>
      <w:marRight w:val="0"/>
      <w:marTop w:val="0"/>
      <w:marBottom w:val="0"/>
      <w:divBdr>
        <w:top w:val="none" w:sz="0" w:space="0" w:color="auto"/>
        <w:left w:val="none" w:sz="0" w:space="0" w:color="auto"/>
        <w:bottom w:val="none" w:sz="0" w:space="0" w:color="auto"/>
        <w:right w:val="none" w:sz="0" w:space="0" w:color="auto"/>
      </w:divBdr>
    </w:div>
    <w:div w:id="1902058504">
      <w:bodyDiv w:val="1"/>
      <w:marLeft w:val="0"/>
      <w:marRight w:val="0"/>
      <w:marTop w:val="0"/>
      <w:marBottom w:val="0"/>
      <w:divBdr>
        <w:top w:val="none" w:sz="0" w:space="0" w:color="auto"/>
        <w:left w:val="none" w:sz="0" w:space="0" w:color="auto"/>
        <w:bottom w:val="none" w:sz="0" w:space="0" w:color="auto"/>
        <w:right w:val="none" w:sz="0" w:space="0" w:color="auto"/>
      </w:divBdr>
    </w:div>
    <w:div w:id="1933316835">
      <w:bodyDiv w:val="1"/>
      <w:marLeft w:val="0"/>
      <w:marRight w:val="0"/>
      <w:marTop w:val="0"/>
      <w:marBottom w:val="0"/>
      <w:divBdr>
        <w:top w:val="none" w:sz="0" w:space="0" w:color="auto"/>
        <w:left w:val="none" w:sz="0" w:space="0" w:color="auto"/>
        <w:bottom w:val="none" w:sz="0" w:space="0" w:color="auto"/>
        <w:right w:val="none" w:sz="0" w:space="0" w:color="auto"/>
      </w:divBdr>
    </w:div>
    <w:div w:id="1934242026">
      <w:bodyDiv w:val="1"/>
      <w:marLeft w:val="0"/>
      <w:marRight w:val="0"/>
      <w:marTop w:val="0"/>
      <w:marBottom w:val="0"/>
      <w:divBdr>
        <w:top w:val="none" w:sz="0" w:space="0" w:color="auto"/>
        <w:left w:val="none" w:sz="0" w:space="0" w:color="auto"/>
        <w:bottom w:val="none" w:sz="0" w:space="0" w:color="auto"/>
        <w:right w:val="none" w:sz="0" w:space="0" w:color="auto"/>
      </w:divBdr>
    </w:div>
    <w:div w:id="1942684822">
      <w:bodyDiv w:val="1"/>
      <w:marLeft w:val="0"/>
      <w:marRight w:val="0"/>
      <w:marTop w:val="0"/>
      <w:marBottom w:val="0"/>
      <w:divBdr>
        <w:top w:val="none" w:sz="0" w:space="0" w:color="auto"/>
        <w:left w:val="none" w:sz="0" w:space="0" w:color="auto"/>
        <w:bottom w:val="none" w:sz="0" w:space="0" w:color="auto"/>
        <w:right w:val="none" w:sz="0" w:space="0" w:color="auto"/>
      </w:divBdr>
    </w:div>
    <w:div w:id="1943955009">
      <w:bodyDiv w:val="1"/>
      <w:marLeft w:val="0"/>
      <w:marRight w:val="0"/>
      <w:marTop w:val="0"/>
      <w:marBottom w:val="0"/>
      <w:divBdr>
        <w:top w:val="none" w:sz="0" w:space="0" w:color="auto"/>
        <w:left w:val="none" w:sz="0" w:space="0" w:color="auto"/>
        <w:bottom w:val="none" w:sz="0" w:space="0" w:color="auto"/>
        <w:right w:val="none" w:sz="0" w:space="0" w:color="auto"/>
      </w:divBdr>
    </w:div>
    <w:div w:id="1975286447">
      <w:bodyDiv w:val="1"/>
      <w:marLeft w:val="0"/>
      <w:marRight w:val="0"/>
      <w:marTop w:val="0"/>
      <w:marBottom w:val="0"/>
      <w:divBdr>
        <w:top w:val="none" w:sz="0" w:space="0" w:color="auto"/>
        <w:left w:val="none" w:sz="0" w:space="0" w:color="auto"/>
        <w:bottom w:val="none" w:sz="0" w:space="0" w:color="auto"/>
        <w:right w:val="none" w:sz="0" w:space="0" w:color="auto"/>
      </w:divBdr>
    </w:div>
    <w:div w:id="1977637268">
      <w:bodyDiv w:val="1"/>
      <w:marLeft w:val="0"/>
      <w:marRight w:val="0"/>
      <w:marTop w:val="0"/>
      <w:marBottom w:val="0"/>
      <w:divBdr>
        <w:top w:val="none" w:sz="0" w:space="0" w:color="auto"/>
        <w:left w:val="none" w:sz="0" w:space="0" w:color="auto"/>
        <w:bottom w:val="none" w:sz="0" w:space="0" w:color="auto"/>
        <w:right w:val="none" w:sz="0" w:space="0" w:color="auto"/>
      </w:divBdr>
    </w:div>
    <w:div w:id="1990087876">
      <w:bodyDiv w:val="1"/>
      <w:marLeft w:val="0"/>
      <w:marRight w:val="0"/>
      <w:marTop w:val="0"/>
      <w:marBottom w:val="0"/>
      <w:divBdr>
        <w:top w:val="none" w:sz="0" w:space="0" w:color="auto"/>
        <w:left w:val="none" w:sz="0" w:space="0" w:color="auto"/>
        <w:bottom w:val="none" w:sz="0" w:space="0" w:color="auto"/>
        <w:right w:val="none" w:sz="0" w:space="0" w:color="auto"/>
      </w:divBdr>
    </w:div>
    <w:div w:id="1995915666">
      <w:bodyDiv w:val="1"/>
      <w:marLeft w:val="0"/>
      <w:marRight w:val="0"/>
      <w:marTop w:val="0"/>
      <w:marBottom w:val="0"/>
      <w:divBdr>
        <w:top w:val="none" w:sz="0" w:space="0" w:color="auto"/>
        <w:left w:val="none" w:sz="0" w:space="0" w:color="auto"/>
        <w:bottom w:val="none" w:sz="0" w:space="0" w:color="auto"/>
        <w:right w:val="none" w:sz="0" w:space="0" w:color="auto"/>
      </w:divBdr>
    </w:div>
    <w:div w:id="2010523188">
      <w:bodyDiv w:val="1"/>
      <w:marLeft w:val="0"/>
      <w:marRight w:val="0"/>
      <w:marTop w:val="0"/>
      <w:marBottom w:val="0"/>
      <w:divBdr>
        <w:top w:val="none" w:sz="0" w:space="0" w:color="auto"/>
        <w:left w:val="none" w:sz="0" w:space="0" w:color="auto"/>
        <w:bottom w:val="none" w:sz="0" w:space="0" w:color="auto"/>
        <w:right w:val="none" w:sz="0" w:space="0" w:color="auto"/>
      </w:divBdr>
    </w:div>
    <w:div w:id="2029985174">
      <w:bodyDiv w:val="1"/>
      <w:marLeft w:val="0"/>
      <w:marRight w:val="0"/>
      <w:marTop w:val="0"/>
      <w:marBottom w:val="0"/>
      <w:divBdr>
        <w:top w:val="none" w:sz="0" w:space="0" w:color="auto"/>
        <w:left w:val="none" w:sz="0" w:space="0" w:color="auto"/>
        <w:bottom w:val="none" w:sz="0" w:space="0" w:color="auto"/>
        <w:right w:val="none" w:sz="0" w:space="0" w:color="auto"/>
      </w:divBdr>
    </w:div>
    <w:div w:id="2037463076">
      <w:bodyDiv w:val="1"/>
      <w:marLeft w:val="0"/>
      <w:marRight w:val="0"/>
      <w:marTop w:val="0"/>
      <w:marBottom w:val="0"/>
      <w:divBdr>
        <w:top w:val="none" w:sz="0" w:space="0" w:color="auto"/>
        <w:left w:val="none" w:sz="0" w:space="0" w:color="auto"/>
        <w:bottom w:val="none" w:sz="0" w:space="0" w:color="auto"/>
        <w:right w:val="none" w:sz="0" w:space="0" w:color="auto"/>
      </w:divBdr>
    </w:div>
    <w:div w:id="2041470868">
      <w:bodyDiv w:val="1"/>
      <w:marLeft w:val="0"/>
      <w:marRight w:val="0"/>
      <w:marTop w:val="0"/>
      <w:marBottom w:val="0"/>
      <w:divBdr>
        <w:top w:val="none" w:sz="0" w:space="0" w:color="auto"/>
        <w:left w:val="none" w:sz="0" w:space="0" w:color="auto"/>
        <w:bottom w:val="none" w:sz="0" w:space="0" w:color="auto"/>
        <w:right w:val="none" w:sz="0" w:space="0" w:color="auto"/>
      </w:divBdr>
    </w:div>
    <w:div w:id="2043168898">
      <w:bodyDiv w:val="1"/>
      <w:marLeft w:val="0"/>
      <w:marRight w:val="0"/>
      <w:marTop w:val="0"/>
      <w:marBottom w:val="0"/>
      <w:divBdr>
        <w:top w:val="none" w:sz="0" w:space="0" w:color="auto"/>
        <w:left w:val="none" w:sz="0" w:space="0" w:color="auto"/>
        <w:bottom w:val="none" w:sz="0" w:space="0" w:color="auto"/>
        <w:right w:val="none" w:sz="0" w:space="0" w:color="auto"/>
      </w:divBdr>
    </w:div>
    <w:div w:id="2044398955">
      <w:bodyDiv w:val="1"/>
      <w:marLeft w:val="0"/>
      <w:marRight w:val="0"/>
      <w:marTop w:val="0"/>
      <w:marBottom w:val="0"/>
      <w:divBdr>
        <w:top w:val="none" w:sz="0" w:space="0" w:color="auto"/>
        <w:left w:val="none" w:sz="0" w:space="0" w:color="auto"/>
        <w:bottom w:val="none" w:sz="0" w:space="0" w:color="auto"/>
        <w:right w:val="none" w:sz="0" w:space="0" w:color="auto"/>
      </w:divBdr>
    </w:div>
    <w:div w:id="2065330734">
      <w:bodyDiv w:val="1"/>
      <w:marLeft w:val="0"/>
      <w:marRight w:val="0"/>
      <w:marTop w:val="0"/>
      <w:marBottom w:val="0"/>
      <w:divBdr>
        <w:top w:val="none" w:sz="0" w:space="0" w:color="auto"/>
        <w:left w:val="none" w:sz="0" w:space="0" w:color="auto"/>
        <w:bottom w:val="none" w:sz="0" w:space="0" w:color="auto"/>
        <w:right w:val="none" w:sz="0" w:space="0" w:color="auto"/>
      </w:divBdr>
    </w:div>
    <w:div w:id="2066028422">
      <w:bodyDiv w:val="1"/>
      <w:marLeft w:val="0"/>
      <w:marRight w:val="0"/>
      <w:marTop w:val="0"/>
      <w:marBottom w:val="0"/>
      <w:divBdr>
        <w:top w:val="none" w:sz="0" w:space="0" w:color="auto"/>
        <w:left w:val="none" w:sz="0" w:space="0" w:color="auto"/>
        <w:bottom w:val="none" w:sz="0" w:space="0" w:color="auto"/>
        <w:right w:val="none" w:sz="0" w:space="0" w:color="auto"/>
      </w:divBdr>
    </w:div>
    <w:div w:id="2072263491">
      <w:bodyDiv w:val="1"/>
      <w:marLeft w:val="0"/>
      <w:marRight w:val="0"/>
      <w:marTop w:val="0"/>
      <w:marBottom w:val="0"/>
      <w:divBdr>
        <w:top w:val="none" w:sz="0" w:space="0" w:color="auto"/>
        <w:left w:val="none" w:sz="0" w:space="0" w:color="auto"/>
        <w:bottom w:val="none" w:sz="0" w:space="0" w:color="auto"/>
        <w:right w:val="none" w:sz="0" w:space="0" w:color="auto"/>
      </w:divBdr>
    </w:div>
    <w:div w:id="2097900388">
      <w:bodyDiv w:val="1"/>
      <w:marLeft w:val="0"/>
      <w:marRight w:val="0"/>
      <w:marTop w:val="0"/>
      <w:marBottom w:val="0"/>
      <w:divBdr>
        <w:top w:val="none" w:sz="0" w:space="0" w:color="auto"/>
        <w:left w:val="none" w:sz="0" w:space="0" w:color="auto"/>
        <w:bottom w:val="none" w:sz="0" w:space="0" w:color="auto"/>
        <w:right w:val="none" w:sz="0" w:space="0" w:color="auto"/>
      </w:divBdr>
    </w:div>
    <w:div w:id="2103917016">
      <w:bodyDiv w:val="1"/>
      <w:marLeft w:val="0"/>
      <w:marRight w:val="0"/>
      <w:marTop w:val="0"/>
      <w:marBottom w:val="0"/>
      <w:divBdr>
        <w:top w:val="none" w:sz="0" w:space="0" w:color="auto"/>
        <w:left w:val="none" w:sz="0" w:space="0" w:color="auto"/>
        <w:bottom w:val="none" w:sz="0" w:space="0" w:color="auto"/>
        <w:right w:val="none" w:sz="0" w:space="0" w:color="auto"/>
      </w:divBdr>
    </w:div>
    <w:div w:id="2116360801">
      <w:bodyDiv w:val="1"/>
      <w:marLeft w:val="0"/>
      <w:marRight w:val="0"/>
      <w:marTop w:val="0"/>
      <w:marBottom w:val="0"/>
      <w:divBdr>
        <w:top w:val="none" w:sz="0" w:space="0" w:color="auto"/>
        <w:left w:val="none" w:sz="0" w:space="0" w:color="auto"/>
        <w:bottom w:val="none" w:sz="0" w:space="0" w:color="auto"/>
        <w:right w:val="none" w:sz="0" w:space="0" w:color="auto"/>
      </w:divBdr>
    </w:div>
    <w:div w:id="2116440680">
      <w:bodyDiv w:val="1"/>
      <w:marLeft w:val="0"/>
      <w:marRight w:val="0"/>
      <w:marTop w:val="0"/>
      <w:marBottom w:val="0"/>
      <w:divBdr>
        <w:top w:val="none" w:sz="0" w:space="0" w:color="auto"/>
        <w:left w:val="none" w:sz="0" w:space="0" w:color="auto"/>
        <w:bottom w:val="none" w:sz="0" w:space="0" w:color="auto"/>
        <w:right w:val="none" w:sz="0" w:space="0" w:color="auto"/>
      </w:divBdr>
    </w:div>
    <w:div w:id="2117363598">
      <w:bodyDiv w:val="1"/>
      <w:marLeft w:val="0"/>
      <w:marRight w:val="0"/>
      <w:marTop w:val="0"/>
      <w:marBottom w:val="0"/>
      <w:divBdr>
        <w:top w:val="none" w:sz="0" w:space="0" w:color="auto"/>
        <w:left w:val="none" w:sz="0" w:space="0" w:color="auto"/>
        <w:bottom w:val="none" w:sz="0" w:space="0" w:color="auto"/>
        <w:right w:val="none" w:sz="0" w:space="0" w:color="auto"/>
      </w:divBdr>
    </w:div>
    <w:div w:id="2120104046">
      <w:bodyDiv w:val="1"/>
      <w:marLeft w:val="0"/>
      <w:marRight w:val="0"/>
      <w:marTop w:val="0"/>
      <w:marBottom w:val="0"/>
      <w:divBdr>
        <w:top w:val="none" w:sz="0" w:space="0" w:color="auto"/>
        <w:left w:val="none" w:sz="0" w:space="0" w:color="auto"/>
        <w:bottom w:val="none" w:sz="0" w:space="0" w:color="auto"/>
        <w:right w:val="none" w:sz="0" w:space="0" w:color="auto"/>
      </w:divBdr>
    </w:div>
    <w:div w:id="21433852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Gra16</b:Tag>
    <b:SourceType>JournalArticle</b:SourceType>
    <b:Guid>{FD1A3667-03B1-4892-BE95-6FC31FD75710}</b:Guid>
    <b:Author>
      <b:Author>
        <b:NameList>
          <b:Person>
            <b:Last>Grande</b:Last>
            <b:First>I</b:First>
          </b:Person>
          <b:Person>
            <b:Last>Berk</b:Last>
            <b:First>M</b:First>
          </b:Person>
          <b:Person>
            <b:Last>Birmaher</b:Last>
            <b:First>B</b:First>
          </b:Person>
          <b:Person>
            <b:Last>Vieta</b:Last>
            <b:First>E</b:First>
          </b:Person>
        </b:NameList>
      </b:Author>
    </b:Author>
    <b:Title>Bipolar disorder.</b:Title>
    <b:JournalName>Lancet</b:JournalName>
    <b:Year>2016</b:Year>
    <b:Pages>1561–1572</b:Pages>
    <b:Volume>387</b:Volume>
    <b:Issue>10027</b:Issue>
    <b:Month>Apr</b:Month>
    <b:Day>9</b:Day>
    <b:DOI>10.1016/S0140-6736(15)00241-X</b:DOI>
    <b:RefOrder>1</b:RefOrder>
  </b:Source>
  <b:Source>
    <b:Tag>Vie18</b:Tag>
    <b:SourceType>JournalArticle</b:SourceType>
    <b:Guid>{1BAA7A53-9774-44B4-8723-AF253C89ADC5}</b:Guid>
    <b:Author>
      <b:Author>
        <b:NameList>
          <b:Person>
            <b:Last>Vieta</b:Last>
            <b:First>E</b:First>
          </b:Person>
          <b:Person>
            <b:Last>Berk</b:Last>
            <b:First>M</b:First>
          </b:Person>
          <b:Person>
            <b:Last>Schulze</b:Last>
            <b:First>TG</b:First>
          </b:Person>
          <b:Person>
            <b:Last>Carvalho</b:Last>
            <b:First>AF</b:First>
          </b:Person>
          <b:Person>
            <b:Last>Suppes</b:Last>
            <b:First>T</b:First>
          </b:Person>
          <b:Person>
            <b:Last>Calabrese</b:Last>
            <b:First>JR</b:First>
          </b:Person>
          <b:Person>
            <b:Last>al.</b:Last>
            <b:First>et</b:First>
          </b:Person>
        </b:NameList>
      </b:Author>
    </b:Author>
    <b:Title>Bipolar disorders.</b:Title>
    <b:JournalName>Nat Rev Dis Primers</b:JournalName>
    <b:Year>2018</b:Year>
    <b:Pages>18008</b:Pages>
    <b:Volume>4</b:Volume>
    <b:Month>Mar</b:Month>
    <b:Day>8</b:Day>
    <b:DOI>10.1038/nrdp.2018.8</b:DOI>
    <b:RefOrder>2</b:RefOrder>
  </b:Source>
  <b:Source>
    <b:Tag>Per19</b:Tag>
    <b:SourceType>JournalArticle</b:SourceType>
    <b:Guid>{A195C690-B0A8-4431-A10C-C41AAEC938B4}</b:Guid>
    <b:Author>
      <b:Author>
        <b:NameList>
          <b:Person>
            <b:Last>Perry</b:Last>
            <b:First>A</b:First>
          </b:Person>
          <b:Person>
            <b:Last>Roberts</b:Last>
            <b:First>G</b:First>
          </b:Person>
          <b:Person>
            <b:Last>Mitchell</b:Last>
            <b:First>PB</b:First>
          </b:Person>
          <b:Person>
            <b:Last>Breakspear</b:Last>
            <b:First>M</b:First>
          </b:Person>
        </b:NameList>
      </b:Author>
    </b:Author>
    <b:Title>Connectomics of bipolar disorder: a critical review, and evidence for dynamic instabilities within interoceptive networks.</b:Title>
    <b:JournalName>Mol Psychiatry</b:JournalName>
    <b:Year>2019</b:Year>
    <b:Pages>1296–1318</b:Pages>
    <b:Volume>24</b:Volume>
    <b:Issue>9</b:Issue>
    <b:Month>Sep</b:Month>
    <b:DOI>10.1038/s41380-018-0267-2</b:DOI>
    <b:RefOrder>4</b:RefOrder>
  </b:Source>
  <b:Source>
    <b:Tag>Mis17</b:Tag>
    <b:SourceType>JournalArticle</b:SourceType>
    <b:Guid>{30DBBC9B-D2AA-497E-B366-AA0014BB825D}</b:Guid>
    <b:Author>
      <b:Author>
        <b:NameList>
          <b:Person>
            <b:Last>Miskowiak</b:Last>
            <b:First>KW</b:First>
          </b:Person>
          <b:Person>
            <b:Last>Kjaerstad</b:Last>
            <b:First>HL</b:First>
          </b:Person>
          <b:Person>
            <b:Last>Meluken</b:Last>
            <b:First>I</b:First>
          </b:Person>
          <b:Person>
            <b:Last>Petersen</b:Last>
            <b:First>JZ</b:First>
          </b:Person>
          <b:Person>
            <b:Last>Maciel</b:Last>
            <b:First>BR</b:First>
          </b:Person>
          <b:Person>
            <b:Last>Kohler</b:Last>
            <b:First>CA</b:First>
          </b:Person>
          <b:Person>
            <b:Last>Vinberg</b:Last>
            <b:First>M</b:First>
          </b:Person>
          <b:Person>
            <b:Last>Kessing</b:Last>
            <b:First>LV</b:First>
          </b:Person>
          <b:Person>
            <b:Last>Carvalho</b:Last>
            <b:First>AF</b:First>
          </b:Person>
        </b:NameList>
      </b:Author>
    </b:Author>
    <b:Title>The search for neuroimaging and cognitive endophenotypes: a critical systematic review of studies involving unaffected first-degree relatives of individuals with bipolar disorder.</b:Title>
    <b:JournalName>Neurosci Biobehav Rev.</b:JournalName>
    <b:Year>2017</b:Year>
    <b:Pages>1-22</b:Pages>
    <b:Volume>73</b:Volume>
    <b:Month>Feb</b:Month>
    <b:DOI>10.1016/j.neubiorev.2016.12.011</b:DOI>
    <b:RefOrder>5</b:RefOrder>
  </b:Source>
  <b:Source>
    <b:Tag>Tha09</b:Tag>
    <b:SourceType>JournalArticle</b:SourceType>
    <b:Guid>{C0D3007C-F839-43DE-B322-144C5752ABD8}</b:Guid>
    <b:Author>
      <b:Author>
        <b:NameList>
          <b:Person>
            <b:Last>Thayer</b:Last>
            <b:First>JF</b:First>
          </b:Person>
          <b:Person>
            <b:Last>Lane</b:Last>
            <b:First>RD</b:First>
          </b:Person>
        </b:NameList>
      </b:Author>
    </b:Author>
    <b:Title>Claude Bernard and the heart-brain connection: further elaboration of a model of neurovisceral integration.</b:Title>
    <b:JournalName>Neurosci Biobehav Rev</b:JournalName>
    <b:Year>2009</b:Year>
    <b:Pages>81–88</b:Pages>
    <b:Volume>33</b:Volume>
    <b:Issue>2</b:Issue>
    <b:Month>Feb</b:Month>
    <b:DOI>10.1016/j.neubiorev.2008.08.004</b:DOI>
    <b:RefOrder>7</b:RefOrder>
  </b:Source>
  <b:Source>
    <b:Tag>Lab17</b:Tag>
    <b:SourceType>JournalArticle</b:SourceType>
    <b:Guid>{B0875EE2-4DCE-4C69-8F6E-8E93226C034D}</b:Guid>
    <b:Author>
      <b:Author>
        <b:NameList>
          <b:Person>
            <b:Last>Laborde</b:Last>
            <b:First>S</b:First>
          </b:Person>
          <b:Person>
            <b:Last>Mosley</b:Last>
            <b:First>E</b:First>
          </b:Person>
          <b:Person>
            <b:Last>Thayer</b:Last>
            <b:First>JF</b:First>
          </b:Person>
        </b:NameList>
      </b:Author>
    </b:Author>
    <b:Title>Heart rate variability and cardiac vagal tone in psychophysiological research: recommendations for experiment planning, data analysis, and data reporting.</b:Title>
    <b:JournalName>Front Psychol</b:JournalName>
    <b:Year>2017</b:Year>
    <b:Pages>213</b:Pages>
    <b:Volume>8</b:Volume>
    <b:Month>Feb</b:Month>
    <b:Day>20</b:Day>
    <b:DOI>10.3389/fpsyg.2017.00213</b:DOI>
    <b:RefOrder>8</b:RefOrder>
  </b:Source>
  <b:Source>
    <b:Tag>Fau17</b:Tag>
    <b:SourceType>JournalArticle</b:SourceType>
    <b:Guid>{FB0CA5EF-5876-40DD-9402-CC3FDABD9F00}</b:Guid>
    <b:Author>
      <b:Author>
        <b:NameList>
          <b:Person>
            <b:Last>Faurholt-Jepsen</b:Last>
            <b:First>M</b:First>
          </b:Person>
          <b:Person>
            <b:Last>Kessing</b:Last>
            <b:First>LV</b:First>
          </b:Person>
          <b:Person>
            <b:Last>Munkholm</b:Last>
            <b:First>K</b:First>
          </b:Person>
        </b:NameList>
      </b:Author>
    </b:Author>
    <b:Title>Heart rate variability in bipolar disorder: a systematic review and meta-analysis.</b:Title>
    <b:JournalName>Neurosci Biobehav Rev</b:JournalName>
    <b:Year>2017</b:Year>
    <b:Pages>68-80</b:Pages>
    <b:Volume>73</b:Volume>
    <b:Month>Feb</b:Month>
    <b:DOI>10.1016/j.neubiorev.2016.12.007</b:DOI>
    <b:RefOrder>9</b:RefOrder>
  </b:Source>
  <b:Source>
    <b:Tag>Par19</b:Tag>
    <b:SourceType>JournalArticle</b:SourceType>
    <b:Guid>{EFDCD5D0-CBEB-4C6F-8F57-2D5E486D2919}</b:Guid>
    <b:Author>
      <b:Author>
        <b:NameList>
          <b:Person>
            <b:Last>Park</b:Last>
            <b:First>HD</b:First>
          </b:Person>
          <b:Person>
            <b:Last>Blanke</b:Last>
            <b:First>O</b:First>
          </b:Person>
        </b:NameList>
      </b:Author>
    </b:Author>
    <b:Title>Heartbeat-evoked cortical responses: underlying mechanisms, functional roles, and methodological considerations.</b:Title>
    <b:JournalName>NeuroImage</b:JournalName>
    <b:Year>2019</b:Year>
    <b:Pages>502–511</b:Pages>
    <b:Volume>197</b:Volume>
    <b:Month>Aug</b:Month>
    <b:Day>15</b:Day>
    <b:DOI>10.1016/j.neuroimage.2019.04.081</b:DOI>
    <b:RefOrder>10</b:RefOrder>
  </b:Source>
  <b:Source>
    <b:Tag>Pol05</b:Tag>
    <b:SourceType>JournalArticle</b:SourceType>
    <b:Guid>{84755890-34FA-4FBF-9AD4-EC4385641F04}</b:Guid>
    <b:Author>
      <b:Author>
        <b:NameList>
          <b:Person>
            <b:Last>Pollatos</b:Last>
            <b:First>O</b:First>
          </b:Person>
          <b:Person>
            <b:Last>Kirsch</b:Last>
            <b:First>W</b:First>
          </b:Person>
          <b:Person>
            <b:Last>Schandry</b:Last>
            <b:First>R</b:First>
          </b:Person>
        </b:NameList>
      </b:Author>
    </b:Author>
    <b:Title>Brain structures involved in interoceptive awareness and cardioafferent signal processing: a dipole source localization study.</b:Title>
    <b:JournalName>Hum Brain Mapp</b:JournalName>
    <b:Year>2005</b:Year>
    <b:Pages>54–64</b:Pages>
    <b:Volume>26</b:Volume>
    <b:Issue>1</b:Issue>
    <b:Month>Sep</b:Month>
    <b:DOI>10.1002/hbm.20121.</b:DOI>
    <b:RefOrder>11</b:RefOrder>
  </b:Source>
  <b:Source>
    <b:Tag>Col21</b:Tag>
    <b:SourceType>JournalArticle</b:SourceType>
    <b:Guid>{2A3B6E95-6B24-40F8-81B4-CC3B343886EF}</b:Guid>
    <b:Author>
      <b:Author>
        <b:NameList>
          <b:Person>
            <b:Last>Coll</b:Last>
            <b:First>MP</b:First>
          </b:Person>
          <b:Person>
            <b:Last>Hobson</b:Last>
            <b:First>H</b:First>
          </b:Person>
          <b:Person>
            <b:Last>Bird</b:Last>
            <b:First>G</b:First>
          </b:Person>
          <b:Person>
            <b:Last>Murphy</b:Last>
            <b:First>J</b:First>
          </b:Person>
        </b:NameList>
      </b:Author>
    </b:Author>
    <b:Title>Systematic review and meta-analysis of the relationship between the heartbeat-evoked potential and interoception.</b:Title>
    <b:JournalName>Neurosci Biobehav Rev</b:JournalName>
    <b:Year>2021</b:Year>
    <b:Pages>190-200</b:Pages>
    <b:Volume>122</b:Volume>
    <b:Month>Mar</b:Month>
    <b:DOI>10.1016/j.neubiorev.2020.12.012</b:DOI>
    <b:RefOrder>12</b:RefOrder>
  </b:Source>
  <b:Source>
    <b:Tag>Mon93</b:Tag>
    <b:SourceType>JournalArticle</b:SourceType>
    <b:Guid>{5A7AF393-48E0-4F22-8345-960064EB8EB4}</b:Guid>
    <b:Author>
      <b:Author>
        <b:NameList>
          <b:Person>
            <b:Last>Montoya</b:Last>
            <b:First>P</b:First>
          </b:Person>
          <b:Person>
            <b:Last>Schandry</b:Last>
            <b:First>R</b:First>
          </b:Person>
          <b:Person>
            <b:Last>Muller</b:Last>
            <b:First>A</b:First>
          </b:Person>
        </b:NameList>
      </b:Author>
    </b:Author>
    <b:Title>Heartbeat-evoked potentials (HEP): topography and influence of cardiac awareness and focus of attention.</b:Title>
    <b:JournalName>Electroencephalogr Clin Neurophysiol</b:JournalName>
    <b:Year>1993</b:Year>
    <b:Pages>163–172</b:Pages>
    <b:Volume>88</b:Volume>
    <b:Issue>3</b:Issue>
    <b:Month>May</b:Month>
    <b:DOI>10.1016/0168-5597(93)90001-6</b:DOI>
    <b:RefOrder>13</b:RefOrder>
  </b:Source>
  <b:Source>
    <b:Tag>Pet19</b:Tag>
    <b:SourceType>JournalArticle</b:SourceType>
    <b:Guid>{81121E07-F7A3-47D6-8054-F6C2DE59F9F4}</b:Guid>
    <b:Author>
      <b:Author>
        <b:NameList>
          <b:Person>
            <b:Last>Petzschner</b:Last>
            <b:First>FH</b:First>
          </b:Person>
          <b:Person>
            <b:Last>Weber</b:Last>
            <b:First>LAE</b:First>
          </b:Person>
          <b:Person>
            <b:Last>Wellstein</b:Last>
            <b:First>KV</b:First>
          </b:Person>
          <b:Person>
            <b:Last>Paolini</b:Last>
            <b:First>G</b:First>
          </b:Person>
          <b:Person>
            <b:Last>Do</b:Last>
            <b:First>CT</b:First>
          </b:Person>
          <b:Person>
            <b:Last>Stephan</b:Last>
            <b:First>KE</b:First>
          </b:Person>
        </b:NameList>
      </b:Author>
    </b:Author>
    <b:Title>Focus of attention modulates the heartbeat-evoked potential.</b:Title>
    <b:JournalName>NeuroImage</b:JournalName>
    <b:Year>2019</b:Year>
    <b:Pages>595–606</b:Pages>
    <b:Volume>186</b:Volume>
    <b:Month>Feb</b:Month>
    <b:Day>1</b:Day>
    <b:DOI>10.1016/j.neuroimage.2018.11.037</b:DOI>
    <b:RefOrder>14</b:RefOrder>
  </b:Source>
  <b:Source>
    <b:Tag>Kha18</b:Tag>
    <b:SourceType>JournalArticle</b:SourceType>
    <b:Guid>{88BB0F7D-D796-4F53-8358-02302B246036}</b:Guid>
    <b:Author>
      <b:Author>
        <b:NameList>
          <b:Person>
            <b:Last>Khalsa</b:Last>
            <b:First>SS</b:First>
          </b:Person>
          <b:Person>
            <b:Last>Adolphs</b:Last>
            <b:First>R</b:First>
          </b:Person>
          <b:Person>
            <b:Last>Cameron</b:Last>
            <b:First>OG</b:First>
          </b:Person>
          <b:Person>
            <b:Last>Critchley</b:Last>
            <b:First>HD</b:First>
          </b:Person>
          <b:Person>
            <b:Last>Davenport</b:Last>
            <b:First>PW</b:First>
          </b:Person>
          <b:Person>
            <b:Last>Feinstein</b:Last>
            <b:First>JS</b:First>
          </b:Person>
          <b:Person>
            <b:Last>al</b:Last>
            <b:First>et</b:First>
          </b:Person>
        </b:NameList>
      </b:Author>
    </b:Author>
    <b:Title>Interoception and mental health: a roadmap.</b:Title>
    <b:JournalName>Biol Psychiatry Cogn Neurosci Neuroimaging</b:JournalName>
    <b:Year>2018</b:Year>
    <b:Pages>501–513</b:Pages>
    <b:Volume>3</b:Volume>
    <b:Issue>6</b:Issue>
    <b:Month>Jun</b:Month>
    <b:DOI>10.1016/j.bpsc.2017.12.004</b:DOI>
    <b:RefOrder>15</b:RefOrder>
  </b:Source>
  <b:Source>
    <b:Tag>Dir97</b:Tag>
    <b:SourceType>JournalArticle</b:SourceType>
    <b:Guid>{B45C3ADB-8C06-4435-A2DB-89AD7FB2B466}</b:Guid>
    <b:Author>
      <b:Author>
        <b:NameList>
          <b:Person>
            <b:Last>Dirlich</b:Last>
            <b:First>G</b:First>
          </b:Person>
          <b:Person>
            <b:Last>Vogl</b:Last>
            <b:First>L</b:First>
          </b:Person>
          <b:Person>
            <b:Last>Plaschke</b:Last>
            <b:First>M</b:First>
          </b:Person>
          <b:Person>
            <b:Last>Strian</b:Last>
            <b:First>F</b:First>
          </b:Person>
        </b:NameList>
      </b:Author>
    </b:Author>
    <b:Title>Cardiac field effects on the EEG.</b:Title>
    <b:JournalName>Electroencephalogr Clin Neurophysiol</b:JournalName>
    <b:Year>1997</b:Year>
    <b:Pages>307–315</b:Pages>
    <b:Volume>102</b:Volume>
    <b:Issue>4</b:Issue>
    <b:Month>Apr</b:Month>
    <b:DOI>10.1016/S0013-4694(96)96506-2</b:DOI>
    <b:RefOrder>18</b:RefOrder>
  </b:Source>
  <b:Source>
    <b:Tag>Ter12</b:Tag>
    <b:SourceType>JournalArticle</b:SourceType>
    <b:Guid>{F96F0D46-74B5-4E42-84EB-3090A6806615}</b:Guid>
    <b:Author>
      <b:Author>
        <b:NameList>
          <b:Person>
            <b:Last>Terhaar</b:Last>
            <b:First>J</b:First>
          </b:Person>
          <b:Person>
            <b:Last>Viola</b:Last>
            <b:First>FC</b:First>
          </b:Person>
          <b:Person>
            <b:Last>Bar</b:Last>
            <b:First>KJ</b:First>
          </b:Person>
          <b:Person>
            <b:Last>Debener</b:Last>
            <b:First>S</b:First>
          </b:Person>
        </b:NameList>
      </b:Author>
    </b:Author>
    <b:Title>Heartbeat-evoked potentials mirror altered body perception in depressed patients.</b:Title>
    <b:JournalName>Clin Neurophysiol</b:JournalName>
    <b:Year>2012</b:Year>
    <b:Pages>1950–1957</b:Pages>
    <b:Volume>123</b:Volume>
    <b:Issue>10</b:Issue>
    <b:Month>Oct</b:Month>
    <b:DOI>10.1016/j.clinph.2012.02.086</b:DOI>
    <b:RefOrder>20</b:RefOrder>
  </b:Source>
  <b:Source>
    <b:Tag>Cat24</b:Tag>
    <b:SourceType>JournalArticle</b:SourceType>
    <b:Guid>{73F26654-EF6B-4390-B07C-1D6D5F817D77}</b:Guid>
    <b:Author>
      <b:Author>
        <b:NameList>
          <b:Person>
            <b:Last>Cattarinussi</b:Last>
            <b:First>G</b:First>
          </b:Person>
          <b:Person>
            <b:Last>Heidari-Foroozan</b:Last>
            <b:First>M</b:First>
          </b:Person>
          <b:Person>
            <b:Last>Jafary</b:Last>
            <b:First>H</b:First>
          </b:Person>
          <b:Person>
            <b:Last>Mohammadi</b:Last>
            <b:First>E</b:First>
          </b:Person>
          <b:Person>
            <b:Last>Sambataro</b:Last>
            <b:First>F</b:First>
          </b:Person>
          <b:Person>
            <b:Last>Ferro</b:Last>
            <b:First>A</b:First>
          </b:Person>
          <b:Person>
            <b:Last>Barone</b:Last>
            <b:First>Y</b:First>
          </b:Person>
          <b:Person>
            <b:Last>Delvecchio</b:Last>
            <b:First>G</b:First>
          </b:Person>
        </b:NameList>
      </b:Author>
    </b:Author>
    <b:Title>Resting-state functional magnetic resonance imaging alterations in first-degree relatives of individuals with bipolar disorder: A systematic review.</b:Title>
    <b:JournalName>J Affect Disord</b:JournalName>
    <b:Year>2024</b:Year>
    <b:Pages>321-331</b:Pages>
    <b:Volume>365</b:Volume>
    <b:Month>Nov</b:Month>
    <b:Day>15</b:Day>
    <b:DOI>10.1016/j.jad.2024.08.040</b:DOI>
    <b:RefOrder>6</b:RefOrder>
  </b:Source>
  <b:Source>
    <b:Tag>LvJ25</b:Tag>
    <b:SourceType>JournalArticle</b:SourceType>
    <b:Guid>{0F11655C-B38E-4321-BB72-312500F252F4}</b:Guid>
    <b:Author>
      <b:Author>
        <b:NameList>
          <b:Person>
            <b:Last>Lv</b:Last>
            <b:First>J</b:First>
          </b:Person>
          <b:Person>
            <b:Last>Xu</b:Last>
            <b:First>H</b:First>
          </b:Person>
          <b:Person>
            <b:Last>Li</b:Last>
            <b:First>J</b:First>
          </b:Person>
          <b:Person>
            <b:Last>Sun</b:Last>
            <b:First>L</b:First>
          </b:Person>
          <b:Person>
            <b:Last>Zhu</b:Last>
            <b:First>G</b:First>
          </b:Person>
          <b:Person>
            <b:Last>Wang</b:Last>
            <b:First>W</b:First>
          </b:Person>
        </b:NameList>
      </b:Author>
    </b:Author>
    <b:Title>A cross-sectional study on the relationship between interoceptive sensitivity and somatic symptoms in young bipolar disorder patients.</b:Title>
    <b:JournalName>BMC Psychiatry</b:JournalName>
    <b:Year>2025</b:Year>
    <b:Pages>355</b:Pages>
    <b:Volume>25</b:Volume>
    <b:Issue>1</b:Issue>
    <b:Month>Apr</b:Month>
    <b:Day>9</b:Day>
    <b:DOI>10.1186/s12888-025-06801-8</b:DOI>
    <b:RefOrder>17</b:RefOrder>
  </b:Source>
  <b:Source>
    <b:Tag>Alf25</b:Tag>
    <b:SourceType>JournalArticle</b:SourceType>
    <b:Guid>{B5BB1407-C884-40C5-8B17-3D23B61A6157}</b:Guid>
    <b:Author>
      <b:Author>
        <b:NameList>
          <b:Person>
            <b:Last>Alfì</b:Last>
            <b:First>G</b:First>
          </b:Person>
          <b:Person>
            <b:Last>Grenno</b:Last>
            <b:First>G</b:First>
          </b:Person>
          <b:Person>
            <b:Last>Caruso</b:Last>
            <b:First>V</b:First>
          </b:Person>
          <b:Person>
            <b:Last>Piarulli</b:Last>
            <b:First>A</b:First>
          </b:Person>
          <b:Person>
            <b:Last>Palagini</b:Last>
            <b:First>L</b:First>
          </b:Person>
          <b:Person>
            <b:Last>Perugi</b:Last>
            <b:First>G</b:First>
          </b:Person>
          <b:Person>
            <b:Last>Gemignani</b:Last>
            <b:First>A</b:First>
          </b:Person>
        </b:NameList>
      </b:Author>
    </b:Author>
    <b:Title>Interoceptive sensibility mediates emotional dysregulation: Insights from individuals with Bipolar II Depression.</b:Title>
    <b:JournalName>J Affect Disord</b:JournalName>
    <b:Year>2025</b:Year>
    <b:Pages>120236</b:Pages>
    <b:Volume>392</b:Volume>
    <b:Month>Jan</b:Month>
    <b:Day>1</b:Day>
    <b:DOI>10.1016/j.jad.2025.120236</b:DOI>
    <b:RefOrder>16</b:RefOrder>
  </b:Source>
  <b:Source>
    <b:Tag>Ste251</b:Tag>
    <b:SourceType>JournalArticle</b:SourceType>
    <b:Guid>{BFD720A6-EE38-47FF-A50B-6CAD349B4040}</b:Guid>
    <b:Author>
      <b:Author>
        <b:NameList>
          <b:Person>
            <b:Last>Steinfath</b:Last>
            <b:First>P</b:First>
          </b:Person>
          <b:Person>
            <b:Last>Herzog</b:Last>
            <b:First>N</b:First>
          </b:Person>
          <b:Person>
            <b:Last>Fourcade</b:Last>
            <b:First>A</b:First>
          </b:Person>
          <b:Person>
            <b:Last>Sander</b:Last>
            <b:First>C</b:First>
          </b:Person>
          <b:Person>
            <b:Last>Nikulin</b:Last>
            <b:First>V</b:First>
          </b:Person>
          <b:Person>
            <b:Last>Villringer</b:Last>
            <b:First>A</b:First>
          </b:Person>
        </b:NameList>
      </b:Author>
    </b:Author>
    <b:Title>Validating genuine changes in heartbeat-evoked potentials using pseudotrials and surrogate procedures.</b:Title>
    <b:JournalName>Imaging Neurosci (Camb)</b:JournalName>
    <b:Year>2025</b:Year>
    <b:Pages>IMAG.a.30</b:Pages>
    <b:Volume>3</b:Volume>
    <b:Month>Jun</b:Month>
    <b:Day>10</b:Day>
    <b:DOI>10.1162/IMAG.a.30.</b:DOI>
    <b:RefOrder>19</b:RefOrder>
  </b:Source>
  <b:Source>
    <b:Tag>AlE20</b:Tag>
    <b:SourceType>JournalArticle</b:SourceType>
    <b:Guid>{AFEF82CF-EBA6-4547-A121-F4D51E6A2060}</b:Guid>
    <b:Author>
      <b:Author>
        <b:NameList>
          <b:Person>
            <b:Last>Al</b:Last>
            <b:First>E</b:First>
          </b:Person>
          <b:Person>
            <b:Last>Iliopoulos</b:Last>
            <b:First>F</b:First>
          </b:Person>
          <b:Person>
            <b:Last>Forschack</b:Last>
            <b:First>N</b:First>
          </b:Person>
          <b:Person>
            <b:Last>Nierhaus</b:Last>
            <b:First>T</b:First>
          </b:Person>
          <b:Person>
            <b:Last>Grund</b:Last>
            <b:First>M</b:First>
          </b:Person>
          <b:Person>
            <b:Last>Motyka</b:Last>
            <b:First>P</b:First>
          </b:Person>
          <b:Person>
            <b:Last>al.</b:Last>
            <b:First>et</b:First>
          </b:Person>
        </b:NameList>
      </b:Author>
    </b:Author>
    <b:Title>Heart-brain interactions shape somatosensory perception and evoked potentials.</b:Title>
    <b:JournalName>Proc Natl Acad Sci U S A</b:JournalName>
    <b:Year>2020</b:Year>
    <b:Pages>10575–10584</b:Pages>
    <b:Volume>117</b:Volume>
    <b:Issue>19</b:Issue>
    <b:Month>May</b:Month>
    <b:Day>12</b:Day>
    <b:DOI>10.1073/pnas.1915629117</b:DOI>
    <b:RefOrder>21</b:RefOrder>
  </b:Source>
  <b:Source>
    <b:Tag>Mes23</b:Tag>
    <b:SourceType>JournalArticle</b:SourceType>
    <b:Guid>{7DF6A8E4-4F9D-4F6C-8A09-FE5D71871562}</b:Guid>
    <b:Author>
      <b:Author>
        <b:NameList>
          <b:Person>
            <b:Last>Mesbah</b:Last>
            <b:First>R</b:First>
          </b:Person>
          <b:Person>
            <b:Last>Koenders</b:Last>
            <b:First>MA</b:First>
          </b:Person>
          <b:Person>
            <b:Last>van der Wee</b:Last>
            <b:First>NJA</b:First>
          </b:Person>
          <b:Person>
            <b:Last>Giltay</b:Last>
            <b:First>EJ</b:First>
          </b:Person>
          <b:Person>
            <b:Last>van Hemert</b:Last>
            <b:First>AM</b:First>
          </b:Person>
          <b:Person>
            <b:Last>de Leeuw</b:Last>
            <b:First>M</b:First>
          </b:Person>
        </b:NameList>
      </b:Author>
    </b:Author>
    <b:Title>Association between the fronto-limbic network and cognitive and emotional functioning in individuals with bipolar disorder: a systematic review and meta-analysis.</b:Title>
    <b:JournalName>JAMA Psychiatry</b:JournalName>
    <b:Year>2023</b:Year>
    <b:Pages>432–440</b:Pages>
    <b:Volume>80</b:Volume>
    <b:Issue>5</b:Issue>
    <b:Month>May</b:Month>
    <b:Day>1</b:Day>
    <b:DOI>10.1001/jamapsychiatry.2023.0131</b:DOI>
    <b:RefOrder>3</b:RefOrder>
  </b:Source>
</b:Sources>
</file>

<file path=customXml/itemProps1.xml><?xml version="1.0" encoding="utf-8"?>
<ds:datastoreItem xmlns:ds="http://schemas.openxmlformats.org/officeDocument/2006/customXml" ds:itemID="{4C1C2E39-EDD4-4CFD-AF6C-197E54BCD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20</Pages>
  <Words>6640</Words>
  <Characters>37851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Ronen Sosnik</cp:lastModifiedBy>
  <cp:revision>8</cp:revision>
  <dcterms:created xsi:type="dcterms:W3CDTF">2026-06-18T07:47:00Z</dcterms:created>
  <dcterms:modified xsi:type="dcterms:W3CDTF">2026-06-18T14:02:00Z</dcterms:modified>
  <cp:category/>
</cp:coreProperties>
</file>