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168C" w14:textId="6047D4EF" w:rsidR="00B51362" w:rsidRPr="00970C29" w:rsidRDefault="00BA709D" w:rsidP="001757A4">
      <w:pPr>
        <w:pStyle w:val="Ttulo"/>
        <w:rPr>
          <w:sz w:val="56"/>
        </w:rPr>
      </w:pPr>
      <w:r w:rsidRPr="00970C29">
        <w:rPr>
          <w:sz w:val="56"/>
        </w:rPr>
        <w:t>GT PORTAL PARI$</w:t>
      </w:r>
    </w:p>
    <w:p w14:paraId="0A46D514" w14:textId="26CA57E3" w:rsidR="001B45FB" w:rsidRPr="00970C29" w:rsidRDefault="00BA709D" w:rsidP="001757A4">
      <w:pPr>
        <w:pStyle w:val="Ttulo1"/>
      </w:pPr>
      <w:r w:rsidRPr="00970C29">
        <w:t>Governança</w:t>
      </w:r>
      <w:r w:rsidR="00970C29" w:rsidRPr="00970C29">
        <w:t xml:space="preserve"> d</w:t>
      </w:r>
      <w:r w:rsidR="00970C29">
        <w:t>e TI – Portal Paris</w:t>
      </w:r>
    </w:p>
    <w:p w14:paraId="64F22AEC" w14:textId="7184B86F" w:rsidR="00657156" w:rsidRDefault="00BA709D" w:rsidP="00970C29">
      <w:r w:rsidRPr="00970C29">
        <w:tab/>
      </w:r>
      <w:r w:rsidR="00657156" w:rsidRPr="00657156">
        <w:t>Governança de TI é o conjunto estruturado de políticas, normas, métodos e procedimentos destinados a permitir à alta administração e aos executivos o planejamento, a direção e o controle da utilização atual e futura de tecnologia da informação, de modo a assegurar, a um nível aceitável de risco, eficiente utilização de recursos, apoio aos processos da organização e alinhamento estratégico com objetivos desta última. Seu objetivo, pois, é garantir que o uso da TI agregue valor ao negócio da organização.</w:t>
      </w:r>
    </w:p>
    <w:p w14:paraId="79649521" w14:textId="77777777" w:rsidR="00657156" w:rsidRDefault="00657156" w:rsidP="00657156">
      <w:pPr>
        <w:ind w:firstLine="708"/>
      </w:pPr>
      <w:r>
        <w:t>Na prática, a Governança de TI se traduz em um conjunto de políticas, processos, papéis e responsabilidades associados a estruturas e pessoas da organização, de modo a se estabelecer claramente o processo de tomada de decisões e as diretrizes para o gerenciamento e uso da TI, tudo isso de forma alinhada com a visão, missão e metas estratégicas da organização.</w:t>
      </w:r>
    </w:p>
    <w:p w14:paraId="54125811" w14:textId="77777777" w:rsidR="00657156" w:rsidRPr="00970C29" w:rsidRDefault="00657156" w:rsidP="00657156">
      <w:pPr>
        <w:ind w:firstLine="708"/>
        <w:rPr>
          <w:highlight w:val="yellow"/>
        </w:rPr>
      </w:pPr>
      <w:r w:rsidRPr="00970C29">
        <w:rPr>
          <w:highlight w:val="yellow"/>
        </w:rPr>
        <w:t>Alinhamento Estratégico - assegura o alinhamento dos planos da TI com os de negócio e alinha a operação e as entregas da TI com as operações da organização.</w:t>
      </w:r>
    </w:p>
    <w:p w14:paraId="6ED2297E" w14:textId="77777777" w:rsidR="00657156" w:rsidRPr="00970C29" w:rsidRDefault="00657156" w:rsidP="00657156">
      <w:pPr>
        <w:ind w:firstLine="708"/>
        <w:rPr>
          <w:highlight w:val="yellow"/>
        </w:rPr>
      </w:pPr>
      <w:r w:rsidRPr="00970C29">
        <w:rPr>
          <w:highlight w:val="yellow"/>
        </w:rPr>
        <w:t>Entrega de Valor – assegura que os benefícios previstos pela TI estão realmente sendo gerados, dentre eles a otimização de custos e outros valores intrínsecos que a TI pode proporcionar.</w:t>
      </w:r>
    </w:p>
    <w:p w14:paraId="7171ADA4" w14:textId="77777777" w:rsidR="00657156" w:rsidRPr="00970C29" w:rsidRDefault="00657156" w:rsidP="00657156">
      <w:pPr>
        <w:ind w:firstLine="708"/>
        <w:rPr>
          <w:highlight w:val="yellow"/>
        </w:rPr>
      </w:pPr>
      <w:r w:rsidRPr="00970C29">
        <w:rPr>
          <w:highlight w:val="yellow"/>
        </w:rPr>
        <w:t>Gestão de Riscos – Permite que a organização reconheça todos os riscos (e oportunidades) derivados da TI para o negócio e que decida e tenha planos para mitigá-los na medida que julgue necessário.</w:t>
      </w:r>
    </w:p>
    <w:p w14:paraId="191C5A57" w14:textId="77777777" w:rsidR="00657156" w:rsidRPr="00970C29" w:rsidRDefault="00657156" w:rsidP="00657156">
      <w:pPr>
        <w:ind w:firstLine="708"/>
        <w:rPr>
          <w:highlight w:val="yellow"/>
        </w:rPr>
      </w:pPr>
      <w:r w:rsidRPr="00970C29">
        <w:rPr>
          <w:highlight w:val="yellow"/>
        </w:rPr>
        <w:t>Gestão de Recursos – assegura a gestão dos recursos mais importantes para TI: recursos humanos e recursos tecnológicos (informações, infraestrutura, aplicações). Promove a valorização do conhecimento e da infraestrutura.</w:t>
      </w:r>
    </w:p>
    <w:p w14:paraId="608E54A2" w14:textId="13A1CDFB" w:rsidR="00657156" w:rsidRDefault="00657156" w:rsidP="00657156">
      <w:pPr>
        <w:ind w:firstLine="708"/>
      </w:pPr>
      <w:r w:rsidRPr="00970C29">
        <w:rPr>
          <w:highlight w:val="yellow"/>
        </w:rPr>
        <w:t>Mensuração de Desempenho – acompanha e monitora a implementação da estratégia, consumação de projetos, uso dos recursos e entrega dos serviços quanto à sua contribuição para as estratégias e objetivos do negócio, utilizando-se não apenas de critérios financeiros.</w:t>
      </w:r>
    </w:p>
    <w:p w14:paraId="19DF06BA" w14:textId="5388B5F8" w:rsidR="00BA709D" w:rsidRPr="00F831F0" w:rsidRDefault="00F831F0" w:rsidP="00BA709D">
      <w:pPr>
        <w:pStyle w:val="Ttulo2"/>
      </w:pPr>
      <w:proofErr w:type="spellStart"/>
      <w:r w:rsidRPr="00F831F0">
        <w:t>Work</w:t>
      </w:r>
      <w:r w:rsidR="00BA709D" w:rsidRPr="00F831F0">
        <w:t>Flow</w:t>
      </w:r>
      <w:proofErr w:type="spellEnd"/>
      <w:r w:rsidRPr="00F831F0">
        <w:t xml:space="preserve"> </w:t>
      </w:r>
      <w:r w:rsidR="00A801A3">
        <w:t>– Regras e Restrições</w:t>
      </w:r>
    </w:p>
    <w:p w14:paraId="31500127" w14:textId="71FE8AC7" w:rsidR="00BA709D" w:rsidRDefault="00F831F0" w:rsidP="00970C29">
      <w:pPr>
        <w:ind w:firstLine="708"/>
      </w:pPr>
      <w:r>
        <w:t xml:space="preserve">Nomes de </w:t>
      </w:r>
      <w:proofErr w:type="spellStart"/>
      <w:r>
        <w:t>branches</w:t>
      </w:r>
      <w:proofErr w:type="spellEnd"/>
      <w:r>
        <w:t xml:space="preserve"> devem respeitar o seguinte padrão: </w:t>
      </w:r>
      <w:proofErr w:type="spellStart"/>
      <w:r>
        <w:t>feature</w:t>
      </w:r>
      <w:proofErr w:type="spellEnd"/>
      <w:r w:rsidR="00A554DE">
        <w:t>/</w:t>
      </w:r>
      <w:proofErr w:type="spellStart"/>
      <w:r>
        <w:t>squad-angular_modulo-descricao_task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 w:rsidR="00A554DE">
        <w:t>feature</w:t>
      </w:r>
      <w:proofErr w:type="spellEnd"/>
      <w:r w:rsidR="00A554DE">
        <w:t>/</w:t>
      </w:r>
      <w:r>
        <w:t>efetivacao_3-iti-pagamento_de_contas</w:t>
      </w:r>
    </w:p>
    <w:p w14:paraId="3504CDBD" w14:textId="257DB512" w:rsidR="00F831F0" w:rsidRDefault="00F831F0" w:rsidP="00F831F0">
      <w:pPr>
        <w:ind w:firstLine="708"/>
      </w:pPr>
      <w:r>
        <w:t xml:space="preserve">Seguir os padrões de </w:t>
      </w:r>
      <w:proofErr w:type="spellStart"/>
      <w:r w:rsidRPr="00F831F0">
        <w:rPr>
          <w:b/>
          <w:bCs/>
        </w:rPr>
        <w:t>Semantic</w:t>
      </w:r>
      <w:proofErr w:type="spellEnd"/>
      <w:r w:rsidRPr="00F831F0">
        <w:rPr>
          <w:b/>
          <w:bCs/>
        </w:rPr>
        <w:t xml:space="preserve"> </w:t>
      </w:r>
      <w:proofErr w:type="spellStart"/>
      <w:r w:rsidRPr="00F831F0">
        <w:rPr>
          <w:b/>
          <w:bCs/>
        </w:rPr>
        <w:t>Versioning</w:t>
      </w:r>
      <w:proofErr w:type="spellEnd"/>
      <w:r>
        <w:t xml:space="preserve">: um conjunto simples de regras e requisitos que ditam como os números das versões são atribuídos e incrementados. Dado um número de versão </w:t>
      </w:r>
      <w:proofErr w:type="gramStart"/>
      <w:r>
        <w:t>MAIOR.MENOR.PATCH</w:t>
      </w:r>
      <w:proofErr w:type="gramEnd"/>
      <w:r>
        <w:t>, incremente a:</w:t>
      </w:r>
    </w:p>
    <w:p w14:paraId="1455A9D9" w14:textId="77777777" w:rsidR="00F831F0" w:rsidRDefault="00F831F0" w:rsidP="00F831F0">
      <w:pPr>
        <w:ind w:left="708" w:firstLine="708"/>
      </w:pPr>
      <w:r>
        <w:t>1. versão MAIOR: quando fizer mudanças incompatíveis na API,</w:t>
      </w:r>
    </w:p>
    <w:p w14:paraId="3561A9AC" w14:textId="77777777" w:rsidR="00F831F0" w:rsidRDefault="00F831F0" w:rsidP="00F831F0">
      <w:pPr>
        <w:ind w:left="708" w:firstLine="708"/>
      </w:pPr>
      <w:r>
        <w:lastRenderedPageBreak/>
        <w:t>2. versão MENOR: quando adicionar funcionalidades mantendo compatibilidade.</w:t>
      </w:r>
    </w:p>
    <w:p w14:paraId="55BEDE6C" w14:textId="710B98AD" w:rsidR="00F831F0" w:rsidRDefault="00F831F0" w:rsidP="00F831F0">
      <w:pPr>
        <w:ind w:left="708" w:firstLine="708"/>
      </w:pPr>
      <w:r>
        <w:t>3. versão PATCH (Correção): quando corrigir falhas mantendo compatibilidade.</w:t>
      </w:r>
    </w:p>
    <w:p w14:paraId="64ED086D" w14:textId="7DF9A8C5" w:rsidR="00970C29" w:rsidRDefault="00970C29" w:rsidP="00970C29">
      <w:pPr>
        <w:ind w:firstLine="708"/>
      </w:pPr>
      <w:r w:rsidRPr="00BA709D">
        <w:t xml:space="preserve">Antes de </w:t>
      </w:r>
      <w:r>
        <w:t xml:space="preserve">abrir um MR de sua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para </w:t>
      </w:r>
      <w:proofErr w:type="spellStart"/>
      <w:r>
        <w:t>develop</w:t>
      </w:r>
      <w:proofErr w:type="spellEnd"/>
      <w:r>
        <w:t xml:space="preserve">, garanta que sua </w:t>
      </w:r>
      <w:proofErr w:type="spellStart"/>
      <w:r>
        <w:t>branch</w:t>
      </w:r>
      <w:proofErr w:type="spellEnd"/>
      <w:r>
        <w:t xml:space="preserve"> já está equalizada com a </w:t>
      </w:r>
      <w:proofErr w:type="spellStart"/>
      <w:r>
        <w:t>develo</w:t>
      </w:r>
      <w:r w:rsidR="002744F9">
        <w:t>p</w:t>
      </w:r>
      <w:proofErr w:type="spellEnd"/>
      <w:r>
        <w:t xml:space="preserve"> assim evitando conflitos no Merge </w:t>
      </w:r>
      <w:proofErr w:type="spellStart"/>
      <w:r>
        <w:t>Request</w:t>
      </w:r>
      <w:proofErr w:type="spellEnd"/>
      <w:r>
        <w:t>.</w:t>
      </w:r>
    </w:p>
    <w:p w14:paraId="7B4F96A5" w14:textId="77777777" w:rsidR="00970C29" w:rsidRDefault="00970C29" w:rsidP="00970C29">
      <w:pPr>
        <w:ind w:firstLine="708"/>
      </w:pPr>
      <w:r>
        <w:t xml:space="preserve">Todo MR aberto para </w:t>
      </w:r>
      <w:proofErr w:type="spellStart"/>
      <w:r>
        <w:t>develop</w:t>
      </w:r>
      <w:proofErr w:type="spellEnd"/>
      <w:r>
        <w:t xml:space="preserve"> deve passar pela avaliação de um dos Codes </w:t>
      </w:r>
      <w:proofErr w:type="spellStart"/>
      <w:r>
        <w:t>Reviewers</w:t>
      </w:r>
      <w:proofErr w:type="spellEnd"/>
      <w:r>
        <w:t xml:space="preserve"> do Grupo de Trabalho.</w:t>
      </w:r>
    </w:p>
    <w:p w14:paraId="37532DCE" w14:textId="77777777" w:rsidR="00970C29" w:rsidRDefault="00970C29" w:rsidP="00970C29">
      <w:pPr>
        <w:ind w:firstLine="708"/>
      </w:pPr>
      <w:r>
        <w:t xml:space="preserve">Todo e qualquer </w:t>
      </w:r>
      <w:proofErr w:type="spellStart"/>
      <w:r>
        <w:t>Deploy</w:t>
      </w:r>
      <w:proofErr w:type="spellEnd"/>
      <w:r>
        <w:t xml:space="preserve"> no ambiente deve ser solicitado para um dos representantes do Grupo de Trabalho. </w:t>
      </w:r>
    </w:p>
    <w:p w14:paraId="500C1A08" w14:textId="77777777" w:rsidR="00970C29" w:rsidRPr="00BA709D" w:rsidRDefault="00970C29" w:rsidP="00F831F0">
      <w:pPr>
        <w:ind w:left="708" w:firstLine="708"/>
      </w:pPr>
    </w:p>
    <w:p w14:paraId="3665AFBB" w14:textId="71AF64DB" w:rsidR="00657156" w:rsidRDefault="00657156" w:rsidP="00EF55AA">
      <w:pPr>
        <w:pStyle w:val="Ttulo1"/>
      </w:pPr>
      <w:r>
        <w:t>Usabilidade</w:t>
      </w:r>
    </w:p>
    <w:p w14:paraId="70BD193F" w14:textId="6DBB28BC" w:rsidR="00EF55AA" w:rsidRDefault="00EF55AA" w:rsidP="00EF55AA">
      <w:pPr>
        <w:pStyle w:val="Ttulo2"/>
      </w:pPr>
      <w:r>
        <w:t>Padrões de Usabilidade e Identidade Visual</w:t>
      </w:r>
    </w:p>
    <w:p w14:paraId="40169F85" w14:textId="77777777" w:rsidR="003B62D4" w:rsidRPr="003B62D4" w:rsidRDefault="003B62D4" w:rsidP="003B62D4"/>
    <w:p w14:paraId="29985E84" w14:textId="099E6B77" w:rsidR="003B62D4" w:rsidRDefault="003B62D4" w:rsidP="003B62D4">
      <w:hyperlink r:id="rId5" w:anchor="%C3%8Dcones%20de%20Menu" w:history="1">
        <w:r>
          <w:rPr>
            <w:rStyle w:val="Hyperlink"/>
          </w:rPr>
          <w:t>http://www2.ebserh.gov.br/web/sig/diretrizes-de-usabilidade/-/journal_content/56_INSTANCE_EIeomR9cw8vt/388659/1217233?p_p_state=pop_up&amp;_56_INSTANCE_EIeomR9cw8vt_page=1&amp;_56_INSTANCE_EIeomR9cw8vt_viewMode=print#%C3%8Dcones%20de%20Menu</w:t>
        </w:r>
      </w:hyperlink>
    </w:p>
    <w:p w14:paraId="1D8D7532" w14:textId="0810207E" w:rsidR="003B62D4" w:rsidRPr="003B62D4" w:rsidRDefault="003B62D4" w:rsidP="003B62D4">
      <w:hyperlink r:id="rId6" w:anchor="outros-princpios-para-implementar-interfaces-eficazes" w:history="1">
        <w:r>
          <w:rPr>
            <w:rStyle w:val="Hyperlink"/>
          </w:rPr>
          <w:t>https://www.caelum.com.br/apostila-ux-usabilidade-mobile-web/principios/#outros-princpios-para-implementar-interfaces-eficazes</w:t>
        </w:r>
      </w:hyperlink>
    </w:p>
    <w:p w14:paraId="35BBAD96" w14:textId="523DB52F" w:rsidR="00EF55AA" w:rsidRDefault="00EF55AA" w:rsidP="00EF55AA">
      <w:pPr>
        <w:ind w:firstLine="708"/>
      </w:pPr>
      <w:r>
        <w:t>Todas as telas devem seguir os seguintes padrões em seu desenvolvimento</w:t>
      </w:r>
    </w:p>
    <w:p w14:paraId="245CAF6E" w14:textId="17E97A49" w:rsidR="00EF55AA" w:rsidRDefault="00EF55AA" w:rsidP="00EF55AA">
      <w:pPr>
        <w:pStyle w:val="Ttulo3"/>
        <w:numPr>
          <w:ilvl w:val="0"/>
          <w:numId w:val="1"/>
        </w:numPr>
      </w:pPr>
      <w:r>
        <w:t>Títulos</w:t>
      </w:r>
    </w:p>
    <w:p w14:paraId="730500EF" w14:textId="76B2AB18" w:rsidR="00EF55AA" w:rsidRPr="00EF55AA" w:rsidRDefault="00EF55AA" w:rsidP="00EF55AA">
      <w:pPr>
        <w:ind w:firstLine="708"/>
      </w:pPr>
      <w:r>
        <w:t>Exemplo</w:t>
      </w:r>
    </w:p>
    <w:p w14:paraId="44ED2EC4" w14:textId="3F5AB047" w:rsidR="00EF55AA" w:rsidRDefault="00EF55AA" w:rsidP="00EF55AA">
      <w:pPr>
        <w:pStyle w:val="Ttulo3"/>
        <w:numPr>
          <w:ilvl w:val="0"/>
          <w:numId w:val="1"/>
        </w:numPr>
      </w:pPr>
      <w:r>
        <w:t>Painéis</w:t>
      </w:r>
    </w:p>
    <w:p w14:paraId="152977AD" w14:textId="7B3F3BBD" w:rsidR="00EF55AA" w:rsidRPr="00EF55AA" w:rsidRDefault="00EF55AA" w:rsidP="00EF55AA">
      <w:r>
        <w:tab/>
        <w:t>Exemplo</w:t>
      </w:r>
    </w:p>
    <w:p w14:paraId="3C32EC56" w14:textId="0491F82A" w:rsidR="00EF55AA" w:rsidRDefault="00EF55AA" w:rsidP="00EF55AA">
      <w:pPr>
        <w:pStyle w:val="Ttulo3"/>
        <w:numPr>
          <w:ilvl w:val="0"/>
          <w:numId w:val="1"/>
        </w:numPr>
      </w:pPr>
      <w:r>
        <w:t>Botões</w:t>
      </w:r>
    </w:p>
    <w:p w14:paraId="30CF1F36" w14:textId="77777777" w:rsidR="002744F9" w:rsidRDefault="002744F9" w:rsidP="002744F9">
      <w:pPr>
        <w:pStyle w:val="Ttulo4"/>
        <w:ind w:left="708"/>
      </w:pPr>
      <w:r>
        <w:t>Cadastrar</w:t>
      </w:r>
    </w:p>
    <w:p w14:paraId="14ED1D4E" w14:textId="5D900AA1" w:rsidR="002744F9" w:rsidRPr="00EF55AA" w:rsidRDefault="002744F9" w:rsidP="002744F9">
      <w:pPr>
        <w:ind w:left="708"/>
      </w:pPr>
      <w:r>
        <w:t>Exemplo</w:t>
      </w:r>
    </w:p>
    <w:p w14:paraId="678A0623" w14:textId="7F7BA3C6" w:rsidR="002744F9" w:rsidRDefault="002744F9" w:rsidP="002744F9">
      <w:pPr>
        <w:pStyle w:val="Ttulo4"/>
        <w:ind w:left="708"/>
      </w:pPr>
      <w:r>
        <w:t>Editar</w:t>
      </w:r>
    </w:p>
    <w:p w14:paraId="6EA9112C" w14:textId="77777777" w:rsidR="002744F9" w:rsidRPr="00EF55AA" w:rsidRDefault="002744F9" w:rsidP="002744F9">
      <w:pPr>
        <w:ind w:left="708"/>
      </w:pPr>
      <w:r>
        <w:t>Exemplo</w:t>
      </w:r>
    </w:p>
    <w:p w14:paraId="432589A8" w14:textId="77777777" w:rsidR="002744F9" w:rsidRDefault="002744F9" w:rsidP="002744F9">
      <w:pPr>
        <w:pStyle w:val="Ttulo4"/>
        <w:ind w:left="708"/>
      </w:pPr>
      <w:r>
        <w:t>Excluir</w:t>
      </w:r>
    </w:p>
    <w:p w14:paraId="6704C51C" w14:textId="77777777" w:rsidR="002744F9" w:rsidRPr="00EF55AA" w:rsidRDefault="002744F9" w:rsidP="002744F9">
      <w:pPr>
        <w:ind w:left="708"/>
      </w:pPr>
      <w:r>
        <w:t>Exemplo</w:t>
      </w:r>
    </w:p>
    <w:p w14:paraId="402FD653" w14:textId="5B14F839" w:rsidR="002744F9" w:rsidRDefault="002744F9" w:rsidP="002744F9">
      <w:pPr>
        <w:pStyle w:val="Ttulo4"/>
        <w:ind w:left="708"/>
      </w:pPr>
      <w:r>
        <w:t>Consultar</w:t>
      </w:r>
    </w:p>
    <w:p w14:paraId="7A691378" w14:textId="648763EC" w:rsidR="002744F9" w:rsidRPr="002744F9" w:rsidRDefault="002744F9" w:rsidP="002744F9">
      <w:pPr>
        <w:ind w:left="708"/>
      </w:pPr>
      <w:r>
        <w:t>Exemplo</w:t>
      </w:r>
    </w:p>
    <w:p w14:paraId="22493FE7" w14:textId="2D4877B9" w:rsidR="00EF55AA" w:rsidRDefault="00EF55AA" w:rsidP="00EF55AA">
      <w:pPr>
        <w:pStyle w:val="Ttulo3"/>
        <w:numPr>
          <w:ilvl w:val="0"/>
          <w:numId w:val="1"/>
        </w:numPr>
      </w:pPr>
      <w:r>
        <w:lastRenderedPageBreak/>
        <w:t>Campos de Formulários</w:t>
      </w:r>
    </w:p>
    <w:p w14:paraId="5025B685" w14:textId="59A2719F" w:rsidR="007F4B65" w:rsidRPr="007F4B65" w:rsidRDefault="007F4B65" w:rsidP="007F4B65">
      <w:pPr>
        <w:ind w:left="708"/>
      </w:pPr>
      <w:r>
        <w:t xml:space="preserve">Todos os campos devem ter um </w:t>
      </w:r>
      <w:proofErr w:type="spellStart"/>
      <w:r>
        <w:t>tooltip</w:t>
      </w:r>
      <w:proofErr w:type="spellEnd"/>
      <w:r>
        <w:t xml:space="preserve"> com informações explicativas (detalhar mais campos complexos)</w:t>
      </w:r>
    </w:p>
    <w:p w14:paraId="5A00E47E" w14:textId="77777777" w:rsidR="00EF55AA" w:rsidRPr="00EF55AA" w:rsidRDefault="00EF55AA" w:rsidP="00EF55AA">
      <w:r>
        <w:tab/>
        <w:t>Exemplo</w:t>
      </w:r>
    </w:p>
    <w:p w14:paraId="0442EAED" w14:textId="77777777" w:rsidR="007F4B65" w:rsidRPr="00EF55AA" w:rsidRDefault="007F4B65" w:rsidP="007F4B65"/>
    <w:p w14:paraId="6D2D5B77" w14:textId="77777777" w:rsidR="007F4B65" w:rsidRDefault="007F4B65" w:rsidP="007F4B65">
      <w:pPr>
        <w:pStyle w:val="Ttulo3"/>
        <w:numPr>
          <w:ilvl w:val="0"/>
          <w:numId w:val="1"/>
        </w:numPr>
      </w:pPr>
      <w:r>
        <w:t>Mensagens</w:t>
      </w:r>
    </w:p>
    <w:p w14:paraId="001AE111" w14:textId="77777777" w:rsidR="007F4B65" w:rsidRDefault="007F4B65" w:rsidP="007F4B65">
      <w:pPr>
        <w:pStyle w:val="Ttulo4"/>
        <w:ind w:firstLine="708"/>
      </w:pPr>
      <w:r>
        <w:t>Mensagem de Confirmação</w:t>
      </w:r>
    </w:p>
    <w:p w14:paraId="2238EDF8" w14:textId="77777777" w:rsidR="007F4B65" w:rsidRDefault="007F4B65" w:rsidP="007F4B65">
      <w:pPr>
        <w:ind w:left="708"/>
      </w:pPr>
      <w:r>
        <w:t>Sempre utilizar mensagens de confirmação para realizar alguma ação de persistência</w:t>
      </w:r>
    </w:p>
    <w:p w14:paraId="140C225E" w14:textId="543CC7FE" w:rsidR="007F4B65" w:rsidRDefault="007F4B65" w:rsidP="007F4B65">
      <w:pPr>
        <w:ind w:left="708"/>
      </w:pPr>
      <w:r>
        <w:t xml:space="preserve">Utilizar o componente </w:t>
      </w:r>
      <w:r w:rsidRPr="007F4B65">
        <w:rPr>
          <w:highlight w:val="yellow"/>
        </w:rPr>
        <w:t>XXXXX</w:t>
      </w:r>
    </w:p>
    <w:p w14:paraId="308F2A98" w14:textId="12EFD8B1" w:rsidR="007F4B65" w:rsidRDefault="007F4B65" w:rsidP="007F4B65">
      <w:pPr>
        <w:pStyle w:val="Ttulo4"/>
        <w:ind w:firstLine="708"/>
      </w:pPr>
      <w:r>
        <w:t>Mensagem de Erro, Sucesso, Atenção</w:t>
      </w:r>
    </w:p>
    <w:p w14:paraId="7F61D6C4" w14:textId="7B5CFEFD" w:rsidR="007F4B65" w:rsidRDefault="007F4B65" w:rsidP="007F4B65">
      <w:pPr>
        <w:ind w:left="708"/>
      </w:pPr>
      <w:r>
        <w:t>Sempre utilizar mensagens informativas para informar ao usuário que tal ação foi realizada com sucesso ou não</w:t>
      </w:r>
      <w:r w:rsidR="002744F9">
        <w:t xml:space="preserve"> e para algumas ocasiões alertar o usuário com </w:t>
      </w:r>
      <w:proofErr w:type="gramStart"/>
      <w:r w:rsidR="002744F9">
        <w:t>umas mensagem</w:t>
      </w:r>
      <w:proofErr w:type="gramEnd"/>
      <w:r w:rsidR="002744F9">
        <w:t xml:space="preserve"> de </w:t>
      </w:r>
      <w:proofErr w:type="spellStart"/>
      <w:r w:rsidR="002744F9">
        <w:t>Warning</w:t>
      </w:r>
      <w:proofErr w:type="spellEnd"/>
      <w:r w:rsidR="002744F9">
        <w:t>.</w:t>
      </w:r>
    </w:p>
    <w:p w14:paraId="69AF8B63" w14:textId="2C6710BC" w:rsidR="007F4B65" w:rsidRPr="007F4B65" w:rsidRDefault="007F4B65" w:rsidP="007F4B65">
      <w:pPr>
        <w:ind w:left="708"/>
      </w:pPr>
      <w:r>
        <w:t xml:space="preserve">Utilizar o componente </w:t>
      </w:r>
      <w:r w:rsidRPr="007F4B65">
        <w:rPr>
          <w:highlight w:val="yellow"/>
        </w:rPr>
        <w:t>XXXXX</w:t>
      </w:r>
    </w:p>
    <w:p w14:paraId="4401EB3A" w14:textId="77777777" w:rsidR="007F4B65" w:rsidRDefault="007F4B65" w:rsidP="007F4B65">
      <w:pPr>
        <w:pStyle w:val="Ttulo3"/>
        <w:numPr>
          <w:ilvl w:val="0"/>
          <w:numId w:val="1"/>
        </w:numPr>
      </w:pPr>
      <w:proofErr w:type="spellStart"/>
      <w:r>
        <w:t>Tables</w:t>
      </w:r>
      <w:proofErr w:type="spellEnd"/>
    </w:p>
    <w:p w14:paraId="27B66623" w14:textId="353F937C" w:rsidR="007F4B65" w:rsidRDefault="007F4B65" w:rsidP="007F4B65">
      <w:pPr>
        <w:ind w:left="708"/>
      </w:pPr>
      <w:r>
        <w:t xml:space="preserve">Tabelas devem possuir as seguintes configurações: </w:t>
      </w:r>
      <w:r>
        <w:rPr>
          <w:highlight w:val="yellow"/>
        </w:rPr>
        <w:t>a</w:t>
      </w:r>
      <w:r w:rsidRPr="007F4B65">
        <w:rPr>
          <w:highlight w:val="yellow"/>
        </w:rPr>
        <w:t xml:space="preserve"> </w:t>
      </w:r>
      <w:r>
        <w:rPr>
          <w:highlight w:val="yellow"/>
        </w:rPr>
        <w:t>v</w:t>
      </w:r>
      <w:r w:rsidRPr="007F4B65">
        <w:rPr>
          <w:highlight w:val="yellow"/>
        </w:rPr>
        <w:t>erificar</w:t>
      </w:r>
    </w:p>
    <w:p w14:paraId="6DE84A49" w14:textId="36ECC5E0" w:rsidR="007F4B65" w:rsidRDefault="007F4B65" w:rsidP="007F4B65">
      <w:pPr>
        <w:ind w:left="708"/>
      </w:pPr>
      <w:r>
        <w:t xml:space="preserve">Para retornos vazios devem ser retornados mensagens </w:t>
      </w:r>
    </w:p>
    <w:p w14:paraId="1A2852D4" w14:textId="1E6403FC" w:rsidR="007F4B65" w:rsidRPr="00EF55AA" w:rsidRDefault="007F4B65" w:rsidP="002744F9">
      <w:pPr>
        <w:ind w:left="708"/>
      </w:pPr>
      <w:r>
        <w:t>Exemplo:</w:t>
      </w:r>
    </w:p>
    <w:p w14:paraId="17FE5959" w14:textId="77777777" w:rsidR="007F4B65" w:rsidRDefault="007F4B65" w:rsidP="007F4B65">
      <w:pPr>
        <w:pStyle w:val="Ttulo3"/>
        <w:numPr>
          <w:ilvl w:val="0"/>
          <w:numId w:val="1"/>
        </w:numPr>
      </w:pPr>
      <w:r>
        <w:t>Padrões de Rotas</w:t>
      </w:r>
    </w:p>
    <w:p w14:paraId="13B66601" w14:textId="77777777" w:rsidR="007F4B65" w:rsidRDefault="007F4B65" w:rsidP="007F4B65">
      <w:pPr>
        <w:ind w:left="708"/>
      </w:pPr>
      <w:r>
        <w:t xml:space="preserve">Nomes devem seguir o seguinte padrão: </w:t>
      </w:r>
      <w:r w:rsidRPr="007F4B65">
        <w:rPr>
          <w:highlight w:val="yellow"/>
        </w:rPr>
        <w:t>a definir</w:t>
      </w:r>
    </w:p>
    <w:p w14:paraId="2518712C" w14:textId="22FB16A6" w:rsidR="007F4B65" w:rsidRDefault="007F4B65" w:rsidP="007F4B65">
      <w:pPr>
        <w:ind w:left="708"/>
      </w:pPr>
    </w:p>
    <w:p w14:paraId="15A09DC6" w14:textId="4DD162A3" w:rsidR="000A12FB" w:rsidRDefault="000A12FB" w:rsidP="007F4B65">
      <w:pPr>
        <w:ind w:left="708"/>
      </w:pPr>
    </w:p>
    <w:p w14:paraId="64996604" w14:textId="0CABBB9A" w:rsidR="000A12FB" w:rsidRPr="007F4B65" w:rsidRDefault="000A12FB" w:rsidP="007F4B65">
      <w:pPr>
        <w:ind w:left="708"/>
      </w:pPr>
    </w:p>
    <w:sectPr w:rsidR="000A12FB" w:rsidRPr="007F4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24FB2"/>
    <w:multiLevelType w:val="hybridMultilevel"/>
    <w:tmpl w:val="1096D2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D94"/>
    <w:rsid w:val="000305BA"/>
    <w:rsid w:val="000501F6"/>
    <w:rsid w:val="00087C09"/>
    <w:rsid w:val="000A12FB"/>
    <w:rsid w:val="00144D94"/>
    <w:rsid w:val="0017221A"/>
    <w:rsid w:val="001757A4"/>
    <w:rsid w:val="00193660"/>
    <w:rsid w:val="00197F35"/>
    <w:rsid w:val="001B45FB"/>
    <w:rsid w:val="001F50E4"/>
    <w:rsid w:val="002744F9"/>
    <w:rsid w:val="002E06C2"/>
    <w:rsid w:val="003B62D4"/>
    <w:rsid w:val="003C54CA"/>
    <w:rsid w:val="003D71AB"/>
    <w:rsid w:val="003E7198"/>
    <w:rsid w:val="00474A9D"/>
    <w:rsid w:val="00626A21"/>
    <w:rsid w:val="00657156"/>
    <w:rsid w:val="00670C24"/>
    <w:rsid w:val="006A770F"/>
    <w:rsid w:val="007F4B65"/>
    <w:rsid w:val="0081088C"/>
    <w:rsid w:val="00816D8B"/>
    <w:rsid w:val="00970C29"/>
    <w:rsid w:val="00A444AE"/>
    <w:rsid w:val="00A554DE"/>
    <w:rsid w:val="00A801A3"/>
    <w:rsid w:val="00B51362"/>
    <w:rsid w:val="00BA709D"/>
    <w:rsid w:val="00BD7A7A"/>
    <w:rsid w:val="00C02D8C"/>
    <w:rsid w:val="00C1595D"/>
    <w:rsid w:val="00CD5DF9"/>
    <w:rsid w:val="00D05648"/>
    <w:rsid w:val="00D06FCB"/>
    <w:rsid w:val="00DB088F"/>
    <w:rsid w:val="00E06A6E"/>
    <w:rsid w:val="00E36B97"/>
    <w:rsid w:val="00EF2A2E"/>
    <w:rsid w:val="00EF55AA"/>
    <w:rsid w:val="00F2659B"/>
    <w:rsid w:val="00F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942D"/>
  <w15:docId w15:val="{9FCFE699-C152-48A2-AB27-01F2DBF3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7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5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F4B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pl-k">
    <w:name w:val="pl-k"/>
    <w:basedOn w:val="Fontepargpadro"/>
    <w:rsid w:val="00626A21"/>
  </w:style>
  <w:style w:type="character" w:customStyle="1" w:styleId="pl-v">
    <w:name w:val="pl-v"/>
    <w:basedOn w:val="Fontepargpadro"/>
    <w:rsid w:val="00626A21"/>
  </w:style>
  <w:style w:type="character" w:customStyle="1" w:styleId="pl-en">
    <w:name w:val="pl-en"/>
    <w:basedOn w:val="Fontepargpadro"/>
    <w:rsid w:val="00626A21"/>
  </w:style>
  <w:style w:type="character" w:customStyle="1" w:styleId="pl-c1">
    <w:name w:val="pl-c1"/>
    <w:basedOn w:val="Fontepargpadro"/>
    <w:rsid w:val="00626A21"/>
  </w:style>
  <w:style w:type="character" w:customStyle="1" w:styleId="pl-smi">
    <w:name w:val="pl-smi"/>
    <w:basedOn w:val="Fontepargpadro"/>
    <w:rsid w:val="00626A21"/>
  </w:style>
  <w:style w:type="character" w:customStyle="1" w:styleId="pl-s">
    <w:name w:val="pl-s"/>
    <w:basedOn w:val="Fontepargpadro"/>
    <w:rsid w:val="00626A21"/>
  </w:style>
  <w:style w:type="character" w:customStyle="1" w:styleId="pl-pds">
    <w:name w:val="pl-pds"/>
    <w:basedOn w:val="Fontepargpadro"/>
    <w:rsid w:val="00626A21"/>
  </w:style>
  <w:style w:type="character" w:customStyle="1" w:styleId="Ttulo1Char">
    <w:name w:val="Título 1 Char"/>
    <w:basedOn w:val="Fontepargpadro"/>
    <w:link w:val="Ttulo1"/>
    <w:uiPriority w:val="9"/>
    <w:rsid w:val="00175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757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757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A7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55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5A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7F4B6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elum.com.br/apostila-ux-usabilidade-mobile-web/principios/" TargetMode="External"/><Relationship Id="rId5" Type="http://schemas.openxmlformats.org/officeDocument/2006/relationships/hyperlink" Target="http://www2.ebserh.gov.br/web/sig/diretrizes-de-usabilidade/-/journal_content/56_INSTANCE_EIeomR9cw8vt/388659/1217233?p_p_state=pop_up&amp;_56_INSTANCE_EIeomR9cw8vt_page=1&amp;_56_INSTANCE_EIeomR9cw8vt_viewMode=pr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Roney</cp:lastModifiedBy>
  <cp:revision>17</cp:revision>
  <dcterms:created xsi:type="dcterms:W3CDTF">2018-10-05T01:40:00Z</dcterms:created>
  <dcterms:modified xsi:type="dcterms:W3CDTF">2020-06-22T04:03:00Z</dcterms:modified>
</cp:coreProperties>
</file>