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260435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260435" w:rsidP="00DB19BE">
            <w:pPr>
              <w:pStyle w:val="Verses"/>
            </w:pPr>
            <w:r>
              <w:t>30/11/2017</w:t>
            </w:r>
          </w:p>
        </w:tc>
        <w:tc>
          <w:tcPr>
            <w:tcW w:w="2420" w:type="dxa"/>
            <w:vAlign w:val="center"/>
          </w:tcPr>
          <w:p w:rsidR="00D77511" w:rsidRPr="00C52528" w:rsidRDefault="00260435" w:rsidP="00DB19BE">
            <w:pPr>
              <w:pStyle w:val="Verses"/>
            </w:pPr>
            <w:r>
              <w:t>Leonardo Pereira</w:t>
            </w:r>
          </w:p>
        </w:tc>
        <w:tc>
          <w:tcPr>
            <w:tcW w:w="4389" w:type="dxa"/>
            <w:vAlign w:val="center"/>
          </w:tcPr>
          <w:p w:rsidR="00D77511" w:rsidRPr="00C52528" w:rsidRDefault="00260435" w:rsidP="00DB19BE">
            <w:pPr>
              <w:pStyle w:val="Verses"/>
            </w:pPr>
            <w:r>
              <w:t>Primeira Elaboração</w:t>
            </w: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:rsidR="00DF7148" w:rsidRPr="006039E8" w:rsidRDefault="00DF7148" w:rsidP="00DF7148">
      <w:r>
        <w:t>O</w:t>
      </w:r>
      <w:r w:rsidRPr="00E70F8F">
        <w:t xml:space="preserve"> </w:t>
      </w:r>
      <w:hyperlink r:id="rId7" w:tooltip="Plano de gerenciamento dos custos" w:history="1">
        <w:r w:rsidR="00407D62" w:rsidRPr="00E70F8F">
          <w:rPr>
            <w:rStyle w:val="Hyperlink"/>
            <w:color w:val="auto"/>
            <w:u w:val="none"/>
          </w:rPr>
          <w:t>Plano de gerenciamento dos custos</w:t>
        </w:r>
      </w:hyperlink>
      <w:r w:rsidRPr="00E70F8F"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207F25">
        <w:t>os</w:t>
      </w:r>
      <w:r w:rsidR="00BD146B">
        <w:t xml:space="preserve">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AF435C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8" w:tooltip="Plano de gerenciamento dos custos" w:history="1">
        <w:r w:rsidR="00407D62" w:rsidRPr="005662B8">
          <w:rPr>
            <w:rStyle w:val="Hyperlink"/>
            <w:color w:val="000000" w:themeColor="text1"/>
            <w:u w:val="none"/>
          </w:rPr>
          <w:t>Plano de gerenciamento dos custos</w:t>
        </w:r>
      </w:hyperlink>
      <w:r w:rsidRPr="005662B8">
        <w:rPr>
          <w:color w:val="000000" w:themeColor="text1"/>
        </w:rPr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310C74">
      <w:pPr>
        <w:pStyle w:val="Ttulo1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DF7148" w:rsidRDefault="00DF7148" w:rsidP="00DF7148"/>
    <w:p w:rsidR="00AF435C" w:rsidRPr="00310C74" w:rsidRDefault="00CA1FF2" w:rsidP="00AF435C">
      <w:pPr>
        <w:rPr>
          <w:b/>
          <w:color w:val="0070C0"/>
        </w:rPr>
      </w:pPr>
      <w:hyperlink r:id="rId9" w:tooltip="Estimar os custos" w:history="1">
        <w:r w:rsidR="00407D62" w:rsidRPr="00310C74">
          <w:rPr>
            <w:rStyle w:val="Hyperlink"/>
            <w:b/>
            <w:color w:val="0070C0"/>
            <w:u w:val="none"/>
          </w:rPr>
          <w:t>Estimar os custos</w:t>
        </w:r>
      </w:hyperlink>
      <w:r w:rsidR="00AF435C" w:rsidRPr="00310C74">
        <w:rPr>
          <w:b/>
          <w:color w:val="0070C0"/>
        </w:rPr>
        <w:t xml:space="preserve"> </w:t>
      </w:r>
    </w:p>
    <w:p w:rsidR="00AF435C" w:rsidRPr="00AF435C" w:rsidRDefault="00AF435C" w:rsidP="00AF435C">
      <w:pPr>
        <w:rPr>
          <w:color w:val="0000FF"/>
          <w:u w:val="single"/>
        </w:rPr>
      </w:pPr>
      <w:r>
        <w:t>É</w:t>
      </w:r>
      <w:r w:rsidRPr="00B40658">
        <w:t xml:space="preserve"> o processo de desenvolvimento de uma estimativa de custos dos</w:t>
      </w:r>
      <w:r>
        <w:t xml:space="preserve"> </w:t>
      </w:r>
      <w:r w:rsidRPr="00B40658">
        <w:t>recursos monetários necessários para terminar as atividades do projeto.</w:t>
      </w:r>
      <w:r>
        <w:t xml:space="preserve"> </w:t>
      </w:r>
      <w:r w:rsidRPr="00B40658">
        <w:t>Es</w:t>
      </w:r>
      <w:r>
        <w:t>s</w:t>
      </w:r>
      <w:r w:rsidRPr="00B40658">
        <w:t>a estimativa será feita através de pesquisa de mercado feita com as empresas que ir</w:t>
      </w:r>
      <w:r>
        <w:t>ão</w:t>
      </w:r>
      <w:r w:rsidRPr="00B40658">
        <w:t xml:space="preserve"> participar da licitação e o do método “Bottom-up” </w:t>
      </w:r>
      <w:r>
        <w:t>em que</w:t>
      </w:r>
      <w:r w:rsidRPr="00B40658">
        <w:t xml:space="preserve"> o custo de pacotes de trabalho individuais ou atividades é estimado com o maior nível de detalhes especificados;</w:t>
      </w:r>
    </w:p>
    <w:p w:rsidR="00FF4B08" w:rsidRDefault="00FF4B08" w:rsidP="00FF4B08"/>
    <w:p w:rsidR="00AF435C" w:rsidRPr="00310C74" w:rsidRDefault="00407D62" w:rsidP="00AF435C">
      <w:pPr>
        <w:rPr>
          <w:rStyle w:val="Hyperlink"/>
          <w:b/>
          <w:color w:val="0070C0"/>
          <w:u w:val="none"/>
        </w:rPr>
      </w:pPr>
      <w:r w:rsidRPr="00310C74">
        <w:rPr>
          <w:b/>
          <w:color w:val="0070C0"/>
        </w:rPr>
        <w:t>Determinar</w:t>
      </w:r>
      <w:r w:rsidR="005662B8" w:rsidRPr="00310C74">
        <w:rPr>
          <w:b/>
          <w:color w:val="0070C0"/>
        </w:rPr>
        <w:t xml:space="preserve"> O</w:t>
      </w:r>
      <w:r w:rsidRPr="00310C74">
        <w:rPr>
          <w:b/>
          <w:color w:val="0070C0"/>
        </w:rPr>
        <w:t>rça</w:t>
      </w:r>
      <w:r w:rsidRPr="00310C74">
        <w:rPr>
          <w:b/>
          <w:color w:val="0070C0"/>
        </w:rPr>
        <w:t>m</w:t>
      </w:r>
      <w:r w:rsidRPr="00310C74">
        <w:rPr>
          <w:b/>
          <w:color w:val="0070C0"/>
        </w:rPr>
        <w:t>ento</w:t>
      </w:r>
    </w:p>
    <w:p w:rsidR="00AF435C" w:rsidRPr="00B40658" w:rsidRDefault="00AF435C" w:rsidP="00AF435C">
      <w:r>
        <w:t>É</w:t>
      </w:r>
      <w:r w:rsidRPr="00B40658">
        <w:t xml:space="preserve"> o processo de agregação dos custos estimados de</w:t>
      </w:r>
      <w:r>
        <w:t xml:space="preserve"> </w:t>
      </w:r>
      <w:r w:rsidRPr="00B40658">
        <w:t>atividades individuais ou pacotes de trabalho para estabelecer uma linha de base dos custos autorizada;</w:t>
      </w:r>
    </w:p>
    <w:p w:rsidR="00293323" w:rsidRDefault="00293323" w:rsidP="00293323">
      <w:r>
        <w:t>.</w:t>
      </w:r>
    </w:p>
    <w:p w:rsidR="00293323" w:rsidRDefault="00293323" w:rsidP="00293323"/>
    <w:p w:rsidR="00FF4B08" w:rsidRPr="00310C74" w:rsidRDefault="00CA1FF2" w:rsidP="00FF4B08">
      <w:pPr>
        <w:rPr>
          <w:b/>
          <w:color w:val="0070C0"/>
        </w:rPr>
      </w:pPr>
      <w:hyperlink r:id="rId10" w:tooltip="Controlar os custos" w:history="1">
        <w:r w:rsidR="00407D62" w:rsidRPr="00310C74">
          <w:rPr>
            <w:rStyle w:val="Hyperlink"/>
            <w:b/>
            <w:color w:val="0070C0"/>
            <w:u w:val="none"/>
          </w:rPr>
          <w:t>Controlar os custos</w:t>
        </w:r>
      </w:hyperlink>
    </w:p>
    <w:p w:rsidR="008843C9" w:rsidRDefault="00AF435C" w:rsidP="003D377B">
      <w:r>
        <w:t>É</w:t>
      </w:r>
      <w:r w:rsidRPr="00B40658">
        <w:t xml:space="preserve"> o processo de monitoramento </w:t>
      </w:r>
      <w:r>
        <w:t>sobre o</w:t>
      </w:r>
      <w:r w:rsidRPr="00B40658">
        <w:t xml:space="preserve"> andamento do projeto</w:t>
      </w:r>
      <w:r>
        <w:t>,</w:t>
      </w:r>
      <w:r w:rsidRPr="00B40658">
        <w:t xml:space="preserve"> para </w:t>
      </w:r>
      <w:r>
        <w:t xml:space="preserve">a </w:t>
      </w:r>
      <w:r w:rsidRPr="00B40658">
        <w:t xml:space="preserve">atualização do seu orçamento e gerenciamento das mudanças feitas na linha de base de custos. Os custos serão controlados e monitorados diariamente analisando gastos e quanto </w:t>
      </w:r>
      <w:r>
        <w:t xml:space="preserve">se </w:t>
      </w:r>
      <w:r w:rsidRPr="00B40658">
        <w:t>tem em caixa.</w:t>
      </w:r>
    </w:p>
    <w:p w:rsidR="005662B8" w:rsidRDefault="005662B8" w:rsidP="003D377B"/>
    <w:p w:rsidR="005662B8" w:rsidRDefault="005662B8" w:rsidP="003D377B"/>
    <w:p w:rsidR="005662B8" w:rsidRDefault="005662B8" w:rsidP="003D377B"/>
    <w:p w:rsidR="005662B8" w:rsidRDefault="005662B8" w:rsidP="003D377B"/>
    <w:p w:rsidR="005662B8" w:rsidRDefault="005662B8" w:rsidP="003D377B"/>
    <w:p w:rsidR="005662B8" w:rsidRDefault="005662B8" w:rsidP="003D377B"/>
    <w:p w:rsidR="00310C74" w:rsidRDefault="00310C74" w:rsidP="003D377B"/>
    <w:p w:rsidR="008C2C80" w:rsidRPr="00AA21AD" w:rsidRDefault="008C2C80" w:rsidP="00511CDD">
      <w:pPr>
        <w:pStyle w:val="Ttulo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:rsidR="00DC42AB" w:rsidRPr="00237336" w:rsidRDefault="00DC42AB" w:rsidP="00DC42AB">
      <w:pPr>
        <w:pStyle w:val="Descrio"/>
        <w:rPr>
          <w:sz w:val="18"/>
          <w:lang w:val="pt-BR"/>
        </w:rPr>
      </w:pPr>
    </w:p>
    <w:p w:rsidR="005662B8" w:rsidRPr="006E1304" w:rsidRDefault="005662B8" w:rsidP="00310C74">
      <w:pPr>
        <w:ind w:left="567"/>
      </w:pPr>
      <w:r w:rsidRPr="006E1304">
        <w:t xml:space="preserve">Os documentos utilizados nos processos de custos </w:t>
      </w:r>
      <w:r w:rsidRPr="006E1304">
        <w:rPr>
          <w:rFonts w:cs="Arial"/>
          <w:shd w:val="clear" w:color="auto" w:fill="FFFFFF"/>
        </w:rPr>
        <w:t xml:space="preserve">estão relacionados no Plano de Gerenciamento das Aquisições, serão </w:t>
      </w:r>
      <w:r w:rsidRPr="006E1304">
        <w:t>armazenados na pasta de rede do projeto em um servidor de dados e utilizados pelo Gerente de Projetos, Consultor de Projetos, Consultor Financeiro e Consultor Jurídico. Sua utilização se dará durante o processo de contratação dos produtos e serviços do projeto, podendo também ser utilizado para consultas durante o projeto.</w:t>
      </w:r>
    </w:p>
    <w:p w:rsidR="005662B8" w:rsidRPr="006E1304" w:rsidRDefault="005662B8" w:rsidP="00310C74">
      <w:pPr>
        <w:ind w:left="567"/>
      </w:pPr>
      <w:r w:rsidRPr="006E1304">
        <w:rPr>
          <w:rFonts w:cs="Arial"/>
          <w:shd w:val="clear" w:color="auto" w:fill="FFFFFF"/>
        </w:rPr>
        <w:t>O controle dos gastos será feito através d</w:t>
      </w:r>
      <w:r>
        <w:rPr>
          <w:rFonts w:cs="Arial"/>
          <w:shd w:val="clear" w:color="auto" w:fill="FFFFFF"/>
        </w:rPr>
        <w:t xml:space="preserve">e uma Empresa </w:t>
      </w:r>
      <w:r>
        <w:rPr>
          <w:rFonts w:cs="Arial"/>
          <w:shd w:val="clear" w:color="auto" w:fill="FFFFFF"/>
        </w:rPr>
        <w:t>terceirizada.</w:t>
      </w:r>
    </w:p>
    <w:p w:rsidR="00DC42AB" w:rsidRPr="00237336" w:rsidRDefault="00DC42AB" w:rsidP="00DC42AB">
      <w:pPr>
        <w:pStyle w:val="Descrio"/>
        <w:rPr>
          <w:sz w:val="18"/>
          <w:lang w:val="pt-BR"/>
        </w:rPr>
      </w:pPr>
    </w:p>
    <w:p w:rsidR="008C2C80" w:rsidRDefault="008C2C80" w:rsidP="008C2C80">
      <w:pPr>
        <w:pStyle w:val="Descrio"/>
        <w:rPr>
          <w:sz w:val="20"/>
          <w:lang w:val="pt-BR"/>
        </w:rPr>
      </w:pPr>
    </w:p>
    <w:p w:rsidR="00AF435C" w:rsidRDefault="00AF435C" w:rsidP="008C2C80">
      <w:pPr>
        <w:pStyle w:val="Descrio"/>
        <w:rPr>
          <w:sz w:val="20"/>
          <w:lang w:val="pt-BR"/>
        </w:rPr>
      </w:pPr>
    </w:p>
    <w:p w:rsidR="00AF435C" w:rsidRDefault="00AF435C" w:rsidP="008C2C80">
      <w:pPr>
        <w:pStyle w:val="Descrio"/>
        <w:rPr>
          <w:sz w:val="20"/>
          <w:lang w:val="pt-BR"/>
        </w:rPr>
      </w:pPr>
    </w:p>
    <w:p w:rsidR="00790628" w:rsidRPr="00AA21AD" w:rsidRDefault="00790628" w:rsidP="00790628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:rsidR="00DC42AB" w:rsidRDefault="00DC42AB" w:rsidP="00DC42AB">
      <w:pPr>
        <w:pStyle w:val="Comments"/>
      </w:pPr>
    </w:p>
    <w:p w:rsidR="00AF435C" w:rsidRPr="00593B39" w:rsidRDefault="00AF435C" w:rsidP="00DC42AB">
      <w:pPr>
        <w:pStyle w:val="Comments"/>
      </w:pPr>
    </w:p>
    <w:p w:rsidR="005662B8" w:rsidRPr="00AD2155" w:rsidRDefault="005662B8" w:rsidP="005662B8">
      <w:pPr>
        <w:pStyle w:val="PargrafodaLista"/>
        <w:numPr>
          <w:ilvl w:val="0"/>
          <w:numId w:val="10"/>
        </w:numPr>
        <w:jc w:val="both"/>
      </w:pPr>
      <w:r w:rsidRPr="005662B8">
        <w:rPr>
          <w:b/>
        </w:rPr>
        <w:t>Opinião especializada</w:t>
      </w:r>
      <w:r w:rsidRPr="00AD2155">
        <w:t xml:space="preserve">: Guiada por informações históricas, fornece um discernimento valioso sobre o ambiente e informações de projetos passados similares. A opinião especializada também pode </w:t>
      </w:r>
      <w:r>
        <w:t>recomendar</w:t>
      </w:r>
      <w:r w:rsidRPr="00AD2155">
        <w:t xml:space="preserve"> </w:t>
      </w:r>
      <w:r>
        <w:t>combinação de</w:t>
      </w:r>
      <w:r w:rsidRPr="00AD2155">
        <w:t xml:space="preserve"> métodos e como reconciliar as diferenças entre eles;</w:t>
      </w:r>
    </w:p>
    <w:p w:rsidR="005662B8" w:rsidRDefault="005662B8" w:rsidP="005662B8">
      <w:pPr>
        <w:numPr>
          <w:ilvl w:val="0"/>
          <w:numId w:val="10"/>
        </w:numPr>
        <w:jc w:val="both"/>
      </w:pPr>
      <w:r w:rsidRPr="00EB5A5F">
        <w:rPr>
          <w:b/>
        </w:rPr>
        <w:t xml:space="preserve">Técnicas analíticas: </w:t>
      </w:r>
      <w:r w:rsidRPr="00EB5A5F">
        <w:t xml:space="preserve">O desenvolvimento do </w:t>
      </w:r>
      <w:r>
        <w:t>P</w:t>
      </w:r>
      <w:r w:rsidRPr="00EB5A5F">
        <w:t xml:space="preserve">lano de </w:t>
      </w:r>
      <w:r>
        <w:t>G</w:t>
      </w:r>
      <w:r w:rsidRPr="00EB5A5F">
        <w:t xml:space="preserve">erenciamento dos </w:t>
      </w:r>
      <w:r>
        <w:t>C</w:t>
      </w:r>
      <w:r w:rsidRPr="00EB5A5F">
        <w:t>ustos pode envolver a escolha de opções estratégicas para financiar o projeto</w:t>
      </w:r>
      <w:r>
        <w:t>,</w:t>
      </w:r>
      <w:r w:rsidRPr="00EB5A5F">
        <w:t xml:space="preserve"> tais como</w:t>
      </w:r>
      <w:r>
        <w:t>:</w:t>
      </w:r>
      <w:r w:rsidRPr="00EB5A5F">
        <w:t xml:space="preserve"> autofinanciamento, financiamento com capital ou financiamento com débito. </w:t>
      </w:r>
    </w:p>
    <w:p w:rsidR="005662B8" w:rsidRPr="00EB5A5F" w:rsidRDefault="005662B8" w:rsidP="005662B8">
      <w:pPr>
        <w:ind w:left="720"/>
      </w:pPr>
      <w:r w:rsidRPr="00EB5A5F">
        <w:t>As políticas e procedimentos organizacionais podem influenciar que técnicas financeiras serão empregadas nessas decisões. As técnicas podem incluir (mas não estão limitadas a): período de reembolso, retorno sobre o investimento, taxa interna de retorno, fluxo de caixa descontado, e valor presente líquido;</w:t>
      </w:r>
    </w:p>
    <w:p w:rsidR="005662B8" w:rsidRPr="00AD2155" w:rsidRDefault="005662B8" w:rsidP="005662B8">
      <w:pPr>
        <w:numPr>
          <w:ilvl w:val="0"/>
          <w:numId w:val="10"/>
        </w:numPr>
        <w:jc w:val="both"/>
        <w:rPr>
          <w:b/>
        </w:rPr>
      </w:pPr>
      <w:r w:rsidRPr="00AD2155">
        <w:rPr>
          <w:b/>
        </w:rPr>
        <w:t xml:space="preserve">Reuniões: </w:t>
      </w:r>
      <w:r>
        <w:t>R</w:t>
      </w:r>
      <w:r w:rsidRPr="00AD2155">
        <w:t xml:space="preserve">euniões de planejamento para desenvolver o </w:t>
      </w:r>
      <w:r>
        <w:t>P</w:t>
      </w:r>
      <w:r w:rsidRPr="00AD2155">
        <w:t xml:space="preserve">lano de </w:t>
      </w:r>
      <w:r>
        <w:t>G</w:t>
      </w:r>
      <w:r w:rsidRPr="00AD2155">
        <w:t xml:space="preserve">erenciamento dos </w:t>
      </w:r>
      <w:r>
        <w:t>C</w:t>
      </w:r>
      <w:r w:rsidRPr="00AD2155">
        <w:t>ustos. Os participantes dessas reuniões podem incluir o patrocinador do projeto, membros selecionados da equipe do projeto e das partes interessadas, qualquer pessoa com responsabilidade nos custos do projeto.</w:t>
      </w:r>
    </w:p>
    <w:p w:rsidR="00DC42AB" w:rsidRDefault="00DC42AB" w:rsidP="00DC42AB">
      <w:pPr>
        <w:pStyle w:val="Comments"/>
      </w:pP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Default="008C2C80" w:rsidP="008C2C80"/>
    <w:p w:rsidR="005662B8" w:rsidRDefault="005662B8" w:rsidP="008C2C80"/>
    <w:p w:rsidR="005662B8" w:rsidRDefault="005662B8" w:rsidP="008C2C80"/>
    <w:p w:rsidR="005662B8" w:rsidRDefault="005662B8" w:rsidP="008C2C80"/>
    <w:p w:rsidR="005662B8" w:rsidRDefault="005662B8" w:rsidP="008C2C80"/>
    <w:p w:rsidR="005662B8" w:rsidRDefault="005662B8" w:rsidP="008C2C80"/>
    <w:p w:rsidR="005662B8" w:rsidRDefault="005662B8" w:rsidP="008C2C80"/>
    <w:p w:rsidR="005662B8" w:rsidRDefault="005662B8" w:rsidP="008C2C80"/>
    <w:p w:rsidR="005662B8" w:rsidRDefault="005662B8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Ttulo1"/>
      </w:pPr>
      <w:bookmarkStart w:id="9" w:name="_Toc353750964"/>
      <w:r>
        <w:t>Estim</w:t>
      </w:r>
      <w:r w:rsidR="00FF4B08">
        <w:t xml:space="preserve">ar </w:t>
      </w:r>
      <w:r w:rsidR="002E084D">
        <w:t>os custos</w:t>
      </w:r>
      <w:bookmarkEnd w:id="9"/>
    </w:p>
    <w:p w:rsidR="005B2D67" w:rsidRDefault="005B2D67" w:rsidP="006204BC"/>
    <w:p w:rsidR="00310C74" w:rsidRDefault="00310C74" w:rsidP="006204BC">
      <w:r>
        <w:t xml:space="preserve">No atual momento a estimativa de custo em relação ao projeto será direcionado para adquirir o Banco de Dados, toda parte de desenvolvimento com o Software será braçal, no qual não terá custo de mão de obra. Em relação ao POO e outras áreas afins do projeto </w:t>
      </w:r>
      <w:r w:rsidR="00511CDD">
        <w:t>não terão custo pois os mesmos integrantes estão assumindo as funcionalidades impostas dentro do projeto.</w:t>
      </w:r>
    </w:p>
    <w:p w:rsidR="00293323" w:rsidRDefault="00293323" w:rsidP="00E30209">
      <w:pPr>
        <w:pStyle w:val="Ttulo1"/>
      </w:pPr>
      <w:bookmarkStart w:id="10" w:name="_Toc353750965"/>
      <w:r>
        <w:t>Determinar o orçamento</w:t>
      </w:r>
      <w:bookmarkEnd w:id="10"/>
    </w:p>
    <w:p w:rsidR="005662B8" w:rsidRPr="005662B8" w:rsidRDefault="005662B8" w:rsidP="005662B8"/>
    <w:p w:rsidR="006204BC" w:rsidRDefault="005662B8" w:rsidP="005662B8">
      <w:pPr>
        <w:pStyle w:val="PargrafodaLista"/>
        <w:numPr>
          <w:ilvl w:val="0"/>
          <w:numId w:val="10"/>
        </w:numPr>
      </w:pPr>
      <w:r>
        <w:t>R$</w:t>
      </w:r>
      <w:r w:rsidR="00310C74">
        <w:t>10</w:t>
      </w:r>
      <w:r>
        <w:t>.000,00</w:t>
      </w:r>
      <w:r w:rsidR="00E57DFC">
        <w:t xml:space="preserve"> – Banco de Dados</w:t>
      </w:r>
    </w:p>
    <w:p w:rsidR="00310C74" w:rsidRDefault="00310C74" w:rsidP="00310C74"/>
    <w:p w:rsidR="00310C74" w:rsidRDefault="00310C74" w:rsidP="00310C74"/>
    <w:p w:rsidR="00FF4B08" w:rsidRDefault="00FF4B08" w:rsidP="00E30209">
      <w:pPr>
        <w:pStyle w:val="Ttulo1"/>
      </w:pPr>
      <w:bookmarkStart w:id="11" w:name="_Toc353750966"/>
      <w:r>
        <w:t xml:space="preserve">Controlar </w:t>
      </w:r>
      <w:r w:rsidR="002E084D">
        <w:t>os custos</w:t>
      </w:r>
      <w:bookmarkEnd w:id="11"/>
    </w:p>
    <w:p w:rsidR="0050103A" w:rsidRDefault="0050103A" w:rsidP="00E57DFC">
      <w:pPr>
        <w:pStyle w:val="Comments"/>
      </w:pPr>
    </w:p>
    <w:p w:rsidR="0050103A" w:rsidRPr="00E57DFC" w:rsidRDefault="0050103A" w:rsidP="0050103A">
      <w:pPr>
        <w:pStyle w:val="Comments"/>
        <w:rPr>
          <w:sz w:val="22"/>
          <w:szCs w:val="22"/>
        </w:rPr>
      </w:pPr>
      <w:r w:rsidRPr="00E57DFC">
        <w:rPr>
          <w:sz w:val="22"/>
          <w:szCs w:val="22"/>
        </w:rPr>
        <w:t xml:space="preserve">Os custos e o prazo serão monitorados através do Gerenciamento do valor agregado e de seus indicadores de prazo </w:t>
      </w:r>
      <w:r w:rsidR="00044CDB" w:rsidRPr="00E57DFC">
        <w:rPr>
          <w:sz w:val="22"/>
          <w:szCs w:val="22"/>
        </w:rPr>
        <w:t xml:space="preserve">(SPI) </w:t>
      </w:r>
      <w:r w:rsidRPr="00E57DFC">
        <w:rPr>
          <w:sz w:val="22"/>
          <w:szCs w:val="22"/>
        </w:rPr>
        <w:t xml:space="preserve">e custo (CPI) e semáforos para indicar o progresso do projeto. </w:t>
      </w:r>
    </w:p>
    <w:p w:rsidR="0050103A" w:rsidRPr="00E57DFC" w:rsidRDefault="0050103A" w:rsidP="0050103A">
      <w:pPr>
        <w:pStyle w:val="Comments"/>
        <w:rPr>
          <w:sz w:val="22"/>
          <w:szCs w:val="22"/>
        </w:rPr>
      </w:pPr>
      <w:r w:rsidRPr="00E57DFC">
        <w:rPr>
          <w:sz w:val="22"/>
          <w:szCs w:val="22"/>
        </w:rPr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809"/>
        <w:gridCol w:w="2733"/>
        <w:gridCol w:w="2313"/>
      </w:tblGrid>
      <w:tr w:rsidR="0050103A" w:rsidRPr="0050103A" w:rsidTr="00E57DFC">
        <w:trPr>
          <w:trHeight w:val="226"/>
        </w:trPr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E57DFC">
        <w:trPr>
          <w:trHeight w:val="240"/>
        </w:trPr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E57DFC">
        <w:trPr>
          <w:trHeight w:val="226"/>
        </w:trPr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FF4B08" w:rsidRDefault="00FF4B08" w:rsidP="00FF4B08">
      <w:bookmarkStart w:id="12" w:name="_GoBack"/>
      <w:bookmarkEnd w:id="12"/>
    </w:p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AF435C" w:rsidP="002D679E">
            <w:r>
              <w:t>Victor Vargas de Andrade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AF435C" w:rsidP="002D679E">
            <w:r>
              <w:t>Klisman Falcão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FF2" w:rsidRDefault="00CA1FF2" w:rsidP="005E1593">
      <w:r>
        <w:separator/>
      </w:r>
    </w:p>
  </w:endnote>
  <w:endnote w:type="continuationSeparator" w:id="0">
    <w:p w:rsidR="00CA1FF2" w:rsidRDefault="00CA1FF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310C74"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11CD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11CD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F435C" w:rsidRPr="006419CA" w:rsidTr="00310C74">
      <w:tc>
        <w:tcPr>
          <w:tcW w:w="3986" w:type="dxa"/>
          <w:vAlign w:val="center"/>
        </w:tcPr>
        <w:p w:rsidR="00AF435C" w:rsidRPr="006419CA" w:rsidRDefault="00AF435C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AF435C" w:rsidRPr="006419CA" w:rsidRDefault="00AF435C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CC0C59" w:rsidRPr="006419CA" w:rsidTr="00310C74">
      <w:tc>
        <w:tcPr>
          <w:tcW w:w="3986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FF2" w:rsidRDefault="00CA1FF2" w:rsidP="005E1593">
      <w:r>
        <w:separator/>
      </w:r>
    </w:p>
  </w:footnote>
  <w:footnote w:type="continuationSeparator" w:id="0">
    <w:p w:rsidR="00CA1FF2" w:rsidRDefault="00CA1FF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12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260435" w:rsidP="004E1C7A">
          <w:pPr>
            <w:pStyle w:val="Cabealho"/>
            <w:rPr>
              <w:sz w:val="22"/>
            </w:rPr>
          </w:pPr>
          <w:r>
            <w:t>Personal VR</w:t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09CA"/>
    <w:multiLevelType w:val="hybridMultilevel"/>
    <w:tmpl w:val="7AB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E7"/>
    <w:rsid w:val="00260435"/>
    <w:rsid w:val="00274187"/>
    <w:rsid w:val="00293323"/>
    <w:rsid w:val="00296DCC"/>
    <w:rsid w:val="002B0740"/>
    <w:rsid w:val="002D3416"/>
    <w:rsid w:val="002E084D"/>
    <w:rsid w:val="00310C74"/>
    <w:rsid w:val="00331443"/>
    <w:rsid w:val="00341B09"/>
    <w:rsid w:val="0034544C"/>
    <w:rsid w:val="003466B1"/>
    <w:rsid w:val="003626D4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1CDD"/>
    <w:rsid w:val="005165BF"/>
    <w:rsid w:val="0054317B"/>
    <w:rsid w:val="00546A3D"/>
    <w:rsid w:val="005546E1"/>
    <w:rsid w:val="0055540E"/>
    <w:rsid w:val="005662B8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84F6F"/>
    <w:rsid w:val="008C2C80"/>
    <w:rsid w:val="0090448E"/>
    <w:rsid w:val="009162ED"/>
    <w:rsid w:val="00921108"/>
    <w:rsid w:val="00980543"/>
    <w:rsid w:val="009A78FB"/>
    <w:rsid w:val="009C53A2"/>
    <w:rsid w:val="009E7715"/>
    <w:rsid w:val="009F687F"/>
    <w:rsid w:val="00A23556"/>
    <w:rsid w:val="00AE1992"/>
    <w:rsid w:val="00AF15FC"/>
    <w:rsid w:val="00AF435C"/>
    <w:rsid w:val="00B32719"/>
    <w:rsid w:val="00B37F64"/>
    <w:rsid w:val="00BD146B"/>
    <w:rsid w:val="00BF2AAC"/>
    <w:rsid w:val="00C02723"/>
    <w:rsid w:val="00C52528"/>
    <w:rsid w:val="00C873B9"/>
    <w:rsid w:val="00C945A9"/>
    <w:rsid w:val="00CA1FF2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57DFC"/>
    <w:rsid w:val="00E67383"/>
    <w:rsid w:val="00E70F8F"/>
    <w:rsid w:val="00EB6F43"/>
    <w:rsid w:val="00EF1A70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F0833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gerenciamento-dos-cus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plano-de-gerenciamento-dos-custo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scritoriodeprojetos.com.br/controlar-os-cus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estimar-os-cus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744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Leonardo Pereira</cp:lastModifiedBy>
  <cp:revision>2</cp:revision>
  <dcterms:created xsi:type="dcterms:W3CDTF">2017-12-04T23:34:00Z</dcterms:created>
  <dcterms:modified xsi:type="dcterms:W3CDTF">2017-12-04T23:34:00Z</dcterms:modified>
</cp:coreProperties>
</file>