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F395">
      <w:pPr>
        <w:pStyle w:val="7"/>
        <w:keepNext w:val="0"/>
        <w:keepLines w:val="0"/>
        <w:widowControl/>
        <w:suppressLineNumbers w:val="0"/>
      </w:pPr>
      <w:bookmarkStart w:id="0" w:name="_GoBack"/>
      <w:r>
        <w:rPr>
          <w:b/>
          <w:bCs/>
        </w:rPr>
        <w:t>从传统金融到数字金融：星火联合资本打造全球智能投资新生态</w:t>
      </w:r>
    </w:p>
    <w:bookmarkEnd w:id="0"/>
    <w:p w14:paraId="0323CB38">
      <w:pPr>
        <w:pStyle w:val="5"/>
        <w:keepNext w:val="0"/>
        <w:keepLines w:val="0"/>
        <w:widowControl/>
        <w:suppressLineNumbers w:val="0"/>
      </w:pPr>
      <w:r>
        <w:t>近年来，人工智能与数字经济正在深刻改变全球金融行业的发展格局。从传统投资模式到智能量化交易，从中心化金融到数字资产生态，金融行业正在迎来新一轮技术革命。</w:t>
      </w:r>
    </w:p>
    <w:p w14:paraId="57BCDCEB">
      <w:pPr>
        <w:pStyle w:val="5"/>
        <w:keepNext w:val="0"/>
        <w:keepLines w:val="0"/>
        <w:widowControl/>
        <w:suppressLineNumbers w:val="0"/>
      </w:pPr>
      <w:r>
        <w:t>在这一趋势下，SPARK UNION CAPITAL INC.凭借全球化视野与金融科技能力，逐步成长为一家聚焦AI量化投资与数字资产创新的国际化资本管理机构。</w:t>
      </w:r>
    </w:p>
    <w:p w14:paraId="1F087146">
      <w:pPr>
        <w:pStyle w:val="5"/>
        <w:keepNext w:val="0"/>
        <w:keepLines w:val="0"/>
        <w:widowControl/>
        <w:suppressLineNumbers w:val="0"/>
      </w:pPr>
      <w:r>
        <w:t>星火联合资本成立以来，始终坚持“AI + 金融 + 全球化”的战略方向，围绕多资产配置与智能投资体系展开深度布局。公司通过AI量化技术连接传统金融市场与数字资产市场，形成覆盖全球主要资产类别的投资能力。</w:t>
      </w:r>
    </w:p>
    <w:p w14:paraId="4A275BEC">
      <w:pPr>
        <w:pStyle w:val="5"/>
        <w:keepNext w:val="0"/>
        <w:keepLines w:val="0"/>
        <w:widowControl/>
        <w:suppressLineNumbers w:val="0"/>
      </w:pPr>
      <w:r>
        <w:t>与传统投资机构不同，星火联合资本更加重视数据分析与智能决策能力。公司AI系统能够通过海量市场数据训练，对全球市场趋势进行动态识别，并结合风险控制模型进行自动化策略执行。</w:t>
      </w:r>
    </w:p>
    <w:p w14:paraId="4F4E750C">
      <w:pPr>
        <w:pStyle w:val="5"/>
        <w:keepNext w:val="0"/>
        <w:keepLines w:val="0"/>
        <w:widowControl/>
        <w:suppressLineNumbers w:val="0"/>
      </w:pPr>
      <w:r>
        <w:t>目前，公司重点发展的核心方向包括：</w:t>
      </w:r>
    </w:p>
    <w:p w14:paraId="294114E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AI智能量化交易</w:t>
      </w:r>
    </w:p>
    <w:p w14:paraId="6F4E78E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多资产组合投资</w:t>
      </w:r>
    </w:p>
    <w:p w14:paraId="00FD217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数字资产创新生态</w:t>
      </w:r>
    </w:p>
    <w:p w14:paraId="205325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黄金量化模型</w:t>
      </w:r>
    </w:p>
    <w:p w14:paraId="4A5D96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全球风险控制体系</w:t>
      </w:r>
    </w:p>
    <w:p w14:paraId="18E6EF0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区块链金融技术</w:t>
      </w:r>
    </w:p>
    <w:p w14:paraId="5A9DADE7">
      <w:pPr>
        <w:pStyle w:val="5"/>
        <w:keepNext w:val="0"/>
        <w:keepLines w:val="0"/>
        <w:widowControl/>
        <w:suppressLineNumbers w:val="0"/>
      </w:pPr>
      <w:r>
        <w:t>其中，黄金AI量化策略成为公司重点研究领域之一。通过智能算法与市场数据分析系统，公司能够对全球黄金市场进行实时监测与趋势建模，提高策略执行效率与市场响应能力。</w:t>
      </w:r>
    </w:p>
    <w:p w14:paraId="269A8212">
      <w:pPr>
        <w:pStyle w:val="5"/>
        <w:keepNext w:val="0"/>
        <w:keepLines w:val="0"/>
        <w:widowControl/>
        <w:suppressLineNumbers w:val="0"/>
      </w:pPr>
      <w:r>
        <w:t>与此同时，星火联合资本也正在积极推动数字资产生态建设。随着全球Web3与区块链技术持续发展，公司希望通过数字资产与Token经济模型，探索未来全球价值流通的新模式。</w:t>
      </w:r>
    </w:p>
    <w:p w14:paraId="0FB05937">
      <w:pPr>
        <w:pStyle w:val="5"/>
        <w:keepNext w:val="0"/>
        <w:keepLines w:val="0"/>
        <w:widowControl/>
        <w:suppressLineNumbers w:val="0"/>
      </w:pPr>
      <w:r>
        <w:t>在风险控制方面，星火联合资本建立了多层级风控体系，包括：</w:t>
      </w:r>
    </w:p>
    <w:p w14:paraId="09186B2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AI动态风险识别</w:t>
      </w:r>
    </w:p>
    <w:p w14:paraId="527D293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智能仓位控制</w:t>
      </w:r>
    </w:p>
    <w:p w14:paraId="16404F1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多市场风险对冲</w:t>
      </w:r>
    </w:p>
    <w:p w14:paraId="71EED8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数据安全管理</w:t>
      </w:r>
    </w:p>
    <w:p w14:paraId="6B6C4D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0"/>
        <w:ind w:left="720" w:right="0" w:hanging="360"/>
        <w:rPr>
          <w:rFonts w:hint="default" w:ascii="Helvetica Neue" w:hAnsi="Helvetica Neue" w:eastAsia="Helvetica Neue" w:cs="Helvetica Neue"/>
          <w:sz w:val="26"/>
          <w:szCs w:val="26"/>
        </w:rPr>
      </w:pPr>
      <w:r>
        <w:rPr>
          <w:rFonts w:hint="default" w:ascii="Helvetica Neue" w:hAnsi="Helvetica Neue" w:eastAsia="Helvetica Neue" w:cs="Helvetica Neue"/>
          <w:sz w:val="26"/>
          <w:szCs w:val="26"/>
        </w:rPr>
        <w:t>全球合规流程建设</w:t>
      </w:r>
    </w:p>
    <w:p w14:paraId="7E51F29F">
      <w:pPr>
        <w:pStyle w:val="5"/>
        <w:keepNext w:val="0"/>
        <w:keepLines w:val="0"/>
        <w:widowControl/>
        <w:suppressLineNumbers w:val="0"/>
      </w:pPr>
      <w:r>
        <w:t>公司认为，金融科技的发展不仅需要创新能力，更需要长期稳定与规范化运营能力。因此，星火联合资本始终坚持技术创新与风险控制并重的发展理念。</w:t>
      </w:r>
    </w:p>
    <w:p w14:paraId="126F9E58">
      <w:pPr>
        <w:pStyle w:val="6"/>
        <w:keepNext w:val="0"/>
        <w:keepLines w:val="0"/>
        <w:widowControl/>
        <w:suppressLineNumbers w:val="0"/>
      </w:pPr>
      <w:r>
        <w:t>未来，星火联合资本将继续深化全球市场布局，加速</w:t>
      </w:r>
      <w:r>
        <w:rPr>
          <w:rStyle w:val="8"/>
        </w:rPr>
        <w:t>AI</w:t>
      </w:r>
      <w:r>
        <w:t>技术与资本管理融合，推动数字金融生态持续升级。公司希望通过科技创新与全球协同，构建更加智能、高效与开放的未来金融体系。</w:t>
      </w:r>
    </w:p>
    <w:p w14:paraId="442B48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7CC1C2"/>
    <w:multiLevelType w:val="multilevel"/>
    <w:tmpl w:val="5F7CC1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7DAEF2F4"/>
    <w:multiLevelType w:val="multilevel"/>
    <w:tmpl w:val="7DAEF2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A6BD8FD7"/>
    <w:rsid w:val="A6BD8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4">
    <w:name w:val="s1"/>
    <w:basedOn w:val="3"/>
    <w:uiPriority w:val="0"/>
    <w:rPr>
      <w:rFonts w:ascii="menlo" w:hAnsi="menlo" w:eastAsia="menlo" w:cs="menlo"/>
      <w:sz w:val="18"/>
      <w:szCs w:val="18"/>
    </w:rPr>
  </w:style>
  <w:style w:type="paragraph" w:customStyle="1" w:styleId="5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6">
    <w:name w:val="p3"/>
    <w:basedOn w:val="1"/>
    <w:uiPriority w:val="0"/>
    <w:pPr>
      <w:spacing w:before="0" w:beforeAutospacing="0" w:after="0" w:afterAutospacing="0"/>
      <w:ind w:left="0" w:right="0"/>
      <w:jc w:val="left"/>
    </w:pPr>
    <w:rPr>
      <w:rFonts w:ascii="pingfang sc" w:hAnsi="pingfang sc" w:eastAsia="pingfang sc" w:cs="pingfang sc"/>
      <w:kern w:val="0"/>
      <w:sz w:val="26"/>
      <w:szCs w:val="26"/>
      <w:lang w:val="en-US" w:eastAsia="zh-CN" w:bidi="ar"/>
    </w:rPr>
  </w:style>
  <w:style w:type="paragraph" w:customStyle="1" w:styleId="7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40"/>
      <w:szCs w:val="40"/>
      <w:lang w:val="en-US" w:eastAsia="zh-CN" w:bidi="ar"/>
    </w:rPr>
  </w:style>
  <w:style w:type="character" w:customStyle="1" w:styleId="8">
    <w:name w:val="s2"/>
    <w:basedOn w:val="3"/>
    <w:uiPriority w:val="0"/>
    <w:rPr>
      <w:rFonts w:hint="default" w:ascii="Helvetica Neue" w:hAnsi="Helvetica Neue" w:eastAsia="Helvetica Neue" w:cs="Helvetica Neue"/>
      <w:sz w:val="26"/>
      <w:szCs w:val="2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2026-05-14T21:03:00Z</dcterms:created>
  <dc:creator>Steven</dc:creator>
  <cp:lastModifiedBy>Steven</cp:lastModifiedBy>
  <dcterms:modified xsi:type="dcterms:W3CDTF">2026-05-14T21:03:19Z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2052-7.4.1.8983</vt:lpwstr>
  </property>
  <property fmtid="{D5CDD505-2E9C-101B-9397-08002B2CF9AE}" pid="3" name="ICV">
    <vt:lpwstr>8F559A94BC486B801FD6056A30D151DE_41</vt:lpwstr>
  </property>
</Properties>
</file>