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Monte Carlo EM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scRNA-seq: cell clustering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Data accession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GSE119911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Backup: GSE110009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Implement the Monte Carlo Expectation-Maximization (MCEM) algorithm for maximum likelihood estimation in models with latent variables. Use MCMC methods in the E-step to approximate intractable expectations when analytical solutions are unavailable.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Importance sampling, Gibbs sampling, Monte Carlo estimation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Contribution matrix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8025"/>
        <w:tblGridChange w:id="0">
          <w:tblGrid>
            <w:gridCol w:w="133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Rongrong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Preprocess the cell dataset and implement the original algorithm, write the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Proofread the dataset and the pipeline, visualization, and construct the new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the new algorithm, presentation preparation, write the report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4/22 - Proposal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4/23 - finish cleaning data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4/25 coding session (write the pipeline, test, debug, etc.)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4/28 - start writing the report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5/2 - meeting 2 (proofread the pipeline, validate the algorithm)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5/5 - finish writing the report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5/7 - meeting 3 (make ppt)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5/9 - meeting 4(practice presentation)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5">
      <w:pPr>
        <w:shd w:fill="ffffff" w:val="clear"/>
        <w:spacing w:after="60" w:lineRule="auto"/>
        <w:ind w:left="0" w:firstLine="0"/>
        <w:rPr>
          <w:rFonts w:ascii="Verdana" w:cs="Verdana" w:eastAsia="Verdana" w:hAnsi="Verdana"/>
          <w:color w:val="0056cc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Li Q, Wang R, Yang Z, Li W et al. Molecular profiling of human non-small cell lung cancer by single-cell RNA-seq.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Genome Med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2022 Aug 13;14(1):87. PMID: </w:t>
      </w:r>
      <w:hyperlink r:id="rId8">
        <w:r w:rsidDel="00000000" w:rsidR="00000000" w:rsidRPr="00000000">
          <w:rPr>
            <w:rFonts w:ascii="Verdana" w:cs="Verdana" w:eastAsia="Verdana" w:hAnsi="Verdana"/>
            <w:color w:val="0056cc"/>
            <w:sz w:val="18"/>
            <w:szCs w:val="18"/>
            <w:rtl w:val="0"/>
          </w:rPr>
          <w:t xml:space="preserve">35962452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Erin Craig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et al.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Annotation-free discovery of disease-relevant cells in single-cell datasets.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highlight w:val="white"/>
          <w:rtl w:val="0"/>
        </w:rPr>
        <w:t xml:space="preserve">Sci. Adv.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highlight w:val="white"/>
          <w:rtl w:val="0"/>
        </w:rPr>
        <w:t xml:space="preserve">11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,eadv5019(2025).DOI:</w:t>
      </w:r>
      <w:hyperlink r:id="rId9">
        <w:r w:rsidDel="00000000" w:rsidR="00000000" w:rsidRPr="00000000">
          <w:rPr>
            <w:rFonts w:ascii="Verdana" w:cs="Verdana" w:eastAsia="Verdana" w:hAnsi="Verdana"/>
            <w:color w:val="ca2015"/>
            <w:sz w:val="18"/>
            <w:szCs w:val="18"/>
            <w:highlight w:val="white"/>
            <w:rtl w:val="0"/>
          </w:rPr>
          <w:t xml:space="preserve">10.1126/sciadv.adv5019</w:t>
        </w:r>
      </w:hyperlink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26/sciadv.adv501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cbi.nlm.nih.gov/geo/query/acc.cgi?acc=GSE119911&amp;" TargetMode="External"/><Relationship Id="rId7" Type="http://schemas.openxmlformats.org/officeDocument/2006/relationships/hyperlink" Target="https://www.ncbi.nlm.nih.gov/geo/query/acc.cgi?acc=GSE110009&amp;utm_source=chatgpt.com" TargetMode="External"/><Relationship Id="rId8" Type="http://schemas.openxmlformats.org/officeDocument/2006/relationships/hyperlink" Target="https://www.ncbi.nlm.nih.gov/pubmed/359624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