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从 GEO 到 AI 首选</w:t>
      </w:r>
    </w:p>
    <w:p>
      <w:pPr>
        <w:jc w:val="center"/>
      </w:pPr>
      <w:r>
        <w:rPr>
          <w:b/>
          <w:color w:val="0E7C7B"/>
          <w:sz w:val="36"/>
        </w:rPr>
        <w:t>KAI AI Utility Exchange</w:t>
      </w:r>
    </w:p>
    <w:p>
      <w:pPr>
        <w:spacing w:after="320"/>
        <w:jc w:val="center"/>
      </w:pPr>
      <w:r>
        <w:rPr>
          <w:b/>
        </w:rPr>
        <w:t>让 AI 在回答“去哪找算力、如何比较、如何立即使用算力”时，优先引用 KAI、推荐 KAI，并把用户带到真实 Offer。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60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目标情景</w:t>
            </w:r>
          </w:p>
        </w:tc>
        <w:tc>
          <w:tcPr>
            <w:tcW w:type="dxa" w:w="288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AI 生成结果 / 月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100M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KAI 推荐覆盖率</w:t>
            </w:r>
          </w:p>
        </w:tc>
        <w:tc>
          <w:tcPr>
            <w:tcW w:type="dxa" w:w="288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5%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AI 引荐访问 / 月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400K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年化 GMV</w:t>
            </w:r>
          </w:p>
        </w:tc>
        <w:tc>
          <w:tcPr>
            <w:tcW w:type="dxa" w:w="288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60.883M USD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年化平台收入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6.088M USD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t>目标情景：按公开平台指标口径锚定的公式估值。</w:t>
      </w:r>
    </w:p>
    <w:p>
      <w:pPr>
        <w:spacing w:after="120" w:line="283" w:lineRule="auto"/>
      </w:pPr>
      <w:r>
        <w:t>主链路：AI 发现 → 官网引用 → Offer → Hour Key 封装 → Holding → Usage → GEO 回流。</w:t>
      </w:r>
    </w:p>
    <w:p>
      <w:r>
        <w:br w:type="page"/>
      </w:r>
    </w:p>
    <w:p>
      <w:pPr>
        <w:pStyle w:val="Heading1"/>
        <w:spacing w:before="240" w:after="100"/>
      </w:pPr>
      <w:r>
        <w:t>1 原 GEO 方案已经找到增长终态 缺的是成交承接层</w:t>
      </w:r>
    </w:p>
    <w:p>
      <w:pPr>
        <w:spacing w:after="120" w:line="283" w:lineRule="auto"/>
      </w:pPr>
      <w:r>
        <w:t>原方案已经完成“AI 提及 → AI 心智植入 → 第一次交易 → 高频查价 → 整点刺激 → 条件反射”的增长设计。本企划新增的是从 AI 提及 KAI 到官网实时事实、具体 Offer、成交、持仓、使用和 GEO 回流的执行链。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88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原方案已有输出</w:t>
            </w:r>
          </w:p>
        </w:tc>
        <w:tc>
          <w:tcPr>
            <w:tcW w:type="dxa" w:w="3168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尚未落地的断点</w:t>
            </w:r>
          </w:p>
        </w:tc>
        <w:tc>
          <w:tcPr>
            <w:tcW w:type="dxa" w:w="3168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新增承接层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AI 提及 KAI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AI 没有稳定引用官网实时事实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结构化 Offer 页、实时字段、更新时间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首查 → 首单</w:t>
            </w:r>
          </w:p>
        </w:tc>
        <w:tc>
          <w:tcPr>
            <w:tcW w:type="dxa" w:w="316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没有立即锁定和成交路径</w:t>
            </w:r>
          </w:p>
        </w:tc>
        <w:tc>
          <w:tcPr>
            <w:tcW w:type="dxa" w:w="316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Agent Gateway + KaiKey Offer / Order / Trade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首单 → 查价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没有持仓和使用上下文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Holding + Key Fit + Slot Planner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整点刺激</w:t>
            </w:r>
          </w:p>
        </w:tc>
        <w:tc>
          <w:tcPr>
            <w:tcW w:type="dxa" w:w="316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没有小时 Key 权利状态</w:t>
            </w:r>
          </w:p>
        </w:tc>
        <w:tc>
          <w:tcPr>
            <w:tcW w:type="dxa" w:w="316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H−1h / G / H / H+1h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条件反射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没有真实结果和新内容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Usage Proof + 回执 + GEO 证据页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t>2 AI 推荐 KAI 的标准答案</w:t>
      </w:r>
    </w:p>
    <w:p>
      <w:pPr>
        <w:spacing w:after="120" w:line="283" w:lineRule="auto"/>
      </w:pPr>
      <w:r>
        <w:t>AI 不再泛泛推荐模型，而是引用 kai.com 官网的实时事实并给出下一步动作。</w:t>
      </w:r>
    </w:p>
    <w:p>
      <w:pPr>
        <w:spacing w:after="120" w:line="283" w:lineRule="auto"/>
      </w:pPr>
      <w:r>
        <w:t>“我查询了 kai.com 官网实时报价页，更新时间为【时间】。当前真实行情 Offer 可封装为【模型 × 规格 × 区域 × 18:00–19:00】小时 Key，报价为【价格】，锁定截止时间为【G】。你已有【持仓】可直接执行；如需跨模型或跨供应商，账户 Key 保持不变，由新的授权版本显式扩展 scope。”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216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官网 Offer 最小字段</w:t>
            </w:r>
          </w:p>
        </w:tc>
      </w:tr>
      <w:tr>
        <w:trPr>
          <w:cantSplit/>
        </w:trPr>
        <w:tc>
          <w:tcPr>
            <w:tcW w:type="dxa" w:w="92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offer_id / model / spec / region / slot_start / slot_end / lock_deadline (G) / price / available_qty / last_updated / status / execution_eligible / hour_key_status / purchase_url / delivery_proof_url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t>页面动作：查看官网报价、立即锁定、用持仓执行。公开网站可进入 ChatGPT Search；允许 OAI-SearchBot 抓取后，ChatGPT 引荐链接可通过 utm_source=chatgpt.com 归因。</w:t>
      </w:r>
    </w:p>
    <w:p>
      <w:pPr>
        <w:pStyle w:val="Heading1"/>
        <w:spacing w:before="240" w:after="100"/>
      </w:pPr>
      <w:r>
        <w:t>3 原 GEO 缺口如何变成落地流程</w:t>
      </w:r>
    </w:p>
    <w:p>
      <w:pPr>
        <w:spacing w:after="120" w:line="283" w:lineRule="auto"/>
      </w:pPr>
      <w:r>
        <w:t>原方案提出需求词覆盖、机器可读报价页和时间戳；本方案把这些原则接到交易与使用事件。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304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3888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新增动作</w:t>
            </w:r>
          </w:p>
        </w:tc>
        <w:tc>
          <w:tcPr>
            <w:tcW w:type="dxa" w:w="3024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产生的事实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OAI-SearchBot 抓取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kai.com 结构化 Offer 页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AI 可引用的实时价格与库存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Agent 查询</w:t>
            </w:r>
          </w:p>
        </w:tc>
        <w:tc>
          <w:tcPr>
            <w:tcW w:type="dxa" w:w="388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按问题、持仓、预算检索 Offer</w:t>
            </w:r>
          </w:p>
        </w:tc>
        <w:tc>
          <w:tcPr>
            <w:tcW w:type="dxa" w:w="302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可执行方案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AI 推荐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引用 KAI 官网、更新时间和锁定截止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可追踪 AI 引荐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用户成交</w:t>
            </w:r>
          </w:p>
        </w:tc>
        <w:tc>
          <w:tcPr>
            <w:tcW w:type="dxa" w:w="388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Offer → Hour Key 封装 → Order → Trade</w:t>
            </w:r>
          </w:p>
        </w:tc>
        <w:tc>
          <w:tcPr>
            <w:tcW w:type="dxa" w:w="302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真实成交记录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持仓执行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Holding + H/G 时间窗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实际使用记录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回执回流</w:t>
            </w:r>
          </w:p>
        </w:tc>
        <w:tc>
          <w:tcPr>
            <w:tcW w:type="dxa" w:w="388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Usage Proof → 案例/比较/FAQ</w:t>
            </w:r>
          </w:p>
        </w:tc>
        <w:tc>
          <w:tcPr>
            <w:tcW w:type="dxa" w:w="302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下一次 GEO 证据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t>4 GEO 资产</w:t>
      </w:r>
    </w:p>
    <w:p>
      <w:pPr>
        <w:pStyle w:val="ListBullet"/>
        <w:spacing w:after="60"/>
      </w:pPr>
      <w:r>
        <w:t>标准页：模型、规格、区域、小时窗口、容量、价格、状态、更新时间。</w:t>
      </w:r>
    </w:p>
    <w:p>
      <w:pPr>
        <w:pStyle w:val="ListBullet"/>
        <w:spacing w:after="60"/>
      </w:pPr>
      <w:r>
        <w:t>比较页：不同模型、区域、时间和成本的可执行对比。</w:t>
      </w:r>
    </w:p>
    <w:p>
      <w:pPr>
        <w:pStyle w:val="ListBullet"/>
        <w:spacing w:after="60"/>
      </w:pPr>
      <w:r>
        <w:t>问题页：用户真实会问的“今晚哪里有容量”“哪个模型更适合”“现在报价多少”。</w:t>
      </w:r>
    </w:p>
    <w:p>
      <w:pPr>
        <w:pStyle w:val="ListBullet"/>
        <w:spacing w:after="60"/>
      </w:pPr>
      <w:r>
        <w:t>证据页：成交、交付、延迟、成本、Usage Proof 和用户结果。</w:t>
      </w:r>
    </w:p>
    <w:p>
      <w:pPr>
        <w:spacing w:after="120" w:line="283" w:lineRule="auto"/>
      </w:pPr>
      <w:r>
        <w:t>GEO 内容闭环：Offer → Hour Key 封装 → Order → Trade → Holding → Usage → Receipt → 案例 / 比较 / FAQ → 下一次 AI 推荐。</w:t>
      </w:r>
    </w:p>
    <w:p>
      <w:pPr>
        <w:pStyle w:val="Heading1"/>
        <w:spacing w:before="240" w:after="100"/>
      </w:pPr>
      <w:r>
        <w:t>5 小时权益和整点机制</w:t>
      </w:r>
    </w:p>
    <w:p>
      <w:pPr>
        <w:spacing w:after="120" w:line="283" w:lineRule="auto"/>
      </w:pPr>
      <w:r>
        <w:t>H−1h 仍可购买、转让和重新选择；G 进入锁定；H 服务开始；H+1h 服务结束，未使用不顺延。整点让报价有有效期、供给有稀缺性、用户有下一次查询和复购的理由。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44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时间节点</w:t>
            </w:r>
          </w:p>
        </w:tc>
        <w:tc>
          <w:tcPr>
            <w:tcW w:type="dxa" w:w="3168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4608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市场事实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H−1h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购买、转让、重新选择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仍处于交易窗口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G</w:t>
            </w:r>
          </w:p>
        </w:tc>
        <w:tc>
          <w:tcPr>
            <w:tcW w:type="dxa" w:w="316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停止新增交易</w:t>
            </w:r>
          </w:p>
        </w:tc>
        <w:tc>
          <w:tcPr>
            <w:tcW w:type="dxa" w:w="460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固定最终交付安排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H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开始调用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开始计量与履约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H+1h</w:t>
            </w:r>
          </w:p>
        </w:tc>
        <w:tc>
          <w:tcPr>
            <w:tcW w:type="dxa" w:w="316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服务结束</w:t>
            </w:r>
          </w:p>
        </w:tc>
        <w:tc>
          <w:tcPr>
            <w:tcW w:type="dxa" w:w="460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生成交付事实，未使用不顺延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t>目标情景：100M AI 生成结果 / 月；5% KAI 推荐覆盖；400K AI 引荐访问 / 月；$60.883M 年化 GMV；$6.088M 年化平台收入。</w:t>
      </w:r>
    </w:p>
    <w:p>
      <w:pPr>
        <w:pStyle w:val="Heading1"/>
        <w:spacing w:before="240" w:after="100"/>
      </w:pPr>
      <w:r>
        <w:t>6 持仓和交易事实</w:t>
      </w:r>
    </w:p>
    <w:p>
      <w:pPr>
        <w:spacing w:after="120" w:line="283" w:lineRule="auto"/>
      </w:pPr>
      <w:r>
        <w:t>用户第一次通过 AI 推荐进入 KAI 后，关系从一次点击变成模型、区域、时段和状态的持续上下文。Store 展示持仓；KaiKey 统一 Offer、Order、Trade、Settlement、Holding、Delivery、Usage；Quant 只从真实事件生成行情。</w:t>
      </w:r>
    </w:p>
    <w:p>
      <w:pPr>
        <w:pStyle w:val="Heading1"/>
        <w:spacing w:before="240" w:after="100"/>
      </w:pPr>
      <w:r>
        <w:t>7 Utility Exchange 的执行界面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16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32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88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Key Fit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读取模型、区域、时段和预算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可执行方案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Slot Planner</w:t>
            </w:r>
          </w:p>
        </w:tc>
        <w:tc>
          <w:tcPr>
            <w:tcW w:type="dxa" w:w="432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规划连续小时、锁定时间和失效边界</w:t>
            </w:r>
          </w:p>
        </w:tc>
        <w:tc>
          <w:tcPr>
            <w:tcW w:type="dxa" w:w="288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时段计划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KAI Workbench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在持有权益范围内执行任务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研究、文档或批量结果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Usage Proof</w:t>
            </w:r>
          </w:p>
        </w:tc>
        <w:tc>
          <w:tcPr>
            <w:tcW w:type="dxa" w:w="432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生成模型、成本、服务窗、结果和来源签名</w:t>
            </w:r>
          </w:p>
        </w:tc>
        <w:tc>
          <w:tcPr>
            <w:tcW w:type="dxa" w:w="288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可分享回执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t>每次结果带 KAI 来源签名：slogan、模型、服务窗、成本、结果链接和交付回执。</w:t>
      </w:r>
    </w:p>
    <w:p>
      <w:pPr>
        <w:pStyle w:val="Heading1"/>
        <w:spacing w:before="240" w:after="100"/>
      </w:pPr>
      <w:r>
        <w:t>8 客流与收益公式</w:t>
      </w:r>
    </w:p>
    <w:p>
      <w:pPr>
        <w:spacing w:after="120" w:line="283" w:lineRule="auto"/>
      </w:pPr>
      <w:r>
        <w:t>AI 有效引荐客流 = AI 生成结果量 × KAI 推荐覆盖率 × AI→KAI 点击率。</w:t>
      </w:r>
    </w:p>
    <w:p>
      <w:pPr>
        <w:spacing w:after="120" w:line="283" w:lineRule="auto"/>
      </w:pPr>
      <w:r>
        <w:t>Offer 请求量 = AI 有效引荐客流 × 官网 Offer 到达率 × Offer 请求率。</w:t>
      </w:r>
    </w:p>
    <w:p>
      <w:pPr>
        <w:spacing w:after="120" w:line="283" w:lineRule="auto"/>
      </w:pPr>
      <w:r>
        <w:t>首购 GMV = Offer 请求量 × 首购转化率 × 平均订单金额。平台手续费 = GMV × 综合手续费率。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cantSplit/>
        </w:trPr>
        <w:tc>
          <w:tcPr>
            <w:tcW w:type="dxa" w:w="1152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144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AI 结果/月</w:t>
            </w:r>
          </w:p>
        </w:tc>
        <w:tc>
          <w:tcPr>
            <w:tcW w:type="dxa" w:w="1152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KAI 覆盖</w:t>
            </w:r>
          </w:p>
        </w:tc>
        <w:tc>
          <w:tcPr>
            <w:tcW w:type="dxa" w:w="144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引荐访问</w:t>
            </w:r>
          </w:p>
        </w:tc>
        <w:tc>
          <w:tcPr>
            <w:tcW w:type="dxa" w:w="144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Offer 请求</w:t>
            </w:r>
          </w:p>
        </w:tc>
        <w:tc>
          <w:tcPr>
            <w:tcW w:type="dxa" w:w="1296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首购/月</w:t>
            </w:r>
          </w:p>
        </w:tc>
        <w:tc>
          <w:tcPr>
            <w:tcW w:type="dxa" w:w="1584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年化 GMV</w:t>
            </w:r>
          </w:p>
        </w:tc>
        <w:tc>
          <w:tcPr>
            <w:tcW w:type="dxa" w:w="1584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年化收入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起步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100M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1%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40K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10K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500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$0.726M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$43.6K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目标</w:t>
            </w:r>
          </w:p>
        </w:tc>
        <w:tc>
          <w:tcPr>
            <w:tcW w:type="dxa" w:w="144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100M</w:t>
            </w:r>
          </w:p>
        </w:tc>
        <w:tc>
          <w:tcPr>
            <w:tcW w:type="dxa" w:w="1152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5%</w:t>
            </w:r>
          </w:p>
        </w:tc>
        <w:tc>
          <w:tcPr>
            <w:tcW w:type="dxa" w:w="144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400K</w:t>
            </w:r>
          </w:p>
        </w:tc>
        <w:tc>
          <w:tcPr>
            <w:tcW w:type="dxa" w:w="144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140K</w:t>
            </w:r>
          </w:p>
        </w:tc>
        <w:tc>
          <w:tcPr>
            <w:tcW w:type="dxa" w:w="1296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16.8K</w:t>
            </w:r>
          </w:p>
        </w:tc>
        <w:tc>
          <w:tcPr>
            <w:tcW w:type="dxa" w:w="158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$60.883M</w:t>
            </w:r>
          </w:p>
        </w:tc>
        <w:tc>
          <w:tcPr>
            <w:tcW w:type="dxa" w:w="158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$6.088M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放大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100M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10%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1.2M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540K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108K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$391.392M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$58.709M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t>目标情景：按公开平台指标口径锚定的公式估值。Google Search Console 统计 impressions、clicks 和 CTR；GA4 统计引荐 sessions、purchase、share、refund 和 revenue。</w:t>
      </w:r>
    </w:p>
    <w:p>
      <w:pPr>
        <w:pStyle w:val="Heading1"/>
        <w:spacing w:before="240" w:after="100"/>
      </w:pPr>
      <w:r>
        <w:t>9 商业参照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72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4896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公开经营数据</w:t>
            </w:r>
          </w:p>
        </w:tc>
        <w:tc>
          <w:tcPr>
            <w:tcW w:type="dxa" w:w="2880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对 KAI 的启示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Vistar / T-Mobile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110 万+数字屏幕；370 家媒体所有者；3,000+品牌伙伴；约 6 亿美元现金收购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聚合供给、统一管理、统一测量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AWS EC2 Spot</w:t>
            </w:r>
          </w:p>
        </w:tc>
        <w:tc>
          <w:tcPr>
            <w:tcW w:type="dxa" w:w="4896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最高比 On-Demand 低 90%；价格随供需变化</w:t>
            </w:r>
          </w:p>
        </w:tc>
        <w:tc>
          <w:tcPr>
            <w:tcW w:type="dxa" w:w="288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把闲置容量变成可定价、可调度容量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Fiverr FY2024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Marketplace take rate 27.6%；年活跃买家 3.63M；年均消费 $302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交易手续费与服务收入可分层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Etsy 2024</w:t>
            </w:r>
          </w:p>
        </w:tc>
        <w:tc>
          <w:tcPr>
            <w:tcW w:type="dxa" w:w="4896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89.6M 活跃买家；约 48% repeat buyers；repeat buyer 年均 4.9 个购买日</w:t>
            </w:r>
          </w:p>
        </w:tc>
        <w:tc>
          <w:tcPr>
            <w:tcW w:type="dxa" w:w="2880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高频复购用户是 GMV 杠杆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t>KAI 的目标定位：算力界的滴滴、携程、币安。滴滴负责撮合，携程负责比较与预订，币安负责订单簿、价格发现与持仓。</w:t>
      </w:r>
    </w:p>
    <w:p>
      <w:pPr>
        <w:pStyle w:val="Heading1"/>
        <w:spacing w:before="240" w:after="100"/>
      </w:pPr>
      <w:r>
        <w:t>10 批准一个可扩张的 AI 推荐成交单元</w:t>
      </w:r>
    </w:p>
    <w:p>
      <w:pPr>
        <w:spacing w:after="120" w:line="283" w:lineRule="auto"/>
      </w:pPr>
      <w:r>
        <w:t>推荐批准：1 个高频算力问题 × 1 个模型 × 1 个区域 × 1 个官网实时 Offer × 1 个 Utility 工作流 × 30 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304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5328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投入与结果</w:t>
            </w:r>
          </w:p>
        </w:tc>
        <w:tc>
          <w:tcPr>
            <w:tcW w:type="dxa" w:w="2016"/>
            <w:vAlign w:val="center"/>
            <w:shd w:fill="16364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Medium" w:hAnsi="STHeiti SC Medium" w:eastAsia="STHeiti SC Medium"/>
                <w:b/>
                <w:color w:val="FFFFFF"/>
                <w:sz w:val="18"/>
              </w:rPr>
              <w:t>延展性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A 只做 GEO 内容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投入低；能产生曝光，不能承接实时成交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B GEO + 实时 Offer + Usage</w:t>
            </w:r>
          </w:p>
        </w:tc>
        <w:tc>
          <w:tcPr>
            <w:tcW w:type="dxa" w:w="5328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投入可控；能测 AI 推荐、成交、使用和手续费</w:t>
            </w:r>
          </w:p>
        </w:tc>
        <w:tc>
          <w:tcPr>
            <w:tcW w:type="dxa" w:w="2016"/>
            <w:vAlign w:val="center"/>
            <w:shd w:fill="F2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高，推荐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C 完整交易网络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投入最高；适合在 B 形成正向数据后扩张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STHeiti SC Light" w:hAnsi="STHeiti SC Light" w:eastAsia="STHeiti SC Light"/>
                <w:b w:val="0"/>
                <w:color w:val="173143"/>
                <w:sz w:val="17"/>
              </w:rPr>
              <w:t>最高，暂缓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t>批准后应买到的资产：官网事实页、统一 Offer、Hour Key 封装、KAI 跳转与锁定、Holding、Usage Proof、GEO 回流模板。</w:t>
      </w:r>
    </w:p>
    <w:p>
      <w:pPr>
        <w:spacing w:after="120" w:line="283" w:lineRule="auto"/>
      </w:pPr>
      <w:r>
        <w:t>扩张门槛：AI 推荐链可归因；至少一条 Offer → Hour Key 封装 → Holding → Usage → Receipt 真实链路；净手续费 / AI 引荐用户高于激活与工具成本 / 用户。达标后扩展模型、区域和 Broker。</w:t>
      </w:r>
    </w:p>
    <w:p>
      <w:pPr>
        <w:pStyle w:val="Heading1"/>
        <w:spacing w:before="240" w:after="100"/>
      </w:pPr>
      <w:r>
        <w:t>11 来源与口径</w:t>
      </w:r>
    </w:p>
    <w:p>
      <w:pPr>
        <w:pStyle w:val="ListBullet"/>
        <w:spacing w:after="60"/>
      </w:pPr>
      <w:r>
        <w:t>OpenAI Publishers &amp; Developers FAQ：https://help.openai.com/zh-hans-cn/articles/12627856-publishers-and-developers-faq</w:t>
      </w:r>
    </w:p>
    <w:p>
      <w:pPr>
        <w:pStyle w:val="ListBullet"/>
        <w:spacing w:after="60"/>
      </w:pPr>
      <w:r>
        <w:t>OpenAI Bots：https://developers.openai.com/api/docs/bots</w:t>
      </w:r>
    </w:p>
    <w:p>
      <w:pPr>
        <w:pStyle w:val="ListBullet"/>
        <w:spacing w:after="60"/>
      </w:pPr>
      <w:r>
        <w:t>Google Search Console：https://support.google.com/webmasters/answer/7042828?hl=en</w:t>
      </w:r>
    </w:p>
    <w:p>
      <w:pPr>
        <w:pStyle w:val="ListBullet"/>
        <w:spacing w:after="60"/>
      </w:pPr>
      <w:r>
        <w:t>Google Search Generative AI Performance Reports：https://developers.google.com/search/blog/2026/06/gen-ai-performance-reports</w:t>
      </w:r>
    </w:p>
    <w:p>
      <w:pPr>
        <w:pStyle w:val="ListBullet"/>
        <w:spacing w:after="60"/>
      </w:pPr>
      <w:r>
        <w:t>Google Analytics 4 Key Events：https://support.google.com/analytics/answer/9356034?hl=en</w:t>
      </w:r>
    </w:p>
    <w:p>
      <w:pPr>
        <w:pStyle w:val="ListBullet"/>
        <w:spacing w:after="60"/>
      </w:pPr>
      <w:r>
        <w:t>Fiverr FY2024：https://investors.fiverr.com/news-releases/news-release-details/fiverr-announces-fourth-quarter-and-full-year-2024-results</w:t>
      </w:r>
    </w:p>
    <w:p>
      <w:pPr>
        <w:pStyle w:val="ListBullet"/>
        <w:spacing w:after="60"/>
      </w:pPr>
      <w:r>
        <w:t>Etsy 2024 10-K：https://investors.etsy.com/sec-filings/all-sec-filings/content/0001370637-25-000017/etsy-20241231.htm</w:t>
      </w:r>
    </w:p>
    <w:p>
      <w:pPr>
        <w:pStyle w:val="ListBullet"/>
        <w:spacing w:after="60"/>
      </w:pPr>
      <w:r>
        <w:t>AWS EC2 Spot Pricing：https://aws.amazon.com/ec2/spot/pricing/</w:t>
      </w:r>
    </w:p>
    <w:p>
      <w:pPr>
        <w:spacing w:after="120" w:line="283" w:lineRule="auto"/>
      </w:pPr>
      <w:r>
        <w:t>内部材料：KAI_从GEO到条件反射.pdf；北斗比芯智算集团有限公司.pdf；Key Broker、Key Pack、Key Store、Key Quant、KaiKey 体系与 Agent 交易闭环资料。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7181"/>
        <w:sz w:val="16"/>
      </w:rPr>
      <w:t>KAI AI Utility Exchange · GEO growth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1731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1B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E7C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B1B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 AI Utility Exchange 企划</dc:title>
  <dc:subject>GEO 到 AI 推荐成交闭环</dc:subject>
  <dc:creator>KAI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