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Segoe UI" w:hAnsi="Segoe UI"/>
          <w:b/>
          <w:color w:val="1A4B8C"/>
          <w:sz w:val="34"/>
        </w:rPr>
        <w:t>BẢNG TRA CỨU CẤU HÌNH HỆ THỐNG (CONFIGURATION REFERENCE)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Mã tiêu chuẩn nghiệm thu</w:t>
      </w:r>
      <w:r>
        <w:t>: DOC-P0-005, ENV-P0-001 -&gt; ENV-P0-010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Cơ chế nạp</w:t>
      </w:r>
      <w:r>
        <w:t>: Ưu tiên nạp từ Biến môi trường (</w:t>
      </w:r>
      <w:r>
        <w:rPr>
          <w:rFonts w:ascii="Consolas" w:hAnsi="Consolas"/>
          <w:color w:val="BE2828"/>
          <w:sz w:val="19"/>
        </w:rPr>
        <w:t>getenv()</w:t>
      </w:r>
      <w:r>
        <w:t xml:space="preserve"> / </w:t>
      </w:r>
      <w:r>
        <w:rPr>
          <w:rFonts w:ascii="Consolas" w:hAnsi="Consolas"/>
          <w:color w:val="BE2828"/>
          <w:sz w:val="19"/>
        </w:rPr>
        <w:t>.env</w:t>
      </w:r>
      <w:r>
        <w:t xml:space="preserve">) -&gt; Cấu hình mặc định trong </w:t>
      </w:r>
      <w:r>
        <w:rPr>
          <w:rFonts w:ascii="Consolas" w:hAnsi="Consolas"/>
          <w:color w:val="BE2828"/>
          <w:sz w:val="19"/>
        </w:rPr>
        <w:t>application/config/</w:t>
      </w:r>
    </w:p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1. Danh mục Cấu hình Môi trường &amp; Cơ sở Dữ liệu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1"/>
        <w:gridCol w:w="1921"/>
        <w:gridCol w:w="1921"/>
        <w:gridCol w:w="1921"/>
        <w:gridCol w:w="1921"/>
      </w:tblGrid>
      <w:tr>
        <w:trPr>
          <w:cantSplit/>
          <w:tblHeader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Biến cấu hình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Kiểu dữ liệu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Giá trị mặc định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Phân loại bí mật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Mục đích sử dụng</w:t>
            </w:r>
          </w:p>
        </w:tc>
      </w:tr>
      <w:tr>
        <w:trPr>
          <w:cantSplit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CI_ENV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String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production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Public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Môi trường chạy (</w:t>
            </w:r>
            <w:r>
              <w:rPr>
                <w:rFonts w:ascii="Consolas" w:hAnsi="Consolas"/>
                <w:color w:val="BE2828"/>
                <w:sz w:val="19"/>
              </w:rPr>
              <w:t>development</w:t>
            </w:r>
            <w:r>
              <w:t xml:space="preserve">, </w:t>
            </w:r>
            <w:r>
              <w:rPr>
                <w:rFonts w:ascii="Consolas" w:hAnsi="Consolas"/>
                <w:color w:val="BE2828"/>
                <w:sz w:val="19"/>
              </w:rPr>
              <w:t>testing</w:t>
            </w:r>
            <w:r>
              <w:t xml:space="preserve">, </w:t>
            </w:r>
            <w:r>
              <w:rPr>
                <w:rFonts w:ascii="Consolas" w:hAnsi="Consolas"/>
                <w:color w:val="BE2828"/>
                <w:sz w:val="19"/>
              </w:rPr>
              <w:t>production</w:t>
            </w:r>
            <w:r>
              <w:t>)</w:t>
            </w:r>
          </w:p>
        </w:tc>
      </w:tr>
      <w:tr>
        <w:trPr>
          <w:cantSplit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APP_BASE_URL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String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http://localhost/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Public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Đường dẫn URL gốc truy cập ứng dụng Web</w:t>
            </w:r>
          </w:p>
        </w:tc>
      </w:tr>
      <w:tr>
        <w:trPr>
          <w:cantSplit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APP_ENCRYPTION_KEY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String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i/>
              </w:rPr>
              <w:t>(Empty)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HIGH SECRET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Khóa mã hóa session và cookie dữ liệu</w:t>
            </w:r>
          </w:p>
        </w:tc>
      </w:tr>
      <w:tr>
        <w:trPr>
          <w:cantSplit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DB_HOSTNAME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String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127.0.0.1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Internal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Địa chỉ máy chủ CSDL MySQL / MariaDB</w:t>
            </w:r>
          </w:p>
        </w:tc>
      </w:tr>
      <w:tr>
        <w:trPr>
          <w:cantSplit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DB_PORT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Integer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3306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Internal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Cổng kết nối CSDL</w:t>
            </w:r>
          </w:p>
        </w:tc>
      </w:tr>
      <w:tr>
        <w:trPr>
          <w:cantSplit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DB_USERNAME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String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root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SECRET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Tên tài khoản kết nối CSDL</w:t>
            </w:r>
          </w:p>
        </w:tc>
      </w:tr>
      <w:tr>
        <w:trPr>
          <w:cantSplit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DB_PASSWORD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String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i/>
              </w:rPr>
              <w:t>(Empty)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HIGH SECRET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Mật khẩu truy cập CSDL</w:t>
            </w:r>
          </w:p>
        </w:tc>
      </w:tr>
      <w:tr>
        <w:trPr>
          <w:cantSplit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DB_DATABASE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String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foso_erp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Internal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Tên CSDL ứng dụng</w:t>
            </w:r>
          </w:p>
        </w:tc>
      </w:tr>
    </w:tbl>
    <w:p/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2. Danh mục Cấu hình Tích hợp Bên thứ 3 (Third-Party APIs)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cantSplit/>
          <w:tblHeader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Biến cấu hình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Kiểu dữ liệu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Phân loại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Mục đích &amp; Mô tả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ZALO_OA_APP_ID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String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Internal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Mã định danh ứng dụng Zalo Official Account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ZALO_OA_SECRET_KEY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String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HIGH SECRET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Khóa bí mật xác thực API Zalo Open Platform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ZALO_OA_ACCESS_TOKEN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String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SECRET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Access Token gửi tin nhắn thông báo Zalo OA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OPENAI_API_KEY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String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HIGH SECRET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Khóa API kết nối dịch vụ ChatGPT / OpenAI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OPENAI_MODEL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String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Public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 xml:space="preserve">Tên model AI sử dụng (VD: </w:t>
            </w:r>
            <w:r>
              <w:rPr>
                <w:rFonts w:ascii="Consolas" w:hAnsi="Consolas"/>
                <w:color w:val="BE2828"/>
                <w:sz w:val="19"/>
              </w:rPr>
              <w:t>gpt-4o-mini</w:t>
            </w:r>
            <w:r>
              <w:t>)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POWER_BI_CLIENT_ID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String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Internal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Azure Active Directory App Client ID cho Power BI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POWER_BI_SECRET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String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HIGH SECRET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Client Secret xác thực nhúng báo cáo Power BI</w:t>
            </w:r>
          </w:p>
        </w:tc>
      </w:tr>
    </w:tbl>
    <w:p/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3. Quy tắc Bảo mật Cấu hình (Security Configuration Rules)</w:t>
      </w:r>
    </w:p>
    <w:p>
      <w:pPr>
        <w:pStyle w:val="ListNumber"/>
        <w:spacing w:before="20" w:after="20"/>
      </w:pPr>
      <w:r>
        <w:rPr>
          <w:b/>
        </w:rPr>
        <w:t>Tuyệt đối không lưu mật khẩu trong Git</w:t>
      </w:r>
      <w:r>
        <w:t xml:space="preserve">: File </w:t>
      </w:r>
      <w:r>
        <w:rPr>
          <w:rFonts w:ascii="Consolas" w:hAnsi="Consolas"/>
          <w:color w:val="BE2828"/>
          <w:sz w:val="19"/>
        </w:rPr>
        <w:t>database.php</w:t>
      </w:r>
      <w:r>
        <w:t xml:space="preserve"> trên Git chỉ chứa cấu hình đọc hàm </w:t>
      </w:r>
      <w:r>
        <w:rPr>
          <w:rFonts w:ascii="Consolas" w:hAnsi="Consolas"/>
          <w:color w:val="BE2828"/>
          <w:sz w:val="19"/>
        </w:rPr>
        <w:t>getenv()</w:t>
      </w:r>
      <w:r>
        <w:t xml:space="preserve"> hoặc gọi template.</w:t>
      </w:r>
    </w:p>
    <w:p>
      <w:pPr>
        <w:pStyle w:val="ListNumber"/>
        <w:spacing w:before="20" w:after="20"/>
      </w:pPr>
      <w:r>
        <w:rPr>
          <w:b/>
        </w:rPr>
        <w:t>Phân quyền truy cập file `.env`</w:t>
      </w:r>
      <w:r>
        <w:t xml:space="preserve">: Thiết lập </w:t>
      </w:r>
      <w:r>
        <w:rPr>
          <w:rFonts w:ascii="Consolas" w:hAnsi="Consolas"/>
          <w:color w:val="BE2828"/>
          <w:sz w:val="19"/>
        </w:rPr>
        <w:t>chmod 600 .env</w:t>
      </w:r>
      <w:r>
        <w:t xml:space="preserve"> trên server production chỉ cho phép user chạy web server (</w:t>
      </w:r>
      <w:r>
        <w:rPr>
          <w:rFonts w:ascii="Consolas" w:hAnsi="Consolas"/>
          <w:color w:val="BE2828"/>
          <w:sz w:val="19"/>
        </w:rPr>
        <w:t>www-data</w:t>
      </w:r>
      <w:r>
        <w:t>) đọc file.</w:t>
      </w:r>
    </w:p>
    <w:p>
      <w:pPr>
        <w:pStyle w:val="ListNumber"/>
        <w:spacing w:before="20" w:after="20"/>
      </w:pPr>
      <w:r>
        <w:rPr>
          <w:b/>
        </w:rPr>
        <w:t>Thay đổi Secret Key định kỳ</w:t>
      </w:r>
      <w:r>
        <w:t xml:space="preserve">: Khóa mã hóa </w:t>
      </w:r>
      <w:r>
        <w:rPr>
          <w:rFonts w:ascii="Consolas" w:hAnsi="Consolas"/>
          <w:color w:val="BE2828"/>
          <w:sz w:val="19"/>
        </w:rPr>
        <w:t>APP_ENCRYPTION_KEY</w:t>
      </w:r>
      <w:r>
        <w:t xml:space="preserve"> và Zalo Token cần được xoay vòng đổi mới định kỳ mỗi 90 ngày.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Segoe UI" w:hAnsi="Segoe U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