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TechNova Corporation — Q1 2026 Earnings Summary</w:t>
      </w:r>
    </w:p>
    <w:p>
      <w:pPr>
        <w:pStyle w:val="Heading1"/>
      </w:pPr>
      <w:r>
        <w:t>Financial Highlights</w:t>
      </w:r>
    </w:p>
    <w:p>
      <w:r>
        <w:t>TechNova reported strong Q1 2026 results with total revenue of $4.82 billion, representing 23.3% year-over-year growth.</w:t>
      </w:r>
    </w:p>
    <w:p>
      <w:pPr>
        <w:pStyle w:val="ListBullet"/>
      </w:pPr>
      <w:r>
        <w:t>Revenue: $4.82B vs. $4.58B consensus (+5.2% beat)</w:t>
      </w:r>
    </w:p>
    <w:p>
      <w:pPr>
        <w:pStyle w:val="ListBullet"/>
      </w:pPr>
      <w:r>
        <w:t>Gross Margin: 70.1%, expanding 210bps</w:t>
      </w:r>
    </w:p>
    <w:p>
      <w:pPr>
        <w:pStyle w:val="ListBullet"/>
      </w:pPr>
      <w:r>
        <w:t>Operating Income: $1.45B with 30.1% margin</w:t>
      </w:r>
    </w:p>
    <w:p>
      <w:pPr>
        <w:pStyle w:val="ListBullet"/>
      </w:pPr>
      <w:r>
        <w:t>Net Income: $1.18B, up 45.3% YoY</w:t>
      </w:r>
    </w:p>
    <w:p>
      <w:pPr>
        <w:pStyle w:val="ListBullet"/>
      </w:pPr>
      <w:r>
        <w:t>Diluted EPS: $2.94 vs. $2.68 consensus (+9.7% beat)</w:t>
      </w:r>
    </w:p>
    <w:p>
      <w:pPr>
        <w:pStyle w:val="ListBullet"/>
      </w:pPr>
      <w:r>
        <w:t>Free Cash Flow: $1.62B, 33.6% FCF margin</w:t>
      </w:r>
    </w:p>
    <w:p>
      <w:pPr>
        <w:pStyle w:val="Heading1"/>
      </w:pPr>
      <w:r>
        <w:t>Segment Performance</w:t>
      </w:r>
    </w:p>
    <w:p>
      <w:r>
        <w:t>Cloud Platform: $2.41B (50%, +31.2% YoY). AI &amp; Analytics: $1.21B (25%, +28.7%). Cybersecurity: $723M (15%, +15.4%). Professional Services: $482M (10%, +8.1%).</w:t>
      </w:r>
    </w:p>
    <w:p>
      <w:pPr>
        <w:pStyle w:val="Heading1"/>
      </w:pPr>
      <w:r>
        <w:t>Strategic Initiatives</w:t>
      </w:r>
    </w:p>
    <w:p>
      <w:pPr>
        <w:pStyle w:val="ListBullet"/>
      </w:pPr>
      <w:r>
        <w:t>AI Platform Expansion: New GenAI capabilities</w:t>
      </w:r>
    </w:p>
    <w:p>
      <w:pPr>
        <w:pStyle w:val="ListBullet"/>
      </w:pPr>
      <w:r>
        <w:t>Geographic Growth: APAC +40% headcount, EMEA +25%</w:t>
      </w:r>
    </w:p>
    <w:p>
      <w:pPr>
        <w:pStyle w:val="ListBullet"/>
      </w:pPr>
      <w:r>
        <w:t>Cloud Migration: Converting 200+ on-premise customers</w:t>
      </w:r>
    </w:p>
    <w:p>
      <w:pPr>
        <w:pStyle w:val="ListBullet"/>
      </w:pPr>
      <w:r>
        <w:t>Cybersecurity M&amp;A: Evaluating 3 acquisition targets</w:t>
      </w:r>
    </w:p>
    <w:p>
      <w:pPr>
        <w:pStyle w:val="ListBullet"/>
      </w:pPr>
      <w:r>
        <w:t>Partner Ecosystem: 15 new ISV integrations by Q4</w:t>
      </w:r>
    </w:p>
    <w:p>
      <w:pPr>
        <w:pStyle w:val="Heading1"/>
      </w:pPr>
      <w:r>
        <w:t>Risk Assessment</w:t>
      </w:r>
    </w:p>
    <w:p>
      <w:r>
        <w:t>Key risks: IT spending slowdown, hyperscaler competition, 150bps FX headwind, customer concentration (top 10 = 28% revenue), EU AI Act regulatory risk.</w:t>
      </w:r>
    </w:p>
    <w:p>
      <w:pPr>
        <w:pStyle w:val="Heading1"/>
      </w:pPr>
      <w:r>
        <w:t>Forward Guidance</w:t>
      </w:r>
    </w:p>
    <w:p>
      <w:pPr>
        <w:pStyle w:val="ListBullet"/>
      </w:pPr>
      <w:r>
        <w:t>Q2 Revenue: $5.05B-$5.15B (21-23% YoY)</w:t>
      </w:r>
    </w:p>
    <w:p>
      <w:pPr>
        <w:pStyle w:val="ListBullet"/>
      </w:pPr>
      <w:r>
        <w:t>FY2026 Revenue: $20.5B-$21.0B (raised)</w:t>
      </w:r>
    </w:p>
    <w:p>
      <w:pPr>
        <w:pStyle w:val="ListBullet"/>
      </w:pPr>
      <w:r>
        <w:t>Operating Margin: 31-32%</w:t>
      </w:r>
    </w:p>
    <w:p>
      <w:pPr>
        <w:pStyle w:val="ListBullet"/>
      </w:pPr>
      <w:r>
        <w:t>EPS: $12.80-$13.20</w:t>
      </w:r>
    </w:p>
    <w:p>
      <w:pPr>
        <w:pStyle w:val="ListBullet"/>
      </w:pPr>
      <w:r>
        <w:t>Capital Allocation: $2.5B share repurchase</w:t>
      </w:r>
    </w:p>
    <w:p>
      <w:pPr>
        <w:pStyle w:val="Heading1"/>
      </w:pPr>
      <w:r>
        <w:t>Analyst Consensus</w:t>
      </w:r>
    </w:p>
    <w:p>
      <w:r>
        <w:t>8 analysts raised price targets, avg $142 (+18% upside). Consensus: Strong Buy (12/14 analysts).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