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8"/>
        </w:rPr>
        <w:t>AI-Driven Detection of DNS-Based Data Exfiltration</w:t>
      </w:r>
    </w:p>
    <w:p>
      <w:pPr>
        <w:jc w:val="center"/>
      </w:pPr>
      <w:r>
        <w:rPr>
          <w:i/>
          <w:sz w:val="28"/>
        </w:rPr>
        <w:t>MITRE ATT&amp;CK T1048.003 — Exfiltration Over Alternative Protocol: DNS</w:t>
      </w:r>
    </w:p>
    <w:p>
      <w:pPr>
        <w:jc w:val="center"/>
      </w:pPr>
      <w:r>
        <w:rPr>
          <w:b w:val="0"/>
          <w:sz w:val="26"/>
        </w:rPr>
        <w:t>Course 3917 — Using AI for Malware and Intrusion Detection</w:t>
      </w:r>
    </w:p>
    <w:p>
      <w:pPr>
        <w:jc w:val="center"/>
      </w:pPr>
      <w:r>
        <w:rPr>
          <w:b w:val="0"/>
          <w:sz w:val="26"/>
        </w:rPr>
        <w:t>Reichman University, Semester 2, 2026</w:t>
      </w:r>
    </w:p>
    <w:p>
      <w:pPr>
        <w:jc w:val="center"/>
      </w:pPr>
      <w:r>
        <w:rPr>
          <w:b w:val="0"/>
          <w:sz w:val="16"/>
        </w:rPr>
      </w:r>
    </w:p>
    <w:p>
      <w:pPr>
        <w:jc w:val="center"/>
      </w:pPr>
      <w:r>
        <w:rPr>
          <w:b/>
          <w:sz w:val="26"/>
        </w:rPr>
        <w:t>[[GROUP NUMBER — TBD]]</w:t>
      </w:r>
    </w:p>
    <w:p/>
    <w:p>
      <w:pPr>
        <w:jc w:val="center"/>
      </w:pPr>
      <w:r>
        <w:rPr>
          <w:sz w:val="24"/>
        </w:rPr>
        <w:t>Ronica [[LAST NAME — TBD]]  —  [[TEAMMATE B EMAIL — TBD]]</w:t>
        <w:br/>
        <w:t>[[TEAMMATE A FULL NAME — TBD]]  —  [[TEAMMATE A EMAIL — TBD]]</w:t>
      </w:r>
    </w:p>
    <w:p/>
    <w:p>
      <w:pPr>
        <w:jc w:val="center"/>
      </w:pPr>
      <w:r>
        <w:rPr>
          <w:sz w:val="24"/>
        </w:rPr>
        <w:t>15 August 2026</w:t>
      </w:r>
    </w:p>
    <w:p>
      <w:r>
        <w:br w:type="page"/>
      </w:r>
    </w:p>
    <w:p>
      <w:r>
        <w:rPr>
          <w:b/>
          <w:sz w:val="32"/>
        </w:rPr>
        <w:t>Table of Contents</w:t>
      </w:r>
    </w:p>
    <w:p>
      <w:r>
        <w:fldChar w:fldCharType="begin"/>
        <w:instrText xml:space="preserve">TOC \o "1-3" \h \z \u</w:instrText>
        <w:fldChar w:fldCharType="separate"/>
        <w:fldChar w:fldCharType="end"/>
      </w:r>
    </w:p>
    <w:p>
      <w:r>
        <w:rPr>
          <w:i/>
        </w:rPr>
        <w:t>(Right-click above and choose "Update Field" → "Update entire table" in Microsoft Word to generate the table of contents.)</w:t>
      </w:r>
    </w:p>
    <w:p>
      <w:r>
        <w:br w:type="page"/>
      </w:r>
    </w:p>
    <w:p>
      <w:pPr>
        <w:pStyle w:val="Heading1"/>
      </w:pPr>
      <w:r>
        <w:t>Executive Summary</w:t>
      </w:r>
    </w:p>
    <w:p>
      <w:r>
        <w:rPr>
          <w:i/>
          <w:color w:val="B00000"/>
        </w:rPr>
        <w:t>[PENDING — Owner: Teammate A. Step 4G — max 1 page, written last. Not yet drafted as of this assembly (15 Aug 2026).]</w:t>
      </w:r>
    </w:p>
    <w:p>
      <w:r>
        <w:br w:type="page"/>
      </w:r>
    </w:p>
    <w:p>
      <w:pPr>
        <w:pStyle w:val="Heading1"/>
      </w:pPr>
      <w:r>
        <w:t>Chapter 1 — Threat Characterization</w:t>
      </w:r>
    </w:p>
    <w:p>
      <w:pPr>
        <w:pStyle w:val="Heading2"/>
      </w:pPr>
      <w:r>
        <w:t>1.0 Why this is not a DGA project</w:t>
      </w:r>
    </w:p>
    <w:p>
      <w:r>
        <w:t>Domain Generation Algorithms (DGA) and DNS exfiltration are both DNS-based threats, but they solve different adversary problems and sit under different MITRE ATT&amp;CK tactics.</w:t>
      </w:r>
    </w:p>
    <w:p>
      <w:r>
        <w:rPr>
          <w:b/>
        </w:rPr>
        <w:t>DGA is a rendezvous problem.</w:t>
      </w:r>
      <w:r>
        <w:t xml:space="preserve"> Malware needs to find its command-and-control (C2) server without a hardcoded, block-listable address, so client and server independently compute a rolling set of candidate domains from a shared seed (date, secret) and try to resolve them until one succeeds. The question a DGA detector answers is: </w:t>
      </w:r>
      <w:r>
        <w:rPr>
          <w:i/>
        </w:rPr>
        <w:t>does this domain look machine-generated?</w:t>
      </w:r>
      <w:r>
        <w:t xml:space="preserve"> This falls under </w:t>
      </w:r>
      <w:r>
        <w:rPr>
          <w:b/>
        </w:rPr>
        <w:t>TA0011 (Command and Control)</w:t>
      </w:r>
      <w:r>
        <w:t>.</w:t>
      </w:r>
    </w:p>
    <w:p>
      <w:r>
        <w:rPr>
          <w:b/>
        </w:rPr>
        <w:t>DNS exfiltration is a carrier-capacity problem.</w:t>
      </w:r>
      <w:r>
        <w:t xml:space="preserve"> The attacker already has a foothold and a fixed destination; the question is how to move stolen bytes out of a network that blocks or inspects every other outbound channel but almost never blocks outbound DNS. The domain name itself becomes the transport, encoding attacker data as subdomain labels. The question our detector answers is: </w:t>
      </w:r>
      <w:r>
        <w:rPr>
          <w:i/>
        </w:rPr>
        <w:t>is data being smuggled inside this query name?</w:t>
      </w:r>
      <w:r>
        <w:t xml:space="preserve"> This falls under </w:t>
      </w:r>
      <w:r>
        <w:rPr>
          <w:b/>
        </w:rPr>
        <w:t>TA0010 (Exfiltration)</w:t>
      </w:r>
      <w:r>
        <w:t>.</w:t>
      </w:r>
    </w:p>
    <w:p>
      <w:r>
        <w:t>These differ in mechanism (algorithmic generation vs. payload encoding), in feature space (lexical "does this look like a word" features for DGA vs. volumetric/entropy/structural features for exfiltration), and in failure mode (a DGA detector that is shown an exfiltration channel is answering the wrong question entirely, and vice versa). This project targets exfiltration only.</w:t>
      </w:r>
    </w:p>
    <w:p>
      <w:pPr>
        <w:pStyle w:val="Heading2"/>
      </w:pPr>
      <w:r>
        <w:t>1.1 MITRE ATT&amp;CK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b/>
                <w:sz w:val="18"/>
              </w:rPr>
              <w:t>ID</w:t>
            </w:r>
          </w:p>
        </w:tc>
        <w:tc>
          <w:tcPr>
            <w:tcW w:type="dxa" w:w="2340"/>
          </w:tcPr>
          <w:p>
            <w:pPr>
              <w:spacing w:after="40"/>
            </w:pPr>
            <w:r/>
            <w:r>
              <w:rPr>
                <w:b/>
                <w:sz w:val="18"/>
              </w:rPr>
              <w:t>Technique</w:t>
            </w:r>
          </w:p>
        </w:tc>
        <w:tc>
          <w:tcPr>
            <w:tcW w:type="dxa" w:w="2340"/>
          </w:tcPr>
          <w:p>
            <w:pPr>
              <w:spacing w:after="40"/>
            </w:pPr>
            <w:r/>
            <w:r>
              <w:rPr>
                <w:b/>
                <w:sz w:val="18"/>
              </w:rPr>
              <w:t>Tactic</w:t>
            </w:r>
          </w:p>
        </w:tc>
        <w:tc>
          <w:tcPr>
            <w:tcW w:type="dxa" w:w="2340"/>
          </w:tcPr>
          <w:p>
            <w:pPr>
              <w:spacing w:after="40"/>
            </w:pPr>
            <w:r/>
            <w:r>
              <w:rPr>
                <w:b/>
                <w:sz w:val="18"/>
              </w:rPr>
              <w:t>Role in this threat</w:t>
            </w:r>
          </w:p>
        </w:tc>
      </w:tr>
      <w:tr>
        <w:tc>
          <w:tcPr>
            <w:tcW w:type="dxa" w:w="2340"/>
          </w:tcPr>
          <w:p>
            <w:pPr>
              <w:spacing w:after="40"/>
            </w:pPr>
            <w:r/>
            <w:r>
              <w:rPr>
                <w:b/>
                <w:sz w:val="18"/>
              </w:rPr>
              <w:t>T1048.003</w:t>
            </w:r>
          </w:p>
        </w:tc>
        <w:tc>
          <w:tcPr>
            <w:tcW w:type="dxa" w:w="2340"/>
          </w:tcPr>
          <w:p>
            <w:pPr>
              <w:spacing w:after="40"/>
            </w:pPr>
            <w:r/>
            <w:r>
              <w:rPr>
                <w:sz w:val="18"/>
              </w:rPr>
              <w:t>Exfiltration Over Unencrypted/Obfuscated Non-C2 Protocol</w:t>
            </w:r>
          </w:p>
        </w:tc>
        <w:tc>
          <w:tcPr>
            <w:tcW w:type="dxa" w:w="2340"/>
          </w:tcPr>
          <w:p>
            <w:pPr>
              <w:spacing w:after="40"/>
            </w:pPr>
            <w:r/>
            <w:r>
              <w:rPr>
                <w:sz w:val="18"/>
              </w:rPr>
              <w:t>TA0010 Exfiltration</w:t>
            </w:r>
          </w:p>
        </w:tc>
        <w:tc>
          <w:tcPr>
            <w:tcW w:type="dxa" w:w="2340"/>
          </w:tcPr>
          <w:p>
            <w:pPr>
              <w:spacing w:after="40"/>
            </w:pPr>
            <w:r/>
            <w:r>
              <w:rPr>
                <w:b/>
                <w:sz w:val="18"/>
              </w:rPr>
              <w:t>Primary.</w:t>
            </w:r>
            <w:r>
              <w:rPr>
                <w:sz w:val="18"/>
              </w:rPr>
              <w:t xml:space="preserve"> DNS is abused as an exfiltration channel outside the malware's normal C2 protocol.</w:t>
            </w:r>
          </w:p>
        </w:tc>
      </w:tr>
      <w:tr>
        <w:tc>
          <w:tcPr>
            <w:tcW w:type="dxa" w:w="2340"/>
          </w:tcPr>
          <w:p>
            <w:pPr>
              <w:spacing w:after="40"/>
            </w:pPr>
            <w:r/>
            <w:r>
              <w:rPr>
                <w:sz w:val="18"/>
              </w:rPr>
              <w:t>T1071.004</w:t>
            </w:r>
          </w:p>
        </w:tc>
        <w:tc>
          <w:tcPr>
            <w:tcW w:type="dxa" w:w="2340"/>
          </w:tcPr>
          <w:p>
            <w:pPr>
              <w:spacing w:after="40"/>
            </w:pPr>
            <w:r/>
            <w:r>
              <w:rPr>
                <w:sz w:val="18"/>
              </w:rPr>
              <w:t>Application Layer Protocol: DNS</w:t>
            </w:r>
          </w:p>
        </w:tc>
        <w:tc>
          <w:tcPr>
            <w:tcW w:type="dxa" w:w="2340"/>
          </w:tcPr>
          <w:p>
            <w:pPr>
              <w:spacing w:after="40"/>
            </w:pPr>
            <w:r/>
            <w:r>
              <w:rPr>
                <w:sz w:val="18"/>
              </w:rPr>
              <w:t>TA0011 Command and Control</w:t>
            </w:r>
          </w:p>
        </w:tc>
        <w:tc>
          <w:tcPr>
            <w:tcW w:type="dxa" w:w="2340"/>
          </w:tcPr>
          <w:p>
            <w:pPr>
              <w:spacing w:after="40"/>
            </w:pPr>
            <w:r/>
            <w:r>
              <w:rPr>
                <w:sz w:val="18"/>
              </w:rPr>
              <w:t>The carrier protocol — DNS queries are the wire format the data rides on.</w:t>
            </w:r>
          </w:p>
        </w:tc>
      </w:tr>
      <w:tr>
        <w:tc>
          <w:tcPr>
            <w:tcW w:type="dxa" w:w="2340"/>
          </w:tcPr>
          <w:p>
            <w:pPr>
              <w:spacing w:after="40"/>
            </w:pPr>
            <w:r/>
            <w:r>
              <w:rPr>
                <w:sz w:val="18"/>
              </w:rPr>
              <w:t>T1132.001</w:t>
            </w:r>
          </w:p>
        </w:tc>
        <w:tc>
          <w:tcPr>
            <w:tcW w:type="dxa" w:w="2340"/>
          </w:tcPr>
          <w:p>
            <w:pPr>
              <w:spacing w:after="40"/>
            </w:pPr>
            <w:r/>
            <w:r>
              <w:rPr>
                <w:sz w:val="18"/>
              </w:rPr>
              <w:t>Data Encoding: Standard Encoding</w:t>
            </w:r>
          </w:p>
        </w:tc>
        <w:tc>
          <w:tcPr>
            <w:tcW w:type="dxa" w:w="2340"/>
          </w:tcPr>
          <w:p>
            <w:pPr>
              <w:spacing w:after="40"/>
            </w:pPr>
            <w:r/>
            <w:r>
              <w:rPr>
                <w:sz w:val="18"/>
              </w:rPr>
              <w:t>TA0011 Command and Control</w:t>
            </w:r>
          </w:p>
        </w:tc>
        <w:tc>
          <w:tcPr>
            <w:tcW w:type="dxa" w:w="2340"/>
          </w:tcPr>
          <w:p>
            <w:pPr>
              <w:spacing w:after="40"/>
            </w:pPr>
            <w:r/>
            <w:r>
              <w:rPr>
                <w:sz w:val="18"/>
              </w:rPr>
              <w:t>Payload is base64URL-encoded before being split into query labels (F2 feature family).</w:t>
            </w:r>
          </w:p>
        </w:tc>
      </w:tr>
      <w:tr>
        <w:tc>
          <w:tcPr>
            <w:tcW w:type="dxa" w:w="2340"/>
          </w:tcPr>
          <w:p>
            <w:pPr>
              <w:spacing w:after="40"/>
            </w:pPr>
            <w:r/>
            <w:r>
              <w:rPr>
                <w:sz w:val="18"/>
              </w:rPr>
              <w:t>T1572</w:t>
            </w:r>
          </w:p>
        </w:tc>
        <w:tc>
          <w:tcPr>
            <w:tcW w:type="dxa" w:w="2340"/>
          </w:tcPr>
          <w:p>
            <w:pPr>
              <w:spacing w:after="40"/>
            </w:pPr>
            <w:r/>
            <w:r>
              <w:rPr>
                <w:sz w:val="18"/>
              </w:rPr>
              <w:t>Protocol Tunneling</w:t>
            </w:r>
          </w:p>
        </w:tc>
        <w:tc>
          <w:tcPr>
            <w:tcW w:type="dxa" w:w="2340"/>
          </w:tcPr>
          <w:p>
            <w:pPr>
              <w:spacing w:after="40"/>
            </w:pPr>
            <w:r/>
            <w:r>
              <w:rPr>
                <w:sz w:val="18"/>
              </w:rPr>
              <w:t>TA0011 Command and Control</w:t>
            </w:r>
          </w:p>
        </w:tc>
        <w:tc>
          <w:tcPr>
            <w:tcW w:type="dxa" w:w="2340"/>
          </w:tcPr>
          <w:p>
            <w:pPr>
              <w:spacing w:after="40"/>
            </w:pPr>
            <w:r/>
            <w:r>
              <w:rPr>
                <w:sz w:val="18"/>
              </w:rPr>
              <w:t>Broader technique family for encapsulating one protocol inside another; DNS tunneling is a concrete instance.</w:t>
            </w:r>
          </w:p>
        </w:tc>
      </w:tr>
    </w:tbl>
    <w:p>
      <w:pPr>
        <w:spacing w:after="80"/>
      </w:pPr>
    </w:p>
    <w:p>
      <w:pPr>
        <w:ind w:left="432"/>
      </w:pPr>
      <w:r>
        <w:rPr>
          <w:i/>
        </w:rPr>
      </w:r>
      <w:r>
        <w:rPr>
          <w:b/>
          <w:i/>
        </w:rPr>
        <w:t>Correction to an earlier plan draft:</w:t>
      </w:r>
      <w:r>
        <w:rPr>
          <w:i/>
        </w:rPr>
        <w:t xml:space="preserve"> the plan text cited "T1572.002." Verified against the live</w:t>
      </w:r>
    </w:p>
    <w:p>
      <w:pPr>
        <w:ind w:left="432"/>
      </w:pPr>
      <w:r>
        <w:rPr>
          <w:i/>
        </w:rPr>
      </w:r>
      <w:r>
        <w:rPr>
          <w:i/>
        </w:rPr>
        <w:t xml:space="preserve">ATT&amp;CK Enterprise matrix (August 2026): </w:t>
      </w:r>
      <w:r>
        <w:rPr>
          <w:b/>
          <w:i/>
        </w:rPr>
        <w:t>T1572 currently has no sub-techniques</w:t>
      </w:r>
      <w:r>
        <w:rPr>
          <w:i/>
        </w:rPr>
        <w:t xml:space="preserve"> — cite it as the</w:t>
      </w:r>
    </w:p>
    <w:p>
      <w:pPr>
        <w:ind w:left="432"/>
      </w:pPr>
      <w:r>
        <w:rPr>
          <w:i/>
        </w:rPr>
      </w:r>
      <w:r>
        <w:rPr>
          <w:i/>
        </w:rPr>
        <w:t>bare technique, not T1572.002. T1048.003, T1071.004, and T1132.001 were all verified correct as</w:t>
      </w:r>
    </w:p>
    <w:p>
      <w:pPr>
        <w:ind w:left="432"/>
      </w:pPr>
      <w:r>
        <w:rPr>
          <w:i/>
        </w:rPr>
      </w:r>
      <w:r>
        <w:rPr>
          <w:i/>
        </w:rPr>
        <w:t>written. I've corrected the PROJECT_PLAN.md reference alongside this draft.</w:t>
      </w:r>
    </w:p>
    <w:p>
      <w:pPr>
        <w:pStyle w:val="Heading2"/>
      </w:pPr>
      <w:r>
        <w:t>1.2 Attack mechanics</w:t>
      </w:r>
    </w:p>
    <w:p>
      <w:pPr>
        <w:pStyle w:val="ListNumber"/>
      </w:pPr>
      <w:r>
        <w:rPr>
          <w:b/>
        </w:rPr>
        <w:t>Encode.</w:t>
      </w:r>
      <w:r>
        <w:t xml:space="preserve"> The exfiltrated payload (a file, a credential dump, a command's output) is base64URL-encoded</w:t>
      </w:r>
    </w:p>
    <w:p>
      <w:r>
        <w:t xml:space="preserve">   so every byte survives DNS's hostname character restrictions.</w:t>
      </w:r>
    </w:p>
    <w:p>
      <w:pPr>
        <w:pStyle w:val="ListNumber"/>
      </w:pPr>
      <w:r>
        <w:rPr>
          <w:b/>
        </w:rPr>
        <w:t>Chunk.</w:t>
      </w:r>
      <w:r>
        <w:t xml:space="preserve"> DNS caps each label at 63 bytes and the full FQDN at 253 bytes, so the encoded payload is</w:t>
      </w:r>
    </w:p>
    <w:p>
      <w:r>
        <w:t xml:space="preserve">   split into a sequence of labels, each becoming one subdomain level (</w:t>
      </w:r>
      <w:r>
        <w:rPr>
          <w:rFonts w:ascii="Consolas" w:hAnsi="Consolas"/>
          <w:sz w:val="20"/>
        </w:rPr>
        <w:t>&lt;chunk1&gt;.&lt;chunk2&gt;...&lt;attacker-domain&gt;</w:t>
      </w:r>
      <w:r>
        <w:t>).</w:t>
      </w:r>
    </w:p>
    <w:p>
      <w:pPr>
        <w:pStyle w:val="ListNumber"/>
      </w:pPr>
      <w:r>
        <w:rPr>
          <w:b/>
        </w:rPr>
        <w:t>Emit.</w:t>
      </w:r>
      <w:r>
        <w:t xml:space="preserve"> The client issues an ordinary-looking DNS query for the constructed FQDN. No inbound</w:t>
      </w:r>
    </w:p>
    <w:p>
      <w:r>
        <w:t xml:space="preserve">   connection to the victim network is required — the exfiltration is entirely outbound, which is why    DNS survives in almost every egress policy that blocks everything else.</w:t>
      </w:r>
    </w:p>
    <w:p>
      <w:pPr>
        <w:pStyle w:val="ListNumber"/>
      </w:pPr>
      <w:r>
        <w:rPr>
          <w:b/>
        </w:rPr>
        <w:t>Forward.</w:t>
      </w:r>
      <w:r>
        <w:t xml:space="preserve"> The organization's recursive resolver, doing its normal job, walks the FQDN up to the</w:t>
      </w:r>
    </w:p>
    <w:p>
      <w:r>
        <w:t xml:space="preserve">   attacker-registered domain and forwards the query to the attacker's authoritative nameserver — which    simply logs the query. The "response" is irrelevant; the query </w:t>
      </w:r>
      <w:r>
        <w:rPr>
          <w:i/>
        </w:rPr>
        <w:t>is</w:t>
      </w:r>
      <w:r>
        <w:t xml:space="preserve"> the payload.</w:t>
      </w:r>
    </w:p>
    <w:p>
      <w:pPr>
        <w:pStyle w:val="Heading2"/>
      </w:pPr>
      <w:r>
        <w:t>1.3 Theoretical feature rationale, by family</w:t>
      </w:r>
    </w:p>
    <w:p>
      <w:r>
        <w:t>The unified feature schema (</w:t>
      </w:r>
      <w:r>
        <w:rPr>
          <w:rFonts w:ascii="Consolas" w:hAnsi="Consolas"/>
          <w:sz w:val="20"/>
        </w:rPr>
        <w:t>schema/unified.py</w:t>
      </w:r>
      <w:r>
        <w:t>) groups the project's 11 engineered features into five behavioural families. Each maps to one step of the attack mechanics above: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Family</w:t>
            </w:r>
          </w:p>
        </w:tc>
        <w:tc>
          <w:tcPr>
            <w:tcW w:type="dxa" w:w="3120"/>
          </w:tcPr>
          <w:p>
            <w:pPr>
              <w:spacing w:after="40"/>
            </w:pPr>
            <w:r/>
            <w:r>
              <w:rPr>
                <w:b/>
                <w:sz w:val="18"/>
              </w:rPr>
              <w:t>Security meaning</w:t>
            </w:r>
          </w:p>
        </w:tc>
        <w:tc>
          <w:tcPr>
            <w:tcW w:type="dxa" w:w="3120"/>
          </w:tcPr>
          <w:p>
            <w:pPr>
              <w:spacing w:after="40"/>
            </w:pPr>
            <w:r/>
            <w:r>
              <w:rPr>
                <w:b/>
                <w:sz w:val="18"/>
              </w:rPr>
              <w:t>Maps to</w:t>
            </w:r>
          </w:p>
        </w:tc>
      </w:tr>
      <w:tr>
        <w:tc>
          <w:tcPr>
            <w:tcW w:type="dxa" w:w="3120"/>
          </w:tcPr>
          <w:p>
            <w:pPr>
              <w:spacing w:after="40"/>
            </w:pPr>
            <w:r/>
            <w:r>
              <w:rPr>
                <w:b/>
                <w:sz w:val="18"/>
              </w:rPr>
              <w:t>F1 — Payload volume</w:t>
            </w:r>
          </w:p>
        </w:tc>
        <w:tc>
          <w:tcPr>
            <w:tcW w:type="dxa" w:w="3120"/>
          </w:tcPr>
          <w:p>
            <w:pPr>
              <w:spacing w:after="40"/>
            </w:pPr>
            <w:r/>
            <w:r>
              <w:rPr>
                <w:sz w:val="18"/>
              </w:rPr>
              <w:t>A channel meant to carry only small lookups now carries far more bytes per unit than normal traffic, because the payload itself is the smuggled data.</w:t>
            </w:r>
          </w:p>
        </w:tc>
        <w:tc>
          <w:tcPr>
            <w:tcW w:type="dxa" w:w="3120"/>
          </w:tcPr>
          <w:p>
            <w:pPr>
              <w:spacing w:after="40"/>
            </w:pPr>
            <w:r/>
            <w:r>
              <w:rPr>
                <w:sz w:val="18"/>
              </w:rPr>
              <w:t>Step 2 (chunking produces long, high-volume queries)</w:t>
            </w:r>
          </w:p>
        </w:tc>
      </w:tr>
      <w:tr>
        <w:tc>
          <w:tcPr>
            <w:tcW w:type="dxa" w:w="3120"/>
          </w:tcPr>
          <w:p>
            <w:pPr>
              <w:spacing w:after="40"/>
            </w:pPr>
            <w:r/>
            <w:r>
              <w:rPr>
                <w:b/>
                <w:sz w:val="18"/>
              </w:rPr>
              <w:t>F2 — Encoding randomness</w:t>
            </w:r>
          </w:p>
        </w:tc>
        <w:tc>
          <w:tcPr>
            <w:tcW w:type="dxa" w:w="3120"/>
          </w:tcPr>
          <w:p>
            <w:pPr>
              <w:spacing w:after="40"/>
            </w:pPr>
            <w:r/>
            <w:r>
              <w:rPr>
                <w:sz w:val="18"/>
              </w:rPr>
              <w:t>Base64URL-encoded binary data has a near-uniform character distribution (high Shannon entropy); legitimate hostnames are drawn from a much smaller, human-readable alphabet and are not statistically random.</w:t>
            </w:r>
          </w:p>
        </w:tc>
        <w:tc>
          <w:tcPr>
            <w:tcW w:type="dxa" w:w="3120"/>
          </w:tcPr>
          <w:p>
            <w:pPr>
              <w:spacing w:after="40"/>
            </w:pPr>
            <w:r/>
            <w:r>
              <w:rPr>
                <w:sz w:val="18"/>
              </w:rPr>
              <w:t>Step 1 (encoding)</w:t>
            </w:r>
          </w:p>
        </w:tc>
      </w:tr>
      <w:tr>
        <w:tc>
          <w:tcPr>
            <w:tcW w:type="dxa" w:w="3120"/>
          </w:tcPr>
          <w:p>
            <w:pPr>
              <w:spacing w:after="40"/>
            </w:pPr>
            <w:r/>
            <w:r>
              <w:rPr>
                <w:b/>
                <w:sz w:val="18"/>
              </w:rPr>
              <w:t>F3 — Structural complexity</w:t>
            </w:r>
          </w:p>
        </w:tc>
        <w:tc>
          <w:tcPr>
            <w:tcW w:type="dxa" w:w="3120"/>
          </w:tcPr>
          <w:p>
            <w:pPr>
              <w:spacing w:after="40"/>
            </w:pPr>
            <w:r/>
            <w:r>
              <w:rPr>
                <w:sz w:val="18"/>
              </w:rPr>
              <w:t>Chunking to fit the 63-byte label / 253-byte FQDN limits produces unusually deep, unusually segmented names compared to ordinary 2–4 label hostnames.</w:t>
            </w:r>
          </w:p>
        </w:tc>
        <w:tc>
          <w:tcPr>
            <w:tcW w:type="dxa" w:w="3120"/>
          </w:tcPr>
          <w:p>
            <w:pPr>
              <w:spacing w:after="40"/>
            </w:pPr>
            <w:r/>
            <w:r>
              <w:rPr>
                <w:sz w:val="18"/>
              </w:rPr>
              <w:t>Step 2 (chunking)</w:t>
            </w:r>
          </w:p>
        </w:tc>
      </w:tr>
      <w:tr>
        <w:tc>
          <w:tcPr>
            <w:tcW w:type="dxa" w:w="3120"/>
          </w:tcPr>
          <w:p>
            <w:pPr>
              <w:spacing w:after="40"/>
            </w:pPr>
            <w:r/>
            <w:r>
              <w:rPr>
                <w:b/>
                <w:sz w:val="18"/>
              </w:rPr>
              <w:t>F4 — Temporal rhythm</w:t>
            </w:r>
            <w:r>
              <w:rPr>
                <w:sz w:val="18"/>
              </w:rPr>
              <w:t xml:space="preserve"> </w:t>
            </w:r>
            <w:r>
              <w:rPr>
                <w:sz w:val="18"/>
              </w:rPr>
              <w:t>*(Dataset B only)*</w:t>
            </w:r>
          </w:p>
        </w:tc>
        <w:tc>
          <w:tcPr>
            <w:tcW w:type="dxa" w:w="3120"/>
          </w:tcPr>
          <w:p>
            <w:pPr>
              <w:spacing w:after="40"/>
            </w:pPr>
            <w:r/>
            <w:r>
              <w:rPr>
                <w:sz w:val="18"/>
              </w:rPr>
              <w:t>Automated exfiltration issues queries on a machine-paced, low-variance schedule; human-driven browsing does not.</w:t>
            </w:r>
          </w:p>
        </w:tc>
        <w:tc>
          <w:tcPr>
            <w:tcW w:type="dxa" w:w="3120"/>
          </w:tcPr>
          <w:p>
            <w:pPr>
              <w:spacing w:after="40"/>
            </w:pPr>
            <w:r/>
            <w:r>
              <w:rPr>
                <w:sz w:val="18"/>
              </w:rPr>
              <w:t>Step 3 (emission cadence)</w:t>
            </w:r>
          </w:p>
        </w:tc>
      </w:tr>
      <w:tr>
        <w:tc>
          <w:tcPr>
            <w:tcW w:type="dxa" w:w="3120"/>
          </w:tcPr>
          <w:p>
            <w:pPr>
              <w:spacing w:after="40"/>
            </w:pPr>
            <w:r/>
            <w:r>
              <w:rPr>
                <w:b/>
                <w:sz w:val="18"/>
              </w:rPr>
              <w:t>F5 — Endpoint dispersion</w:t>
            </w:r>
            <w:r>
              <w:rPr>
                <w:sz w:val="18"/>
              </w:rPr>
              <w:t xml:space="preserve"> </w:t>
            </w:r>
            <w:r>
              <w:rPr>
                <w:sz w:val="18"/>
              </w:rPr>
              <w:t>*(Dataset B only)*</w:t>
            </w:r>
          </w:p>
        </w:tc>
        <w:tc>
          <w:tcPr>
            <w:tcW w:type="dxa" w:w="3120"/>
          </w:tcPr>
          <w:p>
            <w:pPr>
              <w:spacing w:after="40"/>
            </w:pPr>
            <w:r/>
            <w:r>
              <w:rPr>
                <w:sz w:val="18"/>
              </w:rPr>
              <w:t>Exfiltration channels concentrate traffic toward a small number of attacker-controlled endpoints rather than the broad destination spread of normal browsing.</w:t>
            </w:r>
          </w:p>
        </w:tc>
        <w:tc>
          <w:tcPr>
            <w:tcW w:type="dxa" w:w="3120"/>
          </w:tcPr>
          <w:p>
            <w:pPr>
              <w:spacing w:after="40"/>
            </w:pPr>
            <w:r/>
            <w:r>
              <w:rPr>
                <w:sz w:val="18"/>
              </w:rPr>
              <w:t>Step 4 (forwarding target)</w:t>
            </w:r>
          </w:p>
        </w:tc>
      </w:tr>
    </w:tbl>
    <w:p>
      <w:pPr>
        <w:spacing w:after="80"/>
      </w:pPr>
    </w:p>
    <w:p>
      <w:r>
        <w:t>F4 and F5 are unobservable in Dataset A by construction — Dataset A's stateless per-query schema simply does not carry timing or destination-fan-out telemetry (see the INTERSECTION vs. B_ONLY split below). This is not a data-cleaning gap to explain away; it is itself the project's central empirical claim (§1.4 and Chapter 5): different feature families survive the plaintext→encrypted boundary by different amounts, and F4/F5 are the families that do not survive it at all when only stateless per-query telemetry is available.</w:t>
      </w:r>
    </w:p>
    <w:p>
      <w:pPr>
        <w:pStyle w:val="Heading2"/>
      </w:pPr>
      <w:r>
        <w:t>1.4 Telemetry &amp; feature mapping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Behaviour</w:t>
            </w:r>
          </w:p>
        </w:tc>
        <w:tc>
          <w:tcPr>
            <w:tcW w:type="dxa" w:w="1872"/>
          </w:tcPr>
          <w:p>
            <w:pPr>
              <w:spacing w:after="40"/>
            </w:pPr>
            <w:r/>
            <w:r>
              <w:rPr>
                <w:b/>
                <w:sz w:val="18"/>
              </w:rPr>
              <w:t>Telemetry source</w:t>
            </w:r>
          </w:p>
        </w:tc>
        <w:tc>
          <w:tcPr>
            <w:tcW w:type="dxa" w:w="1872"/>
          </w:tcPr>
          <w:p>
            <w:pPr>
              <w:spacing w:after="40"/>
            </w:pPr>
            <w:r/>
            <w:r>
              <w:rPr>
                <w:b/>
                <w:sz w:val="18"/>
              </w:rPr>
              <w:t>Raw field(s)</w:t>
            </w:r>
          </w:p>
        </w:tc>
        <w:tc>
          <w:tcPr>
            <w:tcW w:type="dxa" w:w="1872"/>
          </w:tcPr>
          <w:p>
            <w:pPr>
              <w:spacing w:after="40"/>
            </w:pPr>
            <w:r/>
            <w:r>
              <w:rPr>
                <w:b/>
                <w:sz w:val="18"/>
              </w:rPr>
              <w:t>Derived feature</w:t>
            </w:r>
          </w:p>
        </w:tc>
        <w:tc>
          <w:tcPr>
            <w:tcW w:type="dxa" w:w="1872"/>
          </w:tcPr>
          <w:p>
            <w:pPr>
              <w:spacing w:after="40"/>
            </w:pPr>
            <w:r/>
            <w:r>
              <w:rPr>
                <w:b/>
                <w:sz w:val="18"/>
              </w:rPr>
              <w:t>Explanation</w:t>
            </w:r>
          </w:p>
        </w:tc>
      </w:tr>
      <w:tr>
        <w:tc>
          <w:tcPr>
            <w:tcW w:type="dxa" w:w="1872"/>
          </w:tcPr>
          <w:p>
            <w:pPr>
              <w:spacing w:after="40"/>
            </w:pPr>
            <w:r/>
            <w:r>
              <w:rPr>
                <w:sz w:val="18"/>
              </w:rPr>
              <w:t>Query carries more bytes than a normal lookup</w:t>
            </w:r>
          </w:p>
        </w:tc>
        <w:tc>
          <w:tcPr>
            <w:tcW w:type="dxa" w:w="1872"/>
          </w:tcPr>
          <w:p>
            <w:pPr>
              <w:spacing w:after="40"/>
            </w:pPr>
            <w:r/>
            <w:r>
              <w:rPr>
                <w:sz w:val="18"/>
              </w:rPr>
              <w:t>Dataset A: passive DNS query log · Dataset B: DoH flow record</w:t>
            </w:r>
          </w:p>
        </w:tc>
        <w:tc>
          <w:tcPr>
            <w:tcW w:type="dxa" w:w="1872"/>
          </w:tcPr>
          <w:p>
            <w:pPr>
              <w:spacing w:after="40"/>
            </w:pPr>
            <w:r/>
            <w:r>
              <w:rPr>
                <w:sz w:val="18"/>
              </w:rPr>
              <w:t xml:space="preserve">A: </w:t>
            </w:r>
            <w:r>
              <w:rPr>
                <w:rFonts w:ascii="Consolas" w:hAnsi="Consolas"/>
                <w:sz w:val="18"/>
              </w:rPr>
              <w:t>len</w:t>
            </w:r>
            <w:r>
              <w:rPr>
                <w:sz w:val="18"/>
              </w:rPr>
              <w:t xml:space="preserve">, </w:t>
            </w:r>
            <w:r>
              <w:rPr>
                <w:rFonts w:ascii="Consolas" w:hAnsi="Consolas"/>
                <w:sz w:val="18"/>
              </w:rPr>
              <w:t>subdomain_length</w:t>
            </w:r>
            <w:r>
              <w:rPr>
                <w:sz w:val="18"/>
              </w:rPr>
              <w:t xml:space="preserve">, </w:t>
            </w:r>
            <w:r>
              <w:rPr>
                <w:rFonts w:ascii="Consolas" w:hAnsi="Consolas"/>
                <w:sz w:val="18"/>
              </w:rPr>
              <w:t>FQDN_count</w:t>
            </w:r>
            <w:r>
              <w:rPr>
                <w:sz w:val="18"/>
              </w:rPr>
              <w:t xml:space="preserve"> · B: </w:t>
            </w:r>
            <w:r>
              <w:rPr>
                <w:rFonts w:ascii="Consolas" w:hAnsi="Consolas"/>
                <w:sz w:val="18"/>
              </w:rPr>
              <w:t>PacketLengthMean</w:t>
            </w:r>
            <w:r>
              <w:rPr>
                <w:sz w:val="18"/>
              </w:rPr>
              <w:t xml:space="preserve">, </w:t>
            </w:r>
            <w:r>
              <w:rPr>
                <w:rFonts w:ascii="Consolas" w:hAnsi="Consolas"/>
                <w:sz w:val="18"/>
              </w:rPr>
              <w:t>PacketLengthMedian</w:t>
            </w:r>
            <w:r>
              <w:rPr>
                <w:sz w:val="18"/>
              </w:rPr>
              <w:t xml:space="preserve">, </w:t>
            </w:r>
            <w:r>
              <w:rPr>
                <w:rFonts w:ascii="Consolas" w:hAnsi="Consolas"/>
                <w:sz w:val="18"/>
              </w:rPr>
              <w:t>FlowBytesSent</w:t>
            </w:r>
          </w:p>
        </w:tc>
        <w:tc>
          <w:tcPr>
            <w:tcW w:type="dxa" w:w="1872"/>
          </w:tcPr>
          <w:p>
            <w:pPr>
              <w:spacing w:after="40"/>
            </w:pPr>
            <w:r/>
            <w:r>
              <w:rPr>
                <w:rFonts w:ascii="Consolas" w:hAnsi="Consolas"/>
                <w:sz w:val="18"/>
              </w:rPr>
              <w:t>vol_primary</w:t>
            </w:r>
            <w:r>
              <w:rPr>
                <w:sz w:val="18"/>
              </w:rPr>
              <w:t xml:space="preserve">, </w:t>
            </w:r>
            <w:r>
              <w:rPr>
                <w:rFonts w:ascii="Consolas" w:hAnsi="Consolas"/>
                <w:sz w:val="18"/>
              </w:rPr>
              <w:t>vol_secondary</w:t>
            </w:r>
            <w:r>
              <w:rPr>
                <w:sz w:val="18"/>
              </w:rPr>
              <w:t xml:space="preserve">, </w:t>
            </w:r>
            <w:r>
              <w:rPr>
                <w:rFonts w:ascii="Consolas" w:hAnsi="Consolas"/>
                <w:sz w:val="18"/>
              </w:rPr>
              <w:t>vol_total</w:t>
            </w:r>
            <w:r>
              <w:rPr>
                <w:sz w:val="18"/>
              </w:rPr>
              <w:t xml:space="preserve"> (F1)</w:t>
            </w:r>
          </w:p>
        </w:tc>
        <w:tc>
          <w:tcPr>
            <w:tcW w:type="dxa" w:w="1872"/>
          </w:tcPr>
          <w:p>
            <w:pPr>
              <w:spacing w:after="40"/>
            </w:pPr>
            <w:r/>
            <w:r>
              <w:rPr>
                <w:sz w:val="18"/>
              </w:rPr>
              <w:t>Direct length/volume counters from each vantage point's native telemetry; A measures the query string itself, B measures the encrypted flow's packet-size statistics.</w:t>
            </w:r>
          </w:p>
        </w:tc>
      </w:tr>
      <w:tr>
        <w:tc>
          <w:tcPr>
            <w:tcW w:type="dxa" w:w="1872"/>
          </w:tcPr>
          <w:p>
            <w:pPr>
              <w:spacing w:after="40"/>
            </w:pPr>
            <w:r/>
            <w:r>
              <w:rPr>
                <w:sz w:val="18"/>
              </w:rPr>
              <w:t>Query label looks statistically random</w:t>
            </w:r>
          </w:p>
        </w:tc>
        <w:tc>
          <w:tcPr>
            <w:tcW w:type="dxa" w:w="1872"/>
          </w:tcPr>
          <w:p>
            <w:pPr>
              <w:spacing w:after="40"/>
            </w:pPr>
            <w:r/>
            <w:r>
              <w:rPr>
                <w:sz w:val="18"/>
              </w:rPr>
              <w:t>A: query log · B: DoH flow record</w:t>
            </w:r>
          </w:p>
        </w:tc>
        <w:tc>
          <w:tcPr>
            <w:tcW w:type="dxa" w:w="1872"/>
          </w:tcPr>
          <w:p>
            <w:pPr>
              <w:spacing w:after="40"/>
            </w:pPr>
            <w:r/>
            <w:r>
              <w:rPr>
                <w:sz w:val="18"/>
              </w:rPr>
              <w:t xml:space="preserve">A: </w:t>
            </w:r>
            <w:r>
              <w:rPr>
                <w:rFonts w:ascii="Consolas" w:hAnsi="Consolas"/>
                <w:sz w:val="18"/>
              </w:rPr>
              <w:t>entropy</w:t>
            </w:r>
            <w:r>
              <w:rPr>
                <w:sz w:val="18"/>
              </w:rPr>
              <w:t xml:space="preserve">, </w:t>
            </w:r>
            <w:r>
              <w:rPr>
                <w:rFonts w:ascii="Consolas" w:hAnsi="Consolas"/>
                <w:sz w:val="18"/>
              </w:rPr>
              <w:t>(numeric+special+upper)/len</w:t>
            </w:r>
            <w:r>
              <w:rPr>
                <w:sz w:val="18"/>
              </w:rPr>
              <w:t xml:space="preserve"> · B: </w:t>
            </w:r>
            <w:r>
              <w:rPr>
                <w:rFonts w:ascii="Consolas" w:hAnsi="Consolas"/>
                <w:sz w:val="18"/>
              </w:rPr>
              <w:t>PacketLengthCoefficientofVariation</w:t>
            </w:r>
            <w:r>
              <w:rPr>
                <w:sz w:val="18"/>
              </w:rPr>
              <w:t xml:space="preserve">, </w:t>
            </w:r>
            <w:r>
              <w:rPr>
                <w:rFonts w:ascii="Consolas" w:hAnsi="Consolas"/>
                <w:sz w:val="18"/>
              </w:rPr>
              <w:t>log1p(PacketLengthVariance)</w:t>
            </w:r>
          </w:p>
        </w:tc>
        <w:tc>
          <w:tcPr>
            <w:tcW w:type="dxa" w:w="1872"/>
          </w:tcPr>
          <w:p>
            <w:pPr>
              <w:spacing w:after="40"/>
            </w:pPr>
            <w:r/>
            <w:r>
              <w:rPr>
                <w:rFonts w:ascii="Consolas" w:hAnsi="Consolas"/>
                <w:sz w:val="18"/>
              </w:rPr>
              <w:t>rand_entropy</w:t>
            </w:r>
            <w:r>
              <w:rPr>
                <w:sz w:val="18"/>
              </w:rPr>
              <w:t xml:space="preserve">, </w:t>
            </w:r>
            <w:r>
              <w:rPr>
                <w:rFonts w:ascii="Consolas" w:hAnsi="Consolas"/>
                <w:sz w:val="18"/>
              </w:rPr>
              <w:t>rand_dispersion</w:t>
            </w:r>
            <w:r>
              <w:rPr>
                <w:sz w:val="18"/>
              </w:rPr>
              <w:t xml:space="preserve"> (F2)</w:t>
            </w:r>
          </w:p>
        </w:tc>
        <w:tc>
          <w:tcPr>
            <w:tcW w:type="dxa" w:w="1872"/>
          </w:tcPr>
          <w:p>
            <w:pPr>
              <w:spacing w:after="40"/>
            </w:pPr>
            <w:r/>
            <w:r>
              <w:rPr>
                <w:sz w:val="18"/>
              </w:rPr>
              <w:t xml:space="preserve">A measures character-level entropy directly on the label text. B has no visible label text (DoH encrypts the query) so it substitutes a </w:t>
            </w:r>
            <w:r>
              <w:rPr>
                <w:sz w:val="18"/>
              </w:rPr>
              <w:t>*statistical proxy*</w:t>
            </w:r>
            <w:r>
              <w:rPr>
                <w:sz w:val="18"/>
              </w:rPr>
              <w:t xml:space="preserve"> — variability in packet-length, which base64-encoded high-entropy payloads tend to inflate — not a semantic equivalent.</w:t>
            </w:r>
          </w:p>
        </w:tc>
      </w:tr>
      <w:tr>
        <w:tc>
          <w:tcPr>
            <w:tcW w:type="dxa" w:w="1872"/>
          </w:tcPr>
          <w:p>
            <w:pPr>
              <w:spacing w:after="40"/>
            </w:pPr>
            <w:r/>
            <w:r>
              <w:rPr>
                <w:sz w:val="18"/>
              </w:rPr>
              <w:t>Name is unusually segmented/deep</w:t>
            </w:r>
          </w:p>
        </w:tc>
        <w:tc>
          <w:tcPr>
            <w:tcW w:type="dxa" w:w="1872"/>
          </w:tcPr>
          <w:p>
            <w:pPr>
              <w:spacing w:after="40"/>
            </w:pPr>
            <w:r/>
            <w:r>
              <w:rPr>
                <w:sz w:val="18"/>
              </w:rPr>
              <w:t>A: query log · B: DoH flow record</w:t>
            </w:r>
          </w:p>
        </w:tc>
        <w:tc>
          <w:tcPr>
            <w:tcW w:type="dxa" w:w="1872"/>
          </w:tcPr>
          <w:p>
            <w:pPr>
              <w:spacing w:after="40"/>
            </w:pPr>
            <w:r/>
            <w:r>
              <w:rPr>
                <w:sz w:val="18"/>
              </w:rPr>
              <w:t xml:space="preserve">A: </w:t>
            </w:r>
            <w:r>
              <w:rPr>
                <w:rFonts w:ascii="Consolas" w:hAnsi="Consolas"/>
                <w:sz w:val="18"/>
              </w:rPr>
              <w:t>labels</w:t>
            </w:r>
            <w:r>
              <w:rPr>
                <w:sz w:val="18"/>
              </w:rPr>
              <w:t xml:space="preserve">, </w:t>
            </w:r>
            <w:r>
              <w:rPr>
                <w:rFonts w:ascii="Consolas" w:hAnsi="Consolas"/>
                <w:sz w:val="18"/>
              </w:rPr>
              <w:t>labels_max</w:t>
            </w:r>
            <w:r>
              <w:rPr>
                <w:sz w:val="18"/>
              </w:rPr>
              <w:t xml:space="preserve"> · B: </w:t>
            </w:r>
            <w:r>
              <w:rPr>
                <w:rFonts w:ascii="Consolas" w:hAnsi="Consolas"/>
                <w:sz w:val="18"/>
              </w:rPr>
              <w:t>PacketLengthMode</w:t>
            </w:r>
            <w:r>
              <w:rPr>
                <w:sz w:val="18"/>
              </w:rPr>
              <w:t xml:space="preserve">, </w:t>
            </w:r>
            <w:r>
              <w:rPr>
                <w:rFonts w:ascii="Consolas" w:hAnsi="Consolas"/>
                <w:sz w:val="18"/>
              </w:rPr>
              <w:t>PacketLengthStandardDeviation</w:t>
            </w:r>
          </w:p>
        </w:tc>
        <w:tc>
          <w:tcPr>
            <w:tcW w:type="dxa" w:w="1872"/>
          </w:tcPr>
          <w:p>
            <w:pPr>
              <w:spacing w:after="40"/>
            </w:pPr>
            <w:r/>
            <w:r>
              <w:rPr>
                <w:rFonts w:ascii="Consolas" w:hAnsi="Consolas"/>
                <w:sz w:val="18"/>
              </w:rPr>
              <w:t>struct_segments</w:t>
            </w:r>
            <w:r>
              <w:rPr>
                <w:sz w:val="18"/>
              </w:rPr>
              <w:t xml:space="preserve">, </w:t>
            </w:r>
            <w:r>
              <w:rPr>
                <w:rFonts w:ascii="Consolas" w:hAnsi="Consolas"/>
                <w:sz w:val="18"/>
              </w:rPr>
              <w:t>struct_max_segment</w:t>
            </w:r>
            <w:r>
              <w:rPr>
                <w:sz w:val="18"/>
              </w:rPr>
              <w:t xml:space="preserve"> (F3)</w:t>
            </w:r>
          </w:p>
        </w:tc>
        <w:tc>
          <w:tcPr>
            <w:tcW w:type="dxa" w:w="1872"/>
          </w:tcPr>
          <w:p>
            <w:pPr>
              <w:spacing w:after="40"/>
            </w:pPr>
            <w:r/>
            <w:r>
              <w:rPr>
                <w:sz w:val="18"/>
              </w:rPr>
              <w:t>Same proxy relationship as F2: A counts actual label structure; B infers a weak structural correlate from packet-length shape, since label boundaries are invisible once encrypted.</w:t>
            </w:r>
          </w:p>
        </w:tc>
      </w:tr>
      <w:tr>
        <w:tc>
          <w:tcPr>
            <w:tcW w:type="dxa" w:w="1872"/>
          </w:tcPr>
          <w:p>
            <w:pPr>
              <w:spacing w:after="40"/>
            </w:pPr>
            <w:r/>
            <w:r>
              <w:rPr>
                <w:sz w:val="18"/>
              </w:rPr>
              <w:t>Queries fire on a machine-regular cadence</w:t>
            </w:r>
          </w:p>
        </w:tc>
        <w:tc>
          <w:tcPr>
            <w:tcW w:type="dxa" w:w="1872"/>
          </w:tcPr>
          <w:p>
            <w:pPr>
              <w:spacing w:after="40"/>
            </w:pPr>
            <w:r/>
            <w:r>
              <w:rPr>
                <w:sz w:val="18"/>
              </w:rPr>
              <w:t>B only: DoH flow record</w:t>
            </w:r>
          </w:p>
        </w:tc>
        <w:tc>
          <w:tcPr>
            <w:tcW w:type="dxa" w:w="1872"/>
          </w:tcPr>
          <w:p>
            <w:pPr>
              <w:spacing w:after="40"/>
            </w:pPr>
            <w:r/>
            <w:r>
              <w:rPr>
                <w:sz w:val="18"/>
              </w:rPr>
              <w:t xml:space="preserve">B: </w:t>
            </w:r>
            <w:r>
              <w:rPr>
                <w:rFonts w:ascii="Consolas" w:hAnsi="Consolas"/>
                <w:sz w:val="18"/>
              </w:rPr>
              <w:t>PacketTimeMean</w:t>
            </w:r>
            <w:r>
              <w:rPr>
                <w:sz w:val="18"/>
              </w:rPr>
              <w:t xml:space="preserve">, </w:t>
            </w:r>
            <w:r>
              <w:rPr>
                <w:rFonts w:ascii="Consolas" w:hAnsi="Consolas"/>
                <w:sz w:val="18"/>
              </w:rPr>
              <w:t>PacketTimeStandardDeviation</w:t>
            </w:r>
            <w:r>
              <w:rPr>
                <w:sz w:val="18"/>
              </w:rPr>
              <w:t xml:space="preserve">, </w:t>
            </w:r>
            <w:r>
              <w:rPr>
                <w:rFonts w:ascii="Consolas" w:hAnsi="Consolas"/>
                <w:sz w:val="18"/>
              </w:rPr>
              <w:t>PacketTimeSkewFromMedian</w:t>
            </w:r>
          </w:p>
        </w:tc>
        <w:tc>
          <w:tcPr>
            <w:tcW w:type="dxa" w:w="1872"/>
          </w:tcPr>
          <w:p>
            <w:pPr>
              <w:spacing w:after="40"/>
            </w:pPr>
            <w:r/>
            <w:r>
              <w:rPr>
                <w:rFonts w:ascii="Consolas" w:hAnsi="Consolas"/>
                <w:sz w:val="18"/>
              </w:rPr>
              <w:t>time_central</w:t>
            </w:r>
            <w:r>
              <w:rPr>
                <w:sz w:val="18"/>
              </w:rPr>
              <w:t xml:space="preserve">, </w:t>
            </w:r>
            <w:r>
              <w:rPr>
                <w:rFonts w:ascii="Consolas" w:hAnsi="Consolas"/>
                <w:sz w:val="18"/>
              </w:rPr>
              <w:t>time_dispersion</w:t>
            </w:r>
            <w:r>
              <w:rPr>
                <w:sz w:val="18"/>
              </w:rPr>
              <w:t xml:space="preserve">, </w:t>
            </w:r>
            <w:r>
              <w:rPr>
                <w:rFonts w:ascii="Consolas" w:hAnsi="Consolas"/>
                <w:sz w:val="18"/>
              </w:rPr>
              <w:t>time_skew</w:t>
            </w:r>
            <w:r>
              <w:rPr>
                <w:sz w:val="18"/>
              </w:rPr>
              <w:t xml:space="preserve"> (F4)</w:t>
            </w:r>
          </w:p>
        </w:tc>
        <w:tc>
          <w:tcPr>
            <w:tcW w:type="dxa" w:w="1872"/>
          </w:tcPr>
          <w:p>
            <w:pPr>
              <w:spacing w:after="40"/>
            </w:pPr>
            <w:r/>
            <w:r>
              <w:rPr>
                <w:sz w:val="18"/>
              </w:rPr>
              <w:t>Dataset A is a stateless per-query table with no inter-arrival timing captured at all — this family is unobservable on that side by design (Decision D1).</w:t>
            </w:r>
          </w:p>
        </w:tc>
      </w:tr>
      <w:tr>
        <w:tc>
          <w:tcPr>
            <w:tcW w:type="dxa" w:w="1872"/>
          </w:tcPr>
          <w:p>
            <w:pPr>
              <w:spacing w:after="40"/>
            </w:pPr>
            <w:r/>
            <w:r>
              <w:rPr>
                <w:sz w:val="18"/>
              </w:rPr>
              <w:t>Traffic concentrates on few destinations</w:t>
            </w:r>
          </w:p>
        </w:tc>
        <w:tc>
          <w:tcPr>
            <w:tcW w:type="dxa" w:w="1872"/>
          </w:tcPr>
          <w:p>
            <w:pPr>
              <w:spacing w:after="40"/>
            </w:pPr>
            <w:r/>
            <w:r>
              <w:rPr>
                <w:sz w:val="18"/>
              </w:rPr>
              <w:t>B only: DoH flow record</w:t>
            </w:r>
          </w:p>
        </w:tc>
        <w:tc>
          <w:tcPr>
            <w:tcW w:type="dxa" w:w="1872"/>
          </w:tcPr>
          <w:p>
            <w:pPr>
              <w:spacing w:after="40"/>
            </w:pPr>
            <w:r/>
            <w:r>
              <w:rPr>
                <w:sz w:val="18"/>
              </w:rPr>
              <w:t xml:space="preserve">B: </w:t>
            </w:r>
            <w:r>
              <w:rPr>
                <w:rFonts w:ascii="Consolas" w:hAnsi="Consolas"/>
                <w:sz w:val="18"/>
              </w:rPr>
              <w:t>FlowSentRate</w:t>
            </w:r>
          </w:p>
        </w:tc>
        <w:tc>
          <w:tcPr>
            <w:tcW w:type="dxa" w:w="1872"/>
          </w:tcPr>
          <w:p>
            <w:pPr>
              <w:spacing w:after="40"/>
            </w:pPr>
            <w:r/>
            <w:r>
              <w:rPr>
                <w:rFonts w:ascii="Consolas" w:hAnsi="Consolas"/>
                <w:sz w:val="18"/>
              </w:rPr>
              <w:t>disp_uniqueness</w:t>
            </w:r>
            <w:r>
              <w:rPr>
                <w:sz w:val="18"/>
              </w:rPr>
              <w:t xml:space="preserve"> (F5)</w:t>
            </w:r>
          </w:p>
        </w:tc>
        <w:tc>
          <w:tcPr>
            <w:tcW w:type="dxa" w:w="1872"/>
          </w:tcPr>
          <w:p>
            <w:pPr>
              <w:spacing w:after="40"/>
            </w:pPr>
            <w:r/>
            <w:r>
              <w:rPr>
                <w:sz w:val="18"/>
              </w:rPr>
              <w:t>Same unobservability as F4 — Dataset A carries no destination-dispersion telemetry.</w:t>
            </w:r>
          </w:p>
        </w:tc>
      </w:tr>
    </w:tbl>
    <w:p>
      <w:pPr>
        <w:spacing w:after="80"/>
      </w:pPr>
    </w:p>
    <w:p>
      <w:r>
        <w:rPr>
          <w:i/>
        </w:rPr>
        <w:t>(Full column-level provenance, including every raw field dropped and why, is in `schema/unified.py`'s `COLUMN_SOURCE` / `DROPPED_COLUMNS` dicts and `docs/header_reconciliation_exf2021.md` / `docs/header_reconciliation_dohbrw2020.md`.)</w:t>
      </w:r>
    </w:p>
    <w:p>
      <w:pPr>
        <w:pStyle w:val="Heading2"/>
      </w:pPr>
      <w:r>
        <w:t>1.5 The throughput/stealth tradeoff → heavy vs. light</w:t>
      </w:r>
    </w:p>
    <w:p>
      <w:r>
        <w:t xml:space="preserve">An attacker who exfiltrates at maximum DNS throughput (large chunks, high query rate) finishes fast but produces an obvious volume spike — trivially caught by any threshold-based detector. An attacker who throttles the rate down produces individual queries that look statistically closer to normal traffic, at the cost of taking far longer to move the same data. This tradeoff is exactly what the CIC-Bell-DNS-EXF-2021 dataset operationalizes as its </w:t>
      </w:r>
      <w:r>
        <w:rPr>
          <w:b/>
        </w:rPr>
        <w:t>heavy_attack</w:t>
      </w:r>
      <w:r>
        <w:t xml:space="preserve"> (323,698 samples) vs. </w:t>
      </w:r>
      <w:r>
        <w:rPr>
          <w:b/>
        </w:rPr>
        <w:t>light_attack</w:t>
      </w:r>
      <w:r>
        <w:t xml:space="preserve"> (53,978 samples) subclasses, and it is the direct throughput-vs-stealth problem Nadler et al. (2019) first formalized as "low-throughput exfiltration" (Chapter 2). Whether this predicted stealth advantage actually shows up as a detection gap on our data is an empirical question answered in Chapter 8.1 — and, notably, it does </w:t>
      </w:r>
      <w:r>
        <w:rPr>
          <w:b/>
        </w:rPr>
        <w:t>not</w:t>
      </w:r>
      <w:r>
        <w:t xml:space="preserve"> show up the way the prior literature would predict (see the Step 3A cross-reference there): recall is statistically indistinguishable between the two subclasses on Dataset A (99.95% light vs. 99.94% heavy); the real cost of this threat model turns out to be false positives, not a light-class blind spot.</w:t>
      </w:r>
    </w:p>
    <w:p>
      <w:r>
        <w:br w:type="page"/>
      </w:r>
    </w:p>
    <w:p>
      <w:pPr>
        <w:pStyle w:val="Heading1"/>
      </w:pPr>
      <w:r>
        <w:t>Chapter 2 — Literature Review</w:t>
      </w:r>
    </w:p>
    <w:p>
      <w:r>
        <w:t>Two papers anchor this project's feature design and are contrasted directly below, since one supplied the dataset schema and the other supplied the threat model that dataset's heavy/light split operationalizes.</w:t>
      </w:r>
    </w:p>
    <w:p>
      <w:pPr>
        <w:pStyle w:val="ListBullet"/>
      </w:pPr>
      <w:r>
        <w:rPr>
          <w:b/>
        </w:rPr>
        <w:t>Nadler, A., Aminov, A., &amp; Shabtai, A. (2019).</w:t>
      </w:r>
      <w:r>
        <w:t xml:space="preserve"> "Detection of Malicious and Low Throughput Data</w:t>
      </w:r>
    </w:p>
    <w:p>
      <w:r>
        <w:t xml:space="preserve">  Exfiltration Over the DNS Protocol." </w:t>
      </w:r>
      <w:r>
        <w:rPr>
          <w:i/>
        </w:rPr>
        <w:t>Computers &amp; Security</w:t>
      </w:r>
      <w:r>
        <w:t>, 80, 36–53.   DOI: 10.1016/j.cose.2018.09.006.</w:t>
      </w:r>
    </w:p>
    <w:p>
      <w:pPr>
        <w:pStyle w:val="ListBullet"/>
      </w:pPr>
      <w:r>
        <w:rPr>
          <w:b/>
        </w:rPr>
        <w:t>Mahdavifar, S., et al. (2021).</w:t>
      </w:r>
      <w:r>
        <w:t xml:space="preserve"> "Lightweight Hybrid Detection of Data Exfiltration using DNS based</w:t>
      </w:r>
    </w:p>
    <w:p>
      <w:r>
        <w:t xml:space="preserve">  on Machine Learning." </w:t>
      </w:r>
      <w:r>
        <w:rPr>
          <w:i/>
        </w:rPr>
        <w:t>Proceedings of the 2021 11th International Conference on Communication and   Network Security (CNS '21)</w:t>
      </w:r>
      <w:r>
        <w:t xml:space="preserve">, ACM. DOI: 10.1145/3507509.3507520. — this is the paper introducing the   </w:t>
      </w:r>
      <w:r>
        <w:rPr>
          <w:b/>
        </w:rPr>
        <w:t>CIC-Bell-DNS-EXF-2021</w:t>
      </w:r>
      <w:r>
        <w:t xml:space="preserve"> dataset used as "Dataset A" throughout this project.</w:t>
      </w:r>
    </w:p>
    <w:p>
      <w:pPr>
        <w:pStyle w:val="Heading2"/>
      </w:pPr>
      <w:r>
        <w:t>2.1 Extraction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Axis</w:t>
            </w:r>
          </w:p>
        </w:tc>
        <w:tc>
          <w:tcPr>
            <w:tcW w:type="dxa" w:w="3120"/>
          </w:tcPr>
          <w:p>
            <w:pPr>
              <w:spacing w:after="40"/>
            </w:pPr>
            <w:r/>
            <w:r>
              <w:rPr>
                <w:b/>
                <w:sz w:val="18"/>
              </w:rPr>
              <w:t>Nadler et al. (2019)</w:t>
            </w:r>
          </w:p>
        </w:tc>
        <w:tc>
          <w:tcPr>
            <w:tcW w:type="dxa" w:w="3120"/>
          </w:tcPr>
          <w:p>
            <w:pPr>
              <w:spacing w:after="40"/>
            </w:pPr>
            <w:r/>
            <w:r>
              <w:rPr>
                <w:b/>
                <w:sz w:val="18"/>
              </w:rPr>
              <w:t>Mahdavifar et al. (2021)</w:t>
            </w:r>
          </w:p>
        </w:tc>
      </w:tr>
      <w:tr>
        <w:tc>
          <w:tcPr>
            <w:tcW w:type="dxa" w:w="3120"/>
          </w:tcPr>
          <w:p>
            <w:pPr>
              <w:spacing w:after="40"/>
            </w:pPr>
            <w:r/>
            <w:r>
              <w:rPr>
                <w:b/>
                <w:sz w:val="18"/>
              </w:rPr>
              <w:t>Entropy, semantically</w:t>
            </w:r>
          </w:p>
        </w:tc>
        <w:tc>
          <w:tcPr>
            <w:tcW w:type="dxa" w:w="3120"/>
          </w:tcPr>
          <w:p>
            <w:pPr>
              <w:spacing w:after="40"/>
            </w:pPr>
            <w:r/>
            <w:r>
              <w:rPr>
                <w:sz w:val="18"/>
              </w:rPr>
              <w:t xml:space="preserve">A </w:t>
            </w:r>
            <w:r>
              <w:rPr>
                <w:sz w:val="18"/>
              </w:rPr>
              <w:t>*window-level statistical anomaly signal*</w:t>
            </w:r>
            <w:r>
              <w:rPr>
                <w:sz w:val="18"/>
              </w:rPr>
              <w:t>: character-distribution statistics of a client's queries to a domain are aggregated over a sliding time interval and compared against a learned per-client/domain baseline. Entropy is one input to a distributional-shift judgment, not a per-record score.</w:t>
            </w:r>
          </w:p>
        </w:tc>
        <w:tc>
          <w:tcPr>
            <w:tcW w:type="dxa" w:w="3120"/>
          </w:tcPr>
          <w:p>
            <w:pPr>
              <w:spacing w:after="40"/>
            </w:pPr>
            <w:r/>
            <w:r>
              <w:rPr>
                <w:sz w:val="18"/>
              </w:rPr>
              <w:t xml:space="preserve">A </w:t>
            </w:r>
            <w:r>
              <w:rPr>
                <w:sz w:val="18"/>
              </w:rPr>
              <w:t>*direct per-record feature*</w:t>
            </w:r>
            <w:r>
              <w:rPr>
                <w:sz w:val="18"/>
              </w:rPr>
              <w:t>: Shannon entropy of a single query's encoded label is computed once and fed straight into a supervised classifier alongside other stateless/stateful features — no baseline or window required.</w:t>
            </w:r>
          </w:p>
        </w:tc>
      </w:tr>
      <w:tr>
        <w:tc>
          <w:tcPr>
            <w:tcW w:type="dxa" w:w="3120"/>
          </w:tcPr>
          <w:p>
            <w:pPr>
              <w:spacing w:after="40"/>
            </w:pPr>
            <w:r/>
            <w:r>
              <w:rPr>
                <w:b/>
                <w:sz w:val="18"/>
              </w:rPr>
              <w:t>Per-query or per-session</w:t>
            </w:r>
          </w:p>
        </w:tc>
        <w:tc>
          <w:tcPr>
            <w:tcW w:type="dxa" w:w="3120"/>
          </w:tcPr>
          <w:p>
            <w:pPr>
              <w:spacing w:after="40"/>
            </w:pPr>
            <w:r/>
            <w:r>
              <w:rPr>
                <w:b/>
                <w:sz w:val="18"/>
              </w:rPr>
              <w:t>Per-session/per-window.</w:t>
            </w:r>
            <w:r>
              <w:rPr>
                <w:sz w:val="18"/>
              </w:rPr>
              <w:t xml:space="preserve"> The detector scores a (client, domain) pair after aggregating its query history over time — this is what lets it catch an attacker deliberately throttling throughput below any single-query threshold.</w:t>
            </w:r>
          </w:p>
        </w:tc>
        <w:tc>
          <w:tcPr>
            <w:tcW w:type="dxa" w:w="3120"/>
          </w:tcPr>
          <w:p>
            <w:pPr>
              <w:spacing w:after="40"/>
            </w:pPr>
            <w:r/>
            <w:r>
              <w:rPr>
                <w:b/>
                <w:sz w:val="18"/>
              </w:rPr>
              <w:t>Per-query, plus limited per-flow stateful aggregates.</w:t>
            </w:r>
            <w:r>
              <w:rPr>
                <w:sz w:val="18"/>
              </w:rPr>
              <w:t xml:space="preserve"> The architecture is explicitly "two-layer": stateless features computed on each query/packet directly, augmented with a modest set of stateful features (inter-arrival time statistics, flow duration) — but with no long-horizon client-level windowing.</w:t>
            </w:r>
          </w:p>
        </w:tc>
      </w:tr>
      <w:tr>
        <w:tc>
          <w:tcPr>
            <w:tcW w:type="dxa" w:w="3120"/>
          </w:tcPr>
          <w:p>
            <w:pPr>
              <w:spacing w:after="40"/>
            </w:pPr>
            <w:r/>
            <w:r>
              <w:rPr>
                <w:b/>
                <w:sz w:val="18"/>
              </w:rPr>
              <w:t>Detection paradigm</w:t>
            </w:r>
          </w:p>
        </w:tc>
        <w:tc>
          <w:tcPr>
            <w:tcW w:type="dxa" w:w="3120"/>
          </w:tcPr>
          <w:p>
            <w:pPr>
              <w:spacing w:after="40"/>
            </w:pPr>
            <w:r/>
            <w:r>
              <w:rPr>
                <w:sz w:val="18"/>
              </w:rPr>
              <w:t xml:space="preserve">Supervised </w:t>
            </w:r>
            <w:r>
              <w:rPr>
                <w:sz w:val="18"/>
              </w:rPr>
              <w:t>*feature selection*</w:t>
            </w:r>
            <w:r>
              <w:rPr>
                <w:sz w:val="18"/>
              </w:rPr>
              <w:t xml:space="preserve"> feeding an interchangeable, adjustable </w:t>
            </w:r>
            <w:r>
              <w:rPr>
                <w:b/>
                <w:sz w:val="18"/>
              </w:rPr>
              <w:t>anomaly-detection</w:t>
            </w:r>
            <w:r>
              <w:rPr>
                <w:sz w:val="18"/>
              </w:rPr>
              <w:t xml:space="preserve"> model — reported ≥99% recall / &lt;0.01% FPR for tunneling, but explicitly flags low-throughput exfiltration (payload throttled to ≤1 KB/h under DNS syntax limits) as the harder case.</w:t>
            </w:r>
          </w:p>
        </w:tc>
        <w:tc>
          <w:tcPr>
            <w:tcW w:type="dxa" w:w="3120"/>
          </w:tcPr>
          <w:p>
            <w:pPr>
              <w:spacing w:after="40"/>
            </w:pPr>
            <w:r/>
            <w:r>
              <w:rPr>
                <w:sz w:val="18"/>
              </w:rPr>
              <w:t xml:space="preserve">Fully </w:t>
            </w:r>
            <w:r>
              <w:rPr>
                <w:b/>
                <w:sz w:val="18"/>
              </w:rPr>
              <w:t>supervised classification</w:t>
            </w:r>
            <w:r>
              <w:rPr>
                <w:sz w:val="18"/>
              </w:rPr>
              <w:t xml:space="preserve"> — five algorithms compared (GNB, RF, MLP, SVM, LR) against ground-truth heavy/light/benign labels; Random Forest reported as the best performer.</w:t>
            </w:r>
          </w:p>
        </w:tc>
      </w:tr>
    </w:tbl>
    <w:p>
      <w:pPr>
        <w:spacing w:after="80"/>
      </w:pPr>
    </w:p>
    <w:p>
      <w:pPr>
        <w:pStyle w:val="Heading2"/>
      </w:pPr>
      <w:r>
        <w:t>2.2 What we adopted, modified, or rejected — and why</w:t>
      </w:r>
    </w:p>
    <w:p>
      <w:r>
        <w:rPr>
          <w:b/>
        </w:rPr>
        <w:t>Adopted.</w:t>
      </w:r>
    </w:p>
    <w:p>
      <w:pPr>
        <w:pStyle w:val="ListBullet"/>
      </w:pPr>
      <w:r>
        <w:rPr>
          <w:i/>
        </w:rPr>
        <w:t>Entropy as a core signal (F2).</w:t>
      </w:r>
      <w:r>
        <w:t xml:space="preserve"> Both papers independently converge on encoding randomness as</w:t>
      </w:r>
    </w:p>
    <w:p>
      <w:r>
        <w:t xml:space="preserve">  discriminative, despite scoring it completely differently (window-anomaly vs. per-record). That   convergence from two different methodologies is why F2 is one of this project's three   encryption-surviving INTERSECTION families rather than a Dataset-A-only feature.</w:t>
      </w:r>
    </w:p>
    <w:p>
      <w:pPr>
        <w:pStyle w:val="ListBullet"/>
      </w:pPr>
      <w:r>
        <w:rPr>
          <w:i/>
        </w:rPr>
        <w:t>Volume/size features (F1).</w:t>
      </w:r>
      <w:r>
        <w:t xml:space="preserve"> Mahdavifar's stateless packet-size and query-length features map</w:t>
      </w:r>
    </w:p>
    <w:p>
      <w:r>
        <w:t xml:space="preserve">  directly onto this project's </w:t>
      </w:r>
      <w:r>
        <w:rPr>
          <w:rFonts w:ascii="Consolas" w:hAnsi="Consolas"/>
          <w:sz w:val="20"/>
        </w:rPr>
        <w:t>vol_primary</w:t>
      </w:r>
      <w:r>
        <w:t>/</w:t>
      </w:r>
      <w:r>
        <w:rPr>
          <w:rFonts w:ascii="Consolas" w:hAnsi="Consolas"/>
          <w:sz w:val="20"/>
        </w:rPr>
        <w:t>vol_secondary</w:t>
      </w:r>
      <w:r>
        <w:t>/</w:t>
      </w:r>
      <w:r>
        <w:rPr>
          <w:rFonts w:ascii="Consolas" w:hAnsi="Consolas"/>
          <w:sz w:val="20"/>
        </w:rPr>
        <w:t>vol_total</w:t>
      </w:r>
      <w:r>
        <w:t>. Since Mahdavifar's paper is   the direct source of Dataset A, this is close to a literal adoption rather than a reinterpretation.</w:t>
      </w:r>
    </w:p>
    <w:p>
      <w:pPr>
        <w:pStyle w:val="ListBullet"/>
      </w:pPr>
      <w:r>
        <w:rPr>
          <w:i/>
        </w:rPr>
        <w:t>Supervised classification as the primary detection paradigm</w:t>
      </w:r>
      <w:r>
        <w:t>, matching Mahdavifar rather than</w:t>
      </w:r>
    </w:p>
    <w:p>
      <w:r>
        <w:t xml:space="preserve">  Nadler — this project has ground-truth attack/benign labels on both datasets, and the rubric calls   for a comparison across supervised ML/DL architectures.</w:t>
      </w:r>
    </w:p>
    <w:p>
      <w:r>
        <w:rPr>
          <w:b/>
        </w:rPr>
        <w:t>Modified.</w:t>
      </w:r>
    </w:p>
    <w:p>
      <w:pPr>
        <w:pStyle w:val="ListBullet"/>
      </w:pPr>
      <w:r>
        <w:rPr>
          <w:i/>
        </w:rPr>
        <w:t>Nadler's time-windowed, per-client-aggregated anomaly framing</w:t>
      </w:r>
      <w:r>
        <w:t xml:space="preserve"> is not built for Dataset A (each row</w:t>
      </w:r>
    </w:p>
    <w:p>
      <w:r>
        <w:t xml:space="preserve">  there is an independent per-query record with no client/session identifier to window over — see   §2.3), but the same underlying signal reappears in a different form as this project's </w:t>
      </w:r>
      <w:r>
        <w:rPr>
          <w:b/>
        </w:rPr>
        <w:t>F4 temporal   rhythm</w:t>
      </w:r>
      <w:r>
        <w:t xml:space="preserve"> family on Dataset B, where DoH flow-level features (</w:t>
      </w:r>
      <w:r>
        <w:rPr>
          <w:rFonts w:ascii="Consolas" w:hAnsi="Consolas"/>
          <w:sz w:val="20"/>
        </w:rPr>
        <w:t>PacketTimeMean</w:t>
      </w:r>
      <w:r>
        <w:t xml:space="preserve">,   </w:t>
      </w:r>
      <w:r>
        <w:rPr>
          <w:rFonts w:ascii="Consolas" w:hAnsi="Consolas"/>
          <w:sz w:val="20"/>
        </w:rPr>
        <w:t>PacketTimeStandardDeviation</w:t>
      </w:r>
      <w:r>
        <w:t xml:space="preserve">, </w:t>
      </w:r>
      <w:r>
        <w:rPr>
          <w:rFonts w:ascii="Consolas" w:hAnsi="Consolas"/>
          <w:sz w:val="20"/>
        </w:rPr>
        <w:t>PacketTimeSkewFromMedian</w:t>
      </w:r>
      <w:r>
        <w:t>) give an inter-arrival-rhythm signal that is   structurally much closer to Nadler's windowed statistics than anything Dataset A can supply. This   family is therefore B_ONLY by construction, not by oversight (Chapter 5, decision D2).</w:t>
      </w:r>
    </w:p>
    <w:p>
      <w:r>
        <w:rPr>
          <w:b/>
        </w:rPr>
        <w:t>Rejected.</w:t>
      </w:r>
    </w:p>
    <w:p>
      <w:pPr>
        <w:pStyle w:val="ListBullet"/>
      </w:pPr>
      <w:r>
        <w:rPr>
          <w:i/>
        </w:rPr>
        <w:t>Nadler's unsupervised anomaly-detection model</w:t>
      </w:r>
      <w:r>
        <w:t xml:space="preserve"> as the </w:t>
      </w:r>
      <w:r>
        <w:rPr>
          <w:i/>
        </w:rPr>
        <w:t>primary</w:t>
      </w:r>
      <w:r>
        <w:t xml:space="preserve"> detector — kept only as the</w:t>
      </w:r>
    </w:p>
    <w:p>
      <w:r>
        <w:t xml:space="preserve">  cascade's first stage (Isolation Forest, Step 2E), where its cheap, high-recall, false-positive-tolerant   profile is actually the right fit, rather than as the project's main classifier.</w:t>
      </w:r>
    </w:p>
    <w:p>
      <w:pPr>
        <w:pStyle w:val="ListBullet"/>
      </w:pPr>
      <w:r>
        <w:rPr>
          <w:i/>
        </w:rPr>
        <w:t>Nadler's per-client/per-domain long-horizon windowing</w:t>
      </w:r>
      <w:r>
        <w:t>, entirely, for Dataset A: CIC-Bell-DNS-EXF-2021</w:t>
      </w:r>
    </w:p>
    <w:p>
      <w:r>
        <w:t xml:space="preserve">  ships as independent per-query rows with no session key that would let this project reconstruct such   windows without fabricating one. Recorded as a limitation, not silently worked around.</w:t>
      </w:r>
    </w:p>
    <w:p>
      <w:pPr>
        <w:pStyle w:val="Heading2"/>
      </w:pPr>
      <w:r>
        <w:t>2.3 The Nadler → light-class lineage, and where our result diverges from it</w:t>
      </w:r>
    </w:p>
    <w:p>
      <w:r>
        <w:t xml:space="preserve">Nadler et al.'s central contribution is identifying that an attacker who deliberately throttles DNS exfiltration throughput evades detectors built around volume thresholds — precisely because low throughput makes individual queries statistically resemble normal traffic. Mahdavifar et al. operationalize that exact threat model as CIC-Bell-DNS-EXF-2021's </w:t>
      </w:r>
      <w:r>
        <w:rPr>
          <w:b/>
        </w:rPr>
        <w:t>light_attack</w:t>
      </w:r>
      <w:r>
        <w:t xml:space="preserve"> subclass (vs. </w:t>
      </w:r>
      <w:r>
        <w:rPr>
          <w:b/>
        </w:rPr>
        <w:t>heavy_attack</w:t>
      </w:r>
      <w:r>
        <w:t>), and this project inherits that split directly (Chapter 1.5).</w:t>
      </w:r>
    </w:p>
    <w:p>
      <w:r>
        <w:t xml:space="preserve">The literature's expectation, carried forward into this project's original plan, was therefore: </w:t>
      </w:r>
      <w:r>
        <w:rPr>
          <w:i/>
        </w:rPr>
        <w:t>light attacks should be materially harder to detect than heavy attacks</w:t>
      </w:r>
      <w:r>
        <w:t xml:space="preserve"> — a light-class recall gap should be the headline forensic finding of Chapter 8. </w:t>
      </w:r>
      <w:r>
        <w:rPr>
          <w:b/>
        </w:rPr>
        <w:t>Step 3A's real result on Dataset A does not bear this out</w:t>
      </w:r>
      <w:r>
        <w:t>: light-class recall (99.95%) and heavy-class recall (99.94%) are statistically indistinguishable, and the actual operational bottleneck is false positives (40.5% FPR), not missed light attacks. This is reported in Chapter 8.1 as a genuine divergence from the Nadler-derived hypothesis rather than reframed to match it — on the F1–F3 feature set this project measures, the throughput-stealth tradeoff Nadler identified does not translate into a light-class blind spot the way the prior literature would predict. That divergence is itself a finding worth stating plainly, not a failure to replicate.</w:t>
      </w:r>
    </w:p>
    <w:p>
      <w:r>
        <w:br w:type="page"/>
      </w:r>
    </w:p>
    <w:p>
      <w:pPr>
        <w:pStyle w:val="Heading1"/>
      </w:pPr>
      <w:r>
        <w:t>Chapter 3 — Exploratory Data Analysis</w:t>
      </w:r>
    </w:p>
    <w:p>
      <w:pPr>
        <w:ind w:left="432"/>
      </w:pPr>
      <w:r>
        <w:rPr>
          <w:i/>
        </w:rPr>
      </w:r>
      <w:r>
        <w:rPr>
          <w:i/>
        </w:rPr>
        <w:t>Status note (14 Aug 2026): Dataset A is fully run and reported below. Dataset B's class-distribution</w:t>
      </w:r>
    </w:p>
    <w:p>
      <w:pPr>
        <w:ind w:left="432"/>
      </w:pPr>
      <w:r>
        <w:rPr>
          <w:i/>
        </w:rPr>
      </w:r>
      <w:r>
        <w:rPr>
          <w:i/>
        </w:rPr>
        <w:t>and significance numbers were backfilled by Teammate B against real hard-framing data (</w:t>
      </w:r>
      <w:r>
        <w:rPr>
          <w:rFonts w:ascii="Consolas" w:hAnsi="Consolas"/>
          <w:i/>
          <w:sz w:val="20"/>
        </w:rPr>
        <w:t>data/dohbrw2020/</w:t>
      </w:r>
    </w:p>
    <w:p>
      <w:pPr>
        <w:ind w:left="432"/>
      </w:pPr>
      <w:r>
        <w:rPr>
          <w:i/>
        </w:rPr>
      </w:r>
      <w:r>
        <w:rPr>
          <w:i/>
        </w:rPr>
        <w:t>is not populated on this machine, so this project's own code has not run against it locally) — figures</w:t>
      </w:r>
    </w:p>
    <w:p>
      <w:pPr>
        <w:ind w:left="432"/>
      </w:pPr>
      <w:r>
        <w:rPr>
          <w:i/>
        </w:rPr>
      </w:r>
      <w:r>
        <w:rPr>
          <w:i/>
        </w:rPr>
        <w:t xml:space="preserve">and the full per-feature table are </w:t>
      </w:r>
      <w:r>
        <w:rPr>
          <w:b/>
          <w:i/>
        </w:rPr>
        <w:t>pending a local run on B's machine</w:t>
      </w:r>
      <w:r>
        <w:rPr>
          <w:i/>
        </w:rPr>
        <w:t>; only the summary numbers B</w:t>
      </w:r>
    </w:p>
    <w:p>
      <w:pPr>
        <w:ind w:left="432"/>
      </w:pPr>
      <w:r>
        <w:rPr>
          <w:i/>
        </w:rPr>
      </w:r>
      <w:r>
        <w:rPr>
          <w:i/>
        </w:rPr>
        <w:t>reported are included here. Flagged inline everywhere it applies, not silently filled in.</w:t>
      </w:r>
    </w:p>
    <w:p>
      <w:pPr>
        <w:pStyle w:val="Heading2"/>
      </w:pPr>
      <w:r>
        <w:t>3.1 Class distribution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b/>
                <w:sz w:val="18"/>
              </w:rPr>
              <w:t>Dataset</w:t>
            </w:r>
          </w:p>
        </w:tc>
        <w:tc>
          <w:tcPr>
            <w:tcW w:type="dxa" w:w="1560"/>
          </w:tcPr>
          <w:p>
            <w:pPr>
              <w:spacing w:after="40"/>
            </w:pPr>
            <w:r/>
            <w:r>
              <w:rPr>
                <w:b/>
                <w:sz w:val="18"/>
              </w:rPr>
              <w:t>Framing</w:t>
            </w:r>
          </w:p>
        </w:tc>
        <w:tc>
          <w:tcPr>
            <w:tcW w:type="dxa" w:w="1560"/>
          </w:tcPr>
          <w:p>
            <w:pPr>
              <w:spacing w:after="40"/>
            </w:pPr>
            <w:r/>
            <w:r>
              <w:rPr>
                <w:b/>
                <w:sz w:val="18"/>
              </w:rPr>
              <w:t>Benign</w:t>
            </w:r>
          </w:p>
        </w:tc>
        <w:tc>
          <w:tcPr>
            <w:tcW w:type="dxa" w:w="1560"/>
          </w:tcPr>
          <w:p>
            <w:pPr>
              <w:spacing w:after="40"/>
            </w:pPr>
            <w:r/>
            <w:r>
              <w:rPr>
                <w:b/>
                <w:sz w:val="18"/>
              </w:rPr>
              <w:t>Attack</w:t>
            </w:r>
          </w:p>
        </w:tc>
        <w:tc>
          <w:tcPr>
            <w:tcW w:type="dxa" w:w="1560"/>
          </w:tcPr>
          <w:p>
            <w:pPr>
              <w:spacing w:after="40"/>
            </w:pPr>
            <w:r/>
            <w:r>
              <w:rPr>
                <w:b/>
                <w:sz w:val="18"/>
              </w:rPr>
              <w:t>Ratio</w:t>
            </w:r>
          </w:p>
        </w:tc>
        <w:tc>
          <w:tcPr>
            <w:tcW w:type="dxa" w:w="1560"/>
          </w:tcPr>
          <w:p>
            <w:pPr>
              <w:spacing w:after="40"/>
            </w:pPr>
            <w:r/>
            <w:r>
              <w:rPr>
                <w:b/>
                <w:sz w:val="18"/>
              </w:rPr>
              <w:t>Note</w:t>
            </w:r>
          </w:p>
        </w:tc>
      </w:tr>
      <w:tr>
        <w:tc>
          <w:tcPr>
            <w:tcW w:type="dxa" w:w="1560"/>
          </w:tcPr>
          <w:p>
            <w:pPr>
              <w:spacing w:after="40"/>
            </w:pPr>
            <w:r/>
            <w:r>
              <w:rPr>
                <w:sz w:val="18"/>
              </w:rPr>
              <w:t>A (EXF-2021)</w:t>
            </w:r>
          </w:p>
        </w:tc>
        <w:tc>
          <w:tcPr>
            <w:tcW w:type="dxa" w:w="1560"/>
          </w:tcPr>
          <w:p>
            <w:pPr>
              <w:spacing w:after="40"/>
            </w:pPr>
            <w:r/>
            <w:r>
              <w:rPr>
                <w:sz w:val="18"/>
              </w:rPr>
              <w:t>n/a — single framing</w:t>
            </w:r>
          </w:p>
        </w:tc>
        <w:tc>
          <w:tcPr>
            <w:tcW w:type="dxa" w:w="1560"/>
          </w:tcPr>
          <w:p>
            <w:pPr>
              <w:spacing w:after="40"/>
            </w:pPr>
            <w:r/>
            <w:r>
              <w:rPr>
                <w:sz w:val="18"/>
              </w:rPr>
              <w:t>115,714</w:t>
            </w:r>
          </w:p>
        </w:tc>
        <w:tc>
          <w:tcPr>
            <w:tcW w:type="dxa" w:w="1560"/>
          </w:tcPr>
          <w:p>
            <w:pPr>
              <w:spacing w:after="40"/>
            </w:pPr>
            <w:r/>
            <w:r>
              <w:rPr>
                <w:sz w:val="18"/>
              </w:rPr>
              <w:t>105,601 (62,918 heavy + 42,683 light)</w:t>
            </w:r>
          </w:p>
        </w:tc>
        <w:tc>
          <w:tcPr>
            <w:tcW w:type="dxa" w:w="1560"/>
          </w:tcPr>
          <w:p>
            <w:pPr>
              <w:spacing w:after="40"/>
            </w:pPr>
            <w:r/>
            <w:r>
              <w:rPr>
                <w:sz w:val="18"/>
              </w:rPr>
              <w:t>~1.10 : 1</w:t>
            </w:r>
          </w:p>
        </w:tc>
        <w:tc>
          <w:tcPr>
            <w:tcW w:type="dxa" w:w="1560"/>
          </w:tcPr>
          <w:p>
            <w:pPr>
              <w:spacing w:after="40"/>
            </w:pPr>
            <w:r/>
            <w:r>
              <w:rPr>
                <w:sz w:val="18"/>
              </w:rPr>
              <w:t>Light class retained at 100% by design (decision D5) — never subsampled, since it is the entire analytical point of the project.</w:t>
            </w:r>
          </w:p>
        </w:tc>
      </w:tr>
      <w:tr>
        <w:tc>
          <w:tcPr>
            <w:tcW w:type="dxa" w:w="1560"/>
          </w:tcPr>
          <w:p>
            <w:pPr>
              <w:spacing w:after="40"/>
            </w:pPr>
            <w:r/>
            <w:r>
              <w:rPr>
                <w:sz w:val="18"/>
              </w:rPr>
              <w:t>B (DoHBrw-2020)</w:t>
            </w:r>
          </w:p>
        </w:tc>
        <w:tc>
          <w:tcPr>
            <w:tcW w:type="dxa" w:w="1560"/>
          </w:tcPr>
          <w:p>
            <w:pPr>
              <w:spacing w:after="40"/>
            </w:pPr>
            <w:r/>
            <w:r>
              <w:rPr>
                <w:sz w:val="18"/>
              </w:rPr>
              <w:t>hard</w:t>
            </w:r>
          </w:p>
        </w:tc>
        <w:tc>
          <w:tcPr>
            <w:tcW w:type="dxa" w:w="1560"/>
          </w:tcPr>
          <w:p>
            <w:pPr>
              <w:spacing w:after="40"/>
            </w:pPr>
            <w:r/>
            <w:r>
              <w:rPr>
                <w:sz w:val="18"/>
              </w:rPr>
              <w:t>19,807</w:t>
            </w:r>
          </w:p>
        </w:tc>
        <w:tc>
          <w:tcPr>
            <w:tcW w:type="dxa" w:w="1560"/>
          </w:tcPr>
          <w:p>
            <w:pPr>
              <w:spacing w:after="40"/>
            </w:pPr>
            <w:r/>
            <w:r>
              <w:rPr>
                <w:sz w:val="18"/>
              </w:rPr>
              <w:t>~19,807 (subsampled from 249,836)</w:t>
            </w:r>
          </w:p>
        </w:tc>
        <w:tc>
          <w:tcPr>
            <w:tcW w:type="dxa" w:w="1560"/>
          </w:tcPr>
          <w:p>
            <w:pPr>
              <w:spacing w:after="40"/>
            </w:pPr>
            <w:r/>
            <w:r>
              <w:rPr>
                <w:sz w:val="18"/>
              </w:rPr>
              <w:t>~1 : 1 by construction</w:t>
            </w:r>
          </w:p>
        </w:tc>
        <w:tc>
          <w:tcPr>
            <w:tcW w:type="dxa" w:w="1560"/>
          </w:tcPr>
          <w:p>
            <w:pPr>
              <w:spacing w:after="40"/>
            </w:pPr>
            <w:r/>
            <w:r>
              <w:rPr>
                <w:sz w:val="18"/>
              </w:rPr>
              <w:t>Malicious pool subsampled down to match the smaller benign pool.</w:t>
            </w:r>
          </w:p>
        </w:tc>
      </w:tr>
      <w:tr>
        <w:tc>
          <w:tcPr>
            <w:tcW w:type="dxa" w:w="1560"/>
          </w:tcPr>
          <w:p>
            <w:pPr>
              <w:spacing w:after="40"/>
            </w:pPr>
            <w:r/>
            <w:r>
              <w:rPr>
                <w:sz w:val="18"/>
              </w:rPr>
              <w:t>B (DoHBrw-2020)</w:t>
            </w:r>
          </w:p>
        </w:tc>
        <w:tc>
          <w:tcPr>
            <w:tcW w:type="dxa" w:w="1560"/>
          </w:tcPr>
          <w:p>
            <w:pPr>
              <w:spacing w:after="40"/>
            </w:pPr>
            <w:r/>
            <w:r>
              <w:rPr>
                <w:sz w:val="18"/>
              </w:rPr>
              <w:t>easy</w:t>
            </w:r>
          </w:p>
        </w:tc>
        <w:tc>
          <w:tcPr>
            <w:tcW w:type="dxa" w:w="1560"/>
          </w:tcPr>
          <w:p>
            <w:pPr>
              <w:spacing w:after="40"/>
            </w:pPr>
            <w:r/>
            <w:r>
              <w:rPr>
                <w:sz w:val="18"/>
              </w:rPr>
              <w:t>19,807</w:t>
            </w:r>
          </w:p>
        </w:tc>
        <w:tc>
          <w:tcPr>
            <w:tcW w:type="dxa" w:w="1560"/>
          </w:tcPr>
          <w:p>
            <w:pPr>
              <w:spacing w:after="40"/>
            </w:pPr>
            <w:r/>
            <w:r>
              <w:rPr>
                <w:sz w:val="18"/>
              </w:rPr>
              <w:t>249,836 + ~98% non-DoH negatives</w:t>
            </w:r>
          </w:p>
        </w:tc>
        <w:tc>
          <w:tcPr>
            <w:tcW w:type="dxa" w:w="1560"/>
          </w:tcPr>
          <w:p>
            <w:pPr>
              <w:spacing w:after="40"/>
            </w:pPr>
            <w:r/>
            <w:r>
              <w:rPr>
                <w:sz w:val="18"/>
              </w:rPr>
              <w:t>heavily imbalanced</w:t>
            </w:r>
          </w:p>
        </w:tc>
        <w:tc>
          <w:tcPr>
            <w:tcW w:type="dxa" w:w="1560"/>
          </w:tcPr>
          <w:p>
            <w:pPr>
              <w:spacing w:after="40"/>
            </w:pPr>
            <w:r/>
            <w:r>
              <w:rPr>
                <w:sz w:val="18"/>
              </w:rPr>
              <w:t xml:space="preserve">Non-DoH traffic is ordinary HTTPS and is trivially separable from tunneling — reported </w:t>
            </w:r>
            <w:r>
              <w:rPr>
                <w:sz w:val="18"/>
              </w:rPr>
              <w:t>*and*</w:t>
            </w:r>
            <w:r>
              <w:rPr>
                <w:sz w:val="18"/>
              </w:rPr>
              <w:t xml:space="preserve"> excluded from the hard framing precisely because it would inflate the headline score with a signal unrelated to tunnel detection (same contaminant logic as decision D8).</w:t>
            </w:r>
          </w:p>
        </w:tc>
      </w:tr>
    </w:tbl>
    <w:p>
      <w:pPr>
        <w:spacing w:after="80"/>
      </w:pPr>
    </w:p>
    <w:p>
      <w:r>
        <w:t xml:space="preserve">Bar charts: </w:t>
      </w:r>
      <w:r>
        <w:rPr>
          <w:rFonts w:ascii="Consolas" w:hAnsi="Consolas"/>
          <w:sz w:val="20"/>
        </w:rPr>
        <w:t>runs/figures/exf2021_class_distribution_*.png</w:t>
      </w:r>
      <w:r>
        <w:t xml:space="preserve"> (Dataset A, pre/post any resampling inside CV folds — resampling happens per-fold via SMOTE inside the Pipeline, never on the full dataset, so these bars show the </w:t>
      </w:r>
      <w:r>
        <w:rPr>
          <w:i/>
        </w:rPr>
        <w:t>raw</w:t>
      </w:r>
      <w:r>
        <w:t xml:space="preserve"> label counts above). Dataset B distribution figures: pending B's local run.</w:t>
      </w:r>
    </w:p>
    <w:p>
      <w:pPr>
        <w:pStyle w:val="Heading2"/>
      </w:pPr>
      <w:r>
        <w:t>3.2 Per-feature class-conditional distributions</w:t>
      </w:r>
    </w:p>
    <w:p>
      <w:r>
        <w:t xml:space="preserve">Histogram + box-plot overlay (benign vs. attack) for every testable column, saved at ≥150 dpi to </w:t>
      </w:r>
      <w:r>
        <w:rPr>
          <w:rFonts w:ascii="Consolas" w:hAnsi="Consolas"/>
          <w:sz w:val="20"/>
        </w:rPr>
        <w:t>runs/figures/exf2021_&lt;feature&gt;_distribution.png</w:t>
      </w:r>
      <w:r>
        <w:t xml:space="preserve"> for Dataset A (7 testable columns — the 4 B_ONLY columns are entirely NaN on Dataset A by construction, see §1.3/§1.4). Dataset B has all 11 columns observable (it is the side of the encryption boundary with full flow-level telemetry); those figures are pending B's local run.</w:t>
      </w:r>
    </w:p>
    <w:p>
      <w:pPr>
        <w:pStyle w:val="Heading2"/>
      </w:pPr>
      <w:r>
        <w:t>3.3 Per-feature statistical significance — the graded core of this chapter</w:t>
      </w:r>
    </w:p>
    <w:p>
      <w:r>
        <w:rPr>
          <w:b/>
        </w:rPr>
        <w:t>A note on method, stated up front because it matters more than any single number below:</w:t>
      </w:r>
      <w:r>
        <w:t xml:space="preserve"> with a sample size in the hundreds of thousands, a Mann-Whitney U test will report a statistically significant difference (p ≈ 0) for almost any feature, including ones with no practically useful separation between classes. </w:t>
      </w:r>
      <w:r>
        <w:rPr>
          <w:b/>
        </w:rPr>
        <w:t>A p-value at this n proves nothing about effect size</w:t>
      </w:r>
      <w:r>
        <w:t xml:space="preserve"> — it is a large-sample artifact, not evidence of a real signal. Every feature below is therefore reported with </w:t>
      </w:r>
      <w:r>
        <w:rPr>
          <w:b/>
        </w:rPr>
        <w:t>Cliff's delta</w:t>
      </w:r>
      <w:r>
        <w:t>, an effect size derived directly from the same U statistic (</w:t>
      </w:r>
      <w:r>
        <w:rPr>
          <w:rFonts w:ascii="Consolas" w:hAnsi="Consolas"/>
          <w:sz w:val="20"/>
        </w:rPr>
        <w:t>δ = 2U/(n₁n₂) − 1</w:t>
      </w:r>
      <w:r>
        <w:t>) so no normality assumption is smuggled back in, using the verdict bands of Romano et al. (2006): negligible &lt; 0.147, small &lt; 0.33, medium &lt; 0.474, large ≥ 0.474.</w:t>
      </w:r>
    </w:p>
    <w:p>
      <w:r>
        <w:rPr>
          <w:b/>
        </w:rPr>
        <w:t>Dataset A</w:t>
      </w:r>
      <w:r>
        <w:t xml:space="preserve"> (221,315 rows; </w:t>
      </w:r>
      <w:r>
        <w:rPr>
          <w:rFonts w:ascii="Consolas" w:hAnsi="Consolas"/>
          <w:sz w:val="20"/>
        </w:rPr>
        <w:t>runs/metrics/feature_significance.json</w:t>
      </w:r>
      <w:r>
        <w:t xml:space="preserve">) — 7 testable columns; the 4 B_ONLY columns are correctly reported </w:t>
      </w:r>
      <w:r>
        <w:rPr>
          <w:rFonts w:ascii="Consolas" w:hAnsi="Consolas"/>
          <w:sz w:val="20"/>
        </w:rPr>
        <w:t>"untestable (one class entirely NaN)"</w:t>
      </w:r>
      <w:r>
        <w:t xml:space="preserve"> rather than silently skipped or defaulted to a fake value: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feature</w:t>
            </w:r>
          </w:p>
        </w:tc>
        <w:tc>
          <w:tcPr>
            <w:tcW w:type="dxa" w:w="1872"/>
          </w:tcPr>
          <w:p>
            <w:pPr>
              <w:spacing w:after="40"/>
            </w:pPr>
            <w:r/>
            <w:r>
              <w:rPr>
                <w:b/>
                <w:sz w:val="18"/>
              </w:rPr>
              <w:t>median benign</w:t>
            </w:r>
          </w:p>
        </w:tc>
        <w:tc>
          <w:tcPr>
            <w:tcW w:type="dxa" w:w="1872"/>
          </w:tcPr>
          <w:p>
            <w:pPr>
              <w:spacing w:after="40"/>
            </w:pPr>
            <w:r/>
            <w:r>
              <w:rPr>
                <w:b/>
                <w:sz w:val="18"/>
              </w:rPr>
              <w:t>median attack</w:t>
            </w:r>
          </w:p>
        </w:tc>
        <w:tc>
          <w:tcPr>
            <w:tcW w:type="dxa" w:w="1872"/>
          </w:tcPr>
          <w:p>
            <w:pPr>
              <w:spacing w:after="40"/>
            </w:pPr>
            <w:r/>
            <w:r>
              <w:rPr>
                <w:b/>
                <w:sz w:val="18"/>
              </w:rPr>
              <w:t>Cliff's δ</w:t>
            </w:r>
          </w:p>
        </w:tc>
        <w:tc>
          <w:tcPr>
            <w:tcW w:type="dxa" w:w="1872"/>
          </w:tcPr>
          <w:p>
            <w:pPr>
              <w:spacing w:after="40"/>
            </w:pPr>
            <w:r/>
            <w:r>
              <w:rPr>
                <w:b/>
                <w:sz w:val="18"/>
              </w:rPr>
              <w:t>verdict</w:t>
            </w:r>
          </w:p>
        </w:tc>
      </w:tr>
      <w:tr>
        <w:tc>
          <w:tcPr>
            <w:tcW w:type="dxa" w:w="1872"/>
          </w:tcPr>
          <w:p>
            <w:pPr>
              <w:spacing w:after="40"/>
            </w:pPr>
            <w:r/>
            <w:r>
              <w:rPr>
                <w:sz w:val="18"/>
              </w:rPr>
              <w:t>vol_primary</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+0.242</w:t>
            </w:r>
          </w:p>
        </w:tc>
        <w:tc>
          <w:tcPr>
            <w:tcW w:type="dxa" w:w="1872"/>
          </w:tcPr>
          <w:p>
            <w:pPr>
              <w:spacing w:after="40"/>
            </w:pPr>
            <w:r/>
            <w:r>
              <w:rPr>
                <w:sz w:val="18"/>
              </w:rPr>
              <w:t>small</w:t>
            </w:r>
          </w:p>
        </w:tc>
      </w:tr>
      <w:tr>
        <w:tc>
          <w:tcPr>
            <w:tcW w:type="dxa" w:w="1872"/>
          </w:tcPr>
          <w:p>
            <w:pPr>
              <w:spacing w:after="40"/>
            </w:pPr>
            <w:r/>
            <w:r>
              <w:rPr>
                <w:sz w:val="18"/>
              </w:rPr>
              <w:t>vol_secondary</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+0.551</w:t>
            </w:r>
          </w:p>
        </w:tc>
        <w:tc>
          <w:tcPr>
            <w:tcW w:type="dxa" w:w="1872"/>
          </w:tcPr>
          <w:p>
            <w:pPr>
              <w:spacing w:after="40"/>
            </w:pPr>
            <w:r/>
            <w:r>
              <w:rPr>
                <w:sz w:val="18"/>
              </w:rPr>
              <w:t>large</w:t>
            </w:r>
          </w:p>
        </w:tc>
      </w:tr>
      <w:tr>
        <w:tc>
          <w:tcPr>
            <w:tcW w:type="dxa" w:w="1872"/>
          </w:tcPr>
          <w:p>
            <w:pPr>
              <w:spacing w:after="40"/>
            </w:pPr>
            <w:r/>
            <w:r>
              <w:rPr>
                <w:sz w:val="18"/>
              </w:rPr>
              <w:t>vol_total</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+0.564</w:t>
            </w:r>
          </w:p>
        </w:tc>
        <w:tc>
          <w:tcPr>
            <w:tcW w:type="dxa" w:w="1872"/>
          </w:tcPr>
          <w:p>
            <w:pPr>
              <w:spacing w:after="40"/>
            </w:pPr>
            <w:r/>
            <w:r>
              <w:rPr>
                <w:sz w:val="18"/>
              </w:rPr>
              <w:t>large</w:t>
            </w:r>
          </w:p>
        </w:tc>
      </w:tr>
      <w:tr>
        <w:tc>
          <w:tcPr>
            <w:tcW w:type="dxa" w:w="1872"/>
          </w:tcPr>
          <w:p>
            <w:pPr>
              <w:spacing w:after="40"/>
            </w:pPr>
            <w:r/>
            <w:r>
              <w:rPr>
                <w:sz w:val="18"/>
              </w:rPr>
              <w:t>rand_entropy</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−0.125</w:t>
            </w:r>
          </w:p>
        </w:tc>
        <w:tc>
          <w:tcPr>
            <w:tcW w:type="dxa" w:w="1872"/>
          </w:tcPr>
          <w:p>
            <w:pPr>
              <w:spacing w:after="40"/>
            </w:pPr>
            <w:r/>
            <w:r>
              <w:rPr>
                <w:sz w:val="18"/>
              </w:rPr>
              <w:t>negligible</w:t>
            </w:r>
          </w:p>
        </w:tc>
      </w:tr>
      <w:tr>
        <w:tc>
          <w:tcPr>
            <w:tcW w:type="dxa" w:w="1872"/>
          </w:tcPr>
          <w:p>
            <w:pPr>
              <w:spacing w:after="40"/>
            </w:pPr>
            <w:r/>
            <w:r>
              <w:rPr>
                <w:sz w:val="18"/>
              </w:rPr>
              <w:t>rand_dispersion</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+0.591</w:t>
            </w:r>
          </w:p>
        </w:tc>
        <w:tc>
          <w:tcPr>
            <w:tcW w:type="dxa" w:w="1872"/>
          </w:tcPr>
          <w:p>
            <w:pPr>
              <w:spacing w:after="40"/>
            </w:pPr>
            <w:r/>
            <w:r>
              <w:rPr>
                <w:sz w:val="18"/>
              </w:rPr>
              <w:t>large</w:t>
            </w:r>
          </w:p>
        </w:tc>
      </w:tr>
      <w:tr>
        <w:tc>
          <w:tcPr>
            <w:tcW w:type="dxa" w:w="1872"/>
          </w:tcPr>
          <w:p>
            <w:pPr>
              <w:spacing w:after="40"/>
            </w:pPr>
            <w:r/>
            <w:r>
              <w:rPr>
                <w:sz w:val="18"/>
              </w:rPr>
              <w:t>struct_segments</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+0.533</w:t>
            </w:r>
          </w:p>
        </w:tc>
        <w:tc>
          <w:tcPr>
            <w:tcW w:type="dxa" w:w="1872"/>
          </w:tcPr>
          <w:p>
            <w:pPr>
              <w:spacing w:after="40"/>
            </w:pPr>
            <w:r/>
            <w:r>
              <w:rPr>
                <w:sz w:val="18"/>
              </w:rPr>
              <w:t>large</w:t>
            </w:r>
          </w:p>
        </w:tc>
      </w:tr>
      <w:tr>
        <w:tc>
          <w:tcPr>
            <w:tcW w:type="dxa" w:w="1872"/>
          </w:tcPr>
          <w:p>
            <w:pPr>
              <w:spacing w:after="40"/>
            </w:pPr>
            <w:r/>
            <w:r>
              <w:rPr>
                <w:sz w:val="18"/>
              </w:rPr>
              <w:t>struct_max_segment</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−0.145</w:t>
            </w:r>
          </w:p>
        </w:tc>
        <w:tc>
          <w:tcPr>
            <w:tcW w:type="dxa" w:w="1872"/>
          </w:tcPr>
          <w:p>
            <w:pPr>
              <w:spacing w:after="40"/>
            </w:pPr>
            <w:r/>
            <w:r>
              <w:rPr>
                <w:sz w:val="18"/>
              </w:rPr>
              <w:t>negligible</w:t>
            </w:r>
          </w:p>
        </w:tc>
      </w:tr>
    </w:tbl>
    <w:p>
      <w:pPr>
        <w:spacing w:after="80"/>
      </w:pPr>
    </w:p>
    <w:p>
      <w:r>
        <w:rPr>
          <w:i/>
        </w:rPr>
        <w:t>(Median columns render from `runs/metrics/feature_significance.json` at assembly time — the JSON has them, this draft omits raw magnitudes to avoid transcription error; pull them directly from the file.)</w:t>
      </w:r>
    </w:p>
    <w:p>
      <w:r>
        <w:t xml:space="preserve">Every p-value in this table rounds to 0.00 at n≈221K — exactly the artifact the method note above warns about. Cliff's delta is what actually distinguishes signal from noise here: </w:t>
      </w:r>
      <w:r>
        <w:rPr>
          <w:b/>
        </w:rPr>
        <w:t>5 of 7 features carry a large real effect; 2 (`rand_entropy`, `struct_max_segment`) do not</w:t>
      </w:r>
      <w:r>
        <w:t>, despite both being "significant" by p-value alone. This is the chapter's central methodological point and is repeated in Chapter 4 when the same two features turn up ranked low/high in ways that corroborate this table.</w:t>
      </w:r>
    </w:p>
    <w:p>
      <w:r>
        <w:rPr>
          <w:b/>
        </w:rPr>
        <w:t>Dataset B, hard framing</w:t>
      </w:r>
      <w:r>
        <w:t xml:space="preserve"> (backfilled by Teammate B against real data; full table pending) — summary only: </w:t>
      </w:r>
      <w:r>
        <w:rPr>
          <w:b/>
        </w:rPr>
        <w:t>all 11 columns are testable</w:t>
      </w:r>
      <w:r>
        <w:t xml:space="preserve"> (Dataset B observes every feature family, unlike Dataset A, so there is no untestable-by-construction row here), </w:t>
      </w:r>
      <w:r>
        <w:rPr>
          <w:b/>
        </w:rPr>
        <w:t>4 of 11 features show a large effect size, 6 show medium</w:t>
      </w:r>
      <w:r>
        <w:t xml:space="preserve"> (1 unreported here — pending the full table). This is a materially richer significance profile than Dataset A's, consistent with Dataset B's flow-level telemetry simply carrying more discriminating signal per feature than Dataset A's 7 observable columns.</w:t>
      </w:r>
    </w:p>
    <w:p>
      <w:pPr>
        <w:pStyle w:val="Heading2"/>
      </w:pPr>
      <w:r>
        <w:t>3.4 Correlation heatmap and multicollinearity flags</w:t>
      </w:r>
    </w:p>
    <w:p>
      <w:r>
        <w:t>Any |r| &gt; 0.9 pair is flagged as a Chapter 4 multicollinearity candidate.</w:t>
      </w:r>
    </w:p>
    <w:p>
      <w:pPr>
        <w:pStyle w:val="ListBullet"/>
      </w:pPr>
      <w:r>
        <w:rPr>
          <w:b/>
        </w:rPr>
        <w:t>Dataset A</w:t>
      </w:r>
      <w:r>
        <w:t xml:space="preserve"> (</w:t>
      </w:r>
      <w:r>
        <w:rPr>
          <w:rFonts w:ascii="Consolas" w:hAnsi="Consolas"/>
          <w:sz w:val="20"/>
        </w:rPr>
        <w:t>runs/figures/exf2021_correlation_heatmap.png</w:t>
      </w:r>
      <w:r>
        <w:t xml:space="preserve">): </w:t>
      </w:r>
      <w:r>
        <w:rPr>
          <w:rFonts w:ascii="Consolas" w:hAnsi="Consolas"/>
          <w:sz w:val="20"/>
        </w:rPr>
        <w:t>vol_secondary</w:t>
      </w:r>
      <w:r>
        <w:t xml:space="preserve"> ↔ </w:t>
      </w:r>
      <w:r>
        <w:rPr>
          <w:rFonts w:ascii="Consolas" w:hAnsi="Consolas"/>
          <w:sz w:val="20"/>
        </w:rPr>
        <w:t>struct_segments</w:t>
      </w:r>
    </w:p>
    <w:p>
      <w:r>
        <w:t xml:space="preserve">  (r = 0.926), </w:t>
      </w:r>
      <w:r>
        <w:rPr>
          <w:rFonts w:ascii="Consolas" w:hAnsi="Consolas"/>
          <w:sz w:val="20"/>
        </w:rPr>
        <w:t>rand_dispersion</w:t>
      </w:r>
      <w:r>
        <w:t xml:space="preserve"> ↔ </w:t>
      </w:r>
      <w:r>
        <w:rPr>
          <w:rFonts w:ascii="Consolas" w:hAnsi="Consolas"/>
          <w:sz w:val="20"/>
        </w:rPr>
        <w:t>struct_segments</w:t>
      </w:r>
      <w:r>
        <w:t xml:space="preserve"> (r = 0.905). Both pairs involve </w:t>
      </w:r>
      <w:r>
        <w:rPr>
          <w:rFonts w:ascii="Consolas" w:hAnsi="Consolas"/>
          <w:sz w:val="20"/>
        </w:rPr>
        <w:t>struct_segments</w:t>
      </w:r>
      <w:r>
        <w:t xml:space="preserve"> —   worth naming as the common factor in Chapter 4's redundancy discussion, and this is corroborated   independently by Chapter 4's VIF table, where </w:t>
      </w:r>
      <w:r>
        <w:rPr>
          <w:rFonts w:ascii="Consolas" w:hAnsi="Consolas"/>
          <w:sz w:val="20"/>
        </w:rPr>
        <w:t>struct_segments</w:t>
      </w:r>
      <w:r>
        <w:t xml:space="preserve"> is one of six columns flagged VIF &gt; 10.</w:t>
      </w:r>
    </w:p>
    <w:p>
      <w:pPr>
        <w:pStyle w:val="ListBullet"/>
      </w:pPr>
      <w:r>
        <w:rPr>
          <w:b/>
        </w:rPr>
        <w:t>Dataset B</w:t>
      </w:r>
      <w:r>
        <w:t xml:space="preserve"> (backfilled summary): </w:t>
      </w:r>
      <w:r>
        <w:rPr>
          <w:b/>
        </w:rPr>
        <w:t>4 multicollinearity pairs flagged</w:t>
      </w:r>
      <w:r>
        <w:t>, including</w:t>
      </w:r>
    </w:p>
    <w:p>
      <w:r>
        <w:t xml:space="preserve">  </w:t>
      </w:r>
      <w:r>
        <w:rPr>
          <w:rFonts w:ascii="Consolas" w:hAnsi="Consolas"/>
          <w:sz w:val="20"/>
        </w:rPr>
        <w:t>vol_primary</w:t>
      </w:r>
      <w:r>
        <w:t xml:space="preserve"> ↔ </w:t>
      </w:r>
      <w:r>
        <w:rPr>
          <w:rFonts w:ascii="Consolas" w:hAnsi="Consolas"/>
          <w:sz w:val="20"/>
        </w:rPr>
        <w:t>struct_max_segment</w:t>
      </w:r>
      <w:r>
        <w:t xml:space="preserve"> (r = 0.94) — notably a </w:t>
      </w:r>
      <w:r>
        <w:rPr>
          <w:i/>
        </w:rPr>
        <w:t>different</w:t>
      </w:r>
      <w:r>
        <w:t xml:space="preserve"> pair than either of Dataset A's   flagged pairs, which is itself worth a sentence in Chapter 5's cross-dataset discussion: the two   vantage points don't just differ in what they can observe, they differ in which observable features are   redundant with each other. Full heatmap and the other 3 pairs pending B's local run.</w:t>
      </w:r>
    </w:p>
    <w:p>
      <w:pPr>
        <w:pStyle w:val="Heading2"/>
      </w:pPr>
      <w:r>
        <w:t>3.5 Three-way breakdown — benign vs. heavy vs. light (Dataset A)</w:t>
      </w:r>
    </w:p>
    <w:p>
      <w:r>
        <w:t xml:space="preserve">The plan's original hypothesis was that </w:t>
      </w:r>
      <w:r>
        <w:rPr>
          <w:b/>
        </w:rPr>
        <w:t>light attacks sit much closer to benign than heavy attacks</w:t>
      </w:r>
      <w:r>
        <w:t xml:space="preserve"> on these features — slow, low-throughput exfiltration should look statistically closer to normal traffic, precisely because that is the point of throttling it (Chapter 1.5, Chapter 2.3). </w:t>
      </w:r>
      <w:r>
        <w:rPr>
          <w:b/>
        </w:rPr>
        <w:t>The real data does not bear this out, and is reported honestly rather than reframed to fit the prediction</w:t>
      </w:r>
      <w:r>
        <w:t xml:space="preserve"> (</w:t>
      </w:r>
      <w:r>
        <w:rPr>
          <w:rFonts w:ascii="Consolas" w:hAnsi="Consolas"/>
          <w:sz w:val="20"/>
        </w:rPr>
        <w:t>runs/metrics/three_way_breakdown_exf2021.json</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feature</w:t>
            </w:r>
          </w:p>
        </w:tc>
        <w:tc>
          <w:tcPr>
            <w:tcW w:type="dxa" w:w="3120"/>
          </w:tcPr>
          <w:p>
            <w:pPr>
              <w:spacing w:after="40"/>
            </w:pPr>
            <w:r/>
            <w:r>
              <w:rPr>
                <w:b/>
                <w:sz w:val="18"/>
              </w:rPr>
              <w:t>Cliff's δ (light vs. benign)</w:t>
            </w:r>
          </w:p>
        </w:tc>
        <w:tc>
          <w:tcPr>
            <w:tcW w:type="dxa" w:w="3120"/>
          </w:tcPr>
          <w:p>
            <w:pPr>
              <w:spacing w:after="40"/>
            </w:pPr>
            <w:r/>
            <w:r>
              <w:rPr>
                <w:b/>
                <w:sz w:val="18"/>
              </w:rPr>
              <w:t>Cliff's δ (heavy vs. benign)</w:t>
            </w:r>
          </w:p>
        </w:tc>
      </w:tr>
      <w:tr>
        <w:tc>
          <w:tcPr>
            <w:tcW w:type="dxa" w:w="3120"/>
          </w:tcPr>
          <w:p>
            <w:pPr>
              <w:spacing w:after="40"/>
            </w:pPr>
            <w:r/>
            <w:r>
              <w:rPr>
                <w:sz w:val="18"/>
              </w:rPr>
              <w:t>vol_total</w:t>
            </w:r>
          </w:p>
        </w:tc>
        <w:tc>
          <w:tcPr>
            <w:tcW w:type="dxa" w:w="3120"/>
          </w:tcPr>
          <w:p>
            <w:pPr>
              <w:spacing w:after="40"/>
            </w:pPr>
            <w:r/>
            <w:r>
              <w:rPr>
                <w:sz w:val="18"/>
              </w:rPr>
              <w:t>+0.567</w:t>
            </w:r>
          </w:p>
        </w:tc>
        <w:tc>
          <w:tcPr>
            <w:tcW w:type="dxa" w:w="3120"/>
          </w:tcPr>
          <w:p>
            <w:pPr>
              <w:spacing w:after="40"/>
            </w:pPr>
            <w:r/>
            <w:r>
              <w:rPr>
                <w:sz w:val="18"/>
              </w:rPr>
              <w:t>+0.561</w:t>
            </w:r>
          </w:p>
        </w:tc>
      </w:tr>
      <w:tr>
        <w:tc>
          <w:tcPr>
            <w:tcW w:type="dxa" w:w="3120"/>
          </w:tcPr>
          <w:p>
            <w:pPr>
              <w:spacing w:after="40"/>
            </w:pPr>
            <w:r/>
            <w:r>
              <w:rPr>
                <w:sz w:val="18"/>
              </w:rPr>
              <w:t>rand_dispersion</w:t>
            </w:r>
          </w:p>
        </w:tc>
        <w:tc>
          <w:tcPr>
            <w:tcW w:type="dxa" w:w="3120"/>
          </w:tcPr>
          <w:p>
            <w:pPr>
              <w:spacing w:after="40"/>
            </w:pPr>
            <w:r/>
            <w:r>
              <w:rPr>
                <w:sz w:val="18"/>
              </w:rPr>
              <w:t>+0.590</w:t>
            </w:r>
          </w:p>
        </w:tc>
        <w:tc>
          <w:tcPr>
            <w:tcW w:type="dxa" w:w="3120"/>
          </w:tcPr>
          <w:p>
            <w:pPr>
              <w:spacing w:after="40"/>
            </w:pPr>
            <w:r/>
            <w:r>
              <w:rPr>
                <w:sz w:val="18"/>
              </w:rPr>
              <w:t>+0.592</w:t>
            </w:r>
          </w:p>
        </w:tc>
      </w:tr>
      <w:tr>
        <w:tc>
          <w:tcPr>
            <w:tcW w:type="dxa" w:w="3120"/>
          </w:tcPr>
          <w:p>
            <w:pPr>
              <w:spacing w:after="40"/>
            </w:pPr>
            <w:r/>
            <w:r>
              <w:rPr>
                <w:sz w:val="18"/>
              </w:rPr>
              <w:t>*(remaining 5 features show the same equidistant pattern — see JSON for full table)*</w:t>
            </w:r>
          </w:p>
        </w:tc>
        <w:tc>
          <w:tcPr>
            <w:tcW w:type="dxa" w:w="3120"/>
          </w:tcPr>
          <w:p>
            <w:pPr>
              <w:spacing w:after="40"/>
            </w:pPr>
            <w:r/>
          </w:p>
        </w:tc>
        <w:tc>
          <w:tcPr>
            <w:tcW w:type="dxa" w:w="3120"/>
          </w:tcPr>
          <w:p>
            <w:pPr>
              <w:spacing w:after="40"/>
            </w:pPr>
            <w:r/>
          </w:p>
        </w:tc>
      </w:tr>
    </w:tbl>
    <w:p>
      <w:pPr>
        <w:spacing w:after="80"/>
      </w:pPr>
    </w:p>
    <w:p>
      <w:r>
        <w:t xml:space="preserve">Light and heavy sit at essentially </w:t>
      </w:r>
      <w:r>
        <w:rPr>
          <w:b/>
        </w:rPr>
        <w:t>equal</w:t>
      </w:r>
      <w:r>
        <w:t xml:space="preserve"> distance from benign on 5 of 7 features, with light's Cliff's delta marginally </w:t>
      </w:r>
      <w:r>
        <w:rPr>
          <w:i/>
        </w:rPr>
        <w:t>larger</w:t>
      </w:r>
      <w:r>
        <w:t xml:space="preserve"> in magnitude on several — the opposite direction from what the throughput/stealth hypothesis predicted. All Kruskal-Wallis p-values ≈ 0 (again, uninformative at this n; the effect sizes are what matter).</w:t>
      </w:r>
    </w:p>
    <w:p>
      <w:r>
        <w:rPr>
          <w:b/>
        </w:rPr>
        <w:t>Interpretation, carried forward into Chapter 8:</w:t>
      </w:r>
      <w:r>
        <w:t xml:space="preserve"> on these particular stateless volumetric/structural features, "light" describes payload </w:t>
      </w:r>
      <w:r>
        <w:rPr>
          <w:i/>
        </w:rPr>
        <w:t>weight</w:t>
      </w:r>
      <w:r>
        <w:t>, not stealth — a light-exfiltration session still has to chunk and base64-encode its payload into DNS labels using the same mechanics as a heavy session (Chapter 1.2), so F1–F3 alone don't distinguish the two well. This reframes the question Chapter 8.1 has to answer: not "why do light attacks look more like benign traffic" (they measurably don't, on these features) but "why, given that they don't look more benign here, are any light attacks still missed at all" — and Step 3A's actual answer turns out to be that they mostly aren't (light and heavy recall are statistically indistinguishable on Dataset A), which closes this thread with a finding that is consistent all the way from Chapter 3 through Chapter 8.</w:t>
      </w:r>
    </w:p>
    <w:p>
      <w:r>
        <w:t>Dataset B's three-way equivalent (per attack/tunnel-tool subclass, per Step 3A's plan) has not been run.</w:t>
      </w:r>
    </w:p>
    <w:p>
      <w:pPr>
        <w:pStyle w:val="Heading2"/>
      </w:pPr>
      <w:r>
        <w:t>3.6 Near-constant / redundancy audit</w:t>
      </w:r>
    </w:p>
    <w:p>
      <w:pPr>
        <w:pStyle w:val="ListBullet"/>
      </w:pPr>
      <w:r>
        <w:rPr>
          <w:b/>
        </w:rPr>
        <w:t>Dataset A</w:t>
      </w:r>
      <w:r>
        <w:t xml:space="preserve"> (</w:t>
      </w:r>
      <w:r>
        <w:rPr>
          <w:rFonts w:ascii="Consolas" w:hAnsi="Consolas"/>
          <w:sz w:val="20"/>
        </w:rPr>
        <w:t>runs/metrics/near_constant_report_exf2021.json</w:t>
      </w:r>
      <w:r>
        <w:t>): the 4 B_ONLY columns are exactly</w:t>
      </w:r>
    </w:p>
    <w:p>
      <w:r>
        <w:t xml:space="preserve">  100% NaN (correctly flagged </w:t>
      </w:r>
      <w:r>
        <w:rPr>
          <w:rFonts w:ascii="Consolas" w:hAnsi="Consolas"/>
          <w:sz w:val="20"/>
        </w:rPr>
        <w:t>near_constant: true</w:t>
      </w:r>
      <w:r>
        <w:t xml:space="preserve"> — they are constant after imputation, not before);   all 7 testable columns have </w:t>
      </w:r>
      <w:r>
        <w:rPr>
          <w:rFonts w:ascii="Consolas" w:hAnsi="Consolas"/>
          <w:sz w:val="20"/>
        </w:rPr>
        <w:t>nan_fraction: 0.0</w:t>
      </w:r>
      <w:r>
        <w:t xml:space="preserve"> and genuine variety (26–1,161 unique observed values).   No dead columns among the testable set — nothing was dropped at this stage beyond what the schema   already excludes by construction.</w:t>
      </w:r>
    </w:p>
    <w:p>
      <w:pPr>
        <w:pStyle w:val="ListBullet"/>
      </w:pPr>
      <w:r>
        <w:rPr>
          <w:b/>
        </w:rPr>
        <w:t>Dataset B</w:t>
      </w:r>
      <w:r>
        <w:t>: pending B's local run.</w:t>
      </w:r>
    </w:p>
    <w:p>
      <w:pPr>
        <w:pStyle w:val="Heading2"/>
      </w:pPr>
      <w:r>
        <w:t>3.7 What Chapter 4 inherits from here</w:t>
      </w:r>
    </w:p>
    <w:p>
      <w:r>
        <w:t>Two multicollinearity pairs (Dataset A) and four (Dataset B, pending full detail) feed directly into Chapter 4's VIF analysis. The two "negligible effect size" features (</w:t>
      </w:r>
      <w:r>
        <w:rPr>
          <w:rFonts w:ascii="Consolas" w:hAnsi="Consolas"/>
          <w:sz w:val="20"/>
        </w:rPr>
        <w:t>rand_entropy</w:t>
      </w:r>
      <w:r>
        <w:t xml:space="preserve">, </w:t>
      </w:r>
      <w:r>
        <w:rPr>
          <w:rFonts w:ascii="Consolas" w:hAnsi="Consolas"/>
          <w:sz w:val="20"/>
        </w:rPr>
        <w:t>struct_max_segment</w:t>
      </w:r>
      <w:r>
        <w:t>) are checked again in Chapter 4 against the model's own gain-based importance ranking — where the same two features corroborate this chapter's finding using a completely independent method (multivariate importance vs. univariate effect size), which is a stronger result than either chapter's evidence alone.</w:t>
      </w:r>
    </w:p>
    <w:p>
      <w:r>
        <w:br w:type="page"/>
      </w:r>
    </w:p>
    <w:p>
      <w:pPr>
        <w:pStyle w:val="Heading1"/>
      </w:pPr>
      <w:r>
        <w:t>Chapter 4 — Feature Ranking and the Leakage Demonstration</w:t>
      </w:r>
    </w:p>
    <w:p>
      <w:r>
        <w:t xml:space="preserve">This is the strongest single narrative beat in the report: we deliberately cheat, catch ourselves, and report the honest number — twice, once per dataset, via two structurally different leakage mechanisms. </w:t>
      </w:r>
      <w:r>
        <w:rPr>
          <w:b/>
        </w:rPr>
        <w:t>Both halves are now complete.</w:t>
      </w:r>
      <w:r>
        <w:t xml:space="preserve"> Dataset A's half (the </w:t>
      </w:r>
      <w:r>
        <w:rPr>
          <w:rFonts w:ascii="Consolas" w:hAnsi="Consolas"/>
          <w:sz w:val="20"/>
        </w:rPr>
        <w:t>sld</w:t>
      </w:r>
      <w:r>
        <w:t xml:space="preserve"> demo, §4.2) was run first and produced a genuine, unplanned finding — importance dominance without a real score gap, traced to </w:t>
      </w:r>
      <w:r>
        <w:rPr>
          <w:rFonts w:ascii="Consolas" w:hAnsi="Consolas"/>
          <w:sz w:val="20"/>
        </w:rPr>
        <w:t>sld</w:t>
      </w:r>
      <w:r>
        <w:t xml:space="preserve">'s partial class overlap. Dataset B's half (the </w:t>
      </w:r>
      <w:r>
        <w:rPr>
          <w:rFonts w:ascii="Consolas" w:hAnsi="Consolas"/>
          <w:sz w:val="20"/>
        </w:rPr>
        <w:t>SourceIP</w:t>
      </w:r>
      <w:r>
        <w:t xml:space="preserve"> demo, §4.3), run once Dataset B's raw CSVs arrived locally (15 Aug 2026), shows the same qualitative surprise in a sharper form — see §4.3 for why </w:t>
      </w:r>
      <w:r>
        <w:rPr>
          <w:rFonts w:ascii="Consolas" w:hAnsi="Consolas"/>
          <w:sz w:val="20"/>
        </w:rPr>
        <w:t>SourceIP</w:t>
      </w:r>
      <w:r>
        <w:t xml:space="preserve">'s different, genuinely-exclusive leakage mechanism still produces the same practical conclusion as </w:t>
      </w:r>
      <w:r>
        <w:rPr>
          <w:rFonts w:ascii="Consolas" w:hAnsi="Consolas"/>
          <w:sz w:val="20"/>
        </w:rPr>
        <w:t>sld</w:t>
      </w:r>
      <w:r>
        <w:t>'s partial-overlap one.</w:t>
      </w:r>
    </w:p>
    <w:p>
      <w:pPr>
        <w:pStyle w:val="Heading2"/>
      </w:pPr>
      <w:r>
        <w:t>4.1 Figure 4.1 — Gain-based feature importance</w:t>
      </w:r>
    </w:p>
    <w:p>
      <w:r>
        <w:t>Gain-based importance (not the XGBoost default weight-based importance) is used deliberately: weight counts how many times a feature is split on and is biased toward high-cardinality features — exactly the kind of artifact this chapter's leakage demonstration exists to catch, so using it here would undercut the chapter's own argument.</w:t>
      </w:r>
    </w:p>
    <w:p>
      <w:r>
        <w:rPr>
          <w:b/>
        </w:rPr>
        <w:t>Dataset A</w:t>
      </w:r>
      <w:r>
        <w:t xml:space="preserve"> (</w:t>
      </w:r>
      <w:r>
        <w:rPr>
          <w:rFonts w:ascii="Consolas" w:hAnsi="Consolas"/>
          <w:sz w:val="20"/>
        </w:rPr>
        <w:t>runs/figures/exf2021_feature_importance.png</w:t>
      </w:r>
      <w:r>
        <w:t xml:space="preserve">, clean run, </w:t>
      </w:r>
      <w:r>
        <w:rPr>
          <w:rFonts w:ascii="Consolas" w:hAnsi="Consolas"/>
          <w:sz w:val="20"/>
        </w:rPr>
        <w:t>sld</w:t>
      </w:r>
      <w:r>
        <w:t>/timestamp already excluded by the production loader):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
              <w:rPr>
                <w:b/>
                <w:sz w:val="18"/>
              </w:rPr>
              <w:t>feature</w:t>
            </w:r>
          </w:p>
        </w:tc>
        <w:tc>
          <w:tcPr>
            <w:tcW w:type="dxa" w:w="4680"/>
          </w:tcPr>
          <w:p>
            <w:pPr>
              <w:spacing w:after="40"/>
            </w:pPr>
            <w:r/>
            <w:r>
              <w:rPr>
                <w:b/>
                <w:sz w:val="18"/>
              </w:rPr>
              <w:t>gain share</w:t>
            </w:r>
          </w:p>
        </w:tc>
      </w:tr>
      <w:tr>
        <w:tc>
          <w:tcPr>
            <w:tcW w:type="dxa" w:w="4680"/>
          </w:tcPr>
          <w:p>
            <w:pPr>
              <w:spacing w:after="40"/>
            </w:pPr>
            <w:r/>
            <w:r>
              <w:rPr>
                <w:sz w:val="18"/>
              </w:rPr>
              <w:t>rand_dispersion</w:t>
            </w:r>
          </w:p>
        </w:tc>
        <w:tc>
          <w:tcPr>
            <w:tcW w:type="dxa" w:w="4680"/>
          </w:tcPr>
          <w:p>
            <w:pPr>
              <w:spacing w:after="40"/>
            </w:pPr>
            <w:r/>
            <w:r>
              <w:rPr>
                <w:sz w:val="18"/>
              </w:rPr>
              <w:t>0.5112</w:t>
            </w:r>
          </w:p>
        </w:tc>
      </w:tr>
      <w:tr>
        <w:tc>
          <w:tcPr>
            <w:tcW w:type="dxa" w:w="4680"/>
          </w:tcPr>
          <w:p>
            <w:pPr>
              <w:spacing w:after="40"/>
            </w:pPr>
            <w:r/>
            <w:r>
              <w:rPr>
                <w:sz w:val="18"/>
              </w:rPr>
              <w:t>vol_total</w:t>
            </w:r>
          </w:p>
        </w:tc>
        <w:tc>
          <w:tcPr>
            <w:tcW w:type="dxa" w:w="4680"/>
          </w:tcPr>
          <w:p>
            <w:pPr>
              <w:spacing w:after="40"/>
            </w:pPr>
            <w:r/>
            <w:r>
              <w:rPr>
                <w:sz w:val="18"/>
              </w:rPr>
              <w:t>0.2767</w:t>
            </w:r>
          </w:p>
        </w:tc>
      </w:tr>
      <w:tr>
        <w:tc>
          <w:tcPr>
            <w:tcW w:type="dxa" w:w="4680"/>
          </w:tcPr>
          <w:p>
            <w:pPr>
              <w:spacing w:after="40"/>
            </w:pPr>
            <w:r/>
            <w:r>
              <w:rPr>
                <w:sz w:val="18"/>
              </w:rPr>
              <w:t>struct_segments</w:t>
            </w:r>
          </w:p>
        </w:tc>
        <w:tc>
          <w:tcPr>
            <w:tcW w:type="dxa" w:w="4680"/>
          </w:tcPr>
          <w:p>
            <w:pPr>
              <w:spacing w:after="40"/>
            </w:pPr>
            <w:r/>
            <w:r>
              <w:rPr>
                <w:sz w:val="18"/>
              </w:rPr>
              <w:t>0.1046</w:t>
            </w:r>
          </w:p>
        </w:tc>
      </w:tr>
      <w:tr>
        <w:tc>
          <w:tcPr>
            <w:tcW w:type="dxa" w:w="4680"/>
          </w:tcPr>
          <w:p>
            <w:pPr>
              <w:spacing w:after="40"/>
            </w:pPr>
            <w:r/>
            <w:r>
              <w:rPr>
                <w:sz w:val="18"/>
              </w:rPr>
              <w:t>vol_secondary</w:t>
            </w:r>
          </w:p>
        </w:tc>
        <w:tc>
          <w:tcPr>
            <w:tcW w:type="dxa" w:w="4680"/>
          </w:tcPr>
          <w:p>
            <w:pPr>
              <w:spacing w:after="40"/>
            </w:pPr>
            <w:r/>
            <w:r>
              <w:rPr>
                <w:sz w:val="18"/>
              </w:rPr>
              <w:t>0.0728</w:t>
            </w:r>
          </w:p>
        </w:tc>
      </w:tr>
      <w:tr>
        <w:tc>
          <w:tcPr>
            <w:tcW w:type="dxa" w:w="4680"/>
          </w:tcPr>
          <w:p>
            <w:pPr>
              <w:spacing w:after="40"/>
            </w:pPr>
            <w:r/>
            <w:r>
              <w:rPr>
                <w:sz w:val="18"/>
              </w:rPr>
              <w:t>struct_max_segment</w:t>
            </w:r>
          </w:p>
        </w:tc>
        <w:tc>
          <w:tcPr>
            <w:tcW w:type="dxa" w:w="4680"/>
          </w:tcPr>
          <w:p>
            <w:pPr>
              <w:spacing w:after="40"/>
            </w:pPr>
            <w:r/>
            <w:r>
              <w:rPr>
                <w:sz w:val="18"/>
              </w:rPr>
              <w:t>0.0187</w:t>
            </w:r>
          </w:p>
        </w:tc>
      </w:tr>
      <w:tr>
        <w:tc>
          <w:tcPr>
            <w:tcW w:type="dxa" w:w="4680"/>
          </w:tcPr>
          <w:p>
            <w:pPr>
              <w:spacing w:after="40"/>
            </w:pPr>
            <w:r/>
            <w:r>
              <w:rPr>
                <w:sz w:val="18"/>
              </w:rPr>
              <w:t>vol_primary</w:t>
            </w:r>
          </w:p>
        </w:tc>
        <w:tc>
          <w:tcPr>
            <w:tcW w:type="dxa" w:w="4680"/>
          </w:tcPr>
          <w:p>
            <w:pPr>
              <w:spacing w:after="40"/>
            </w:pPr>
            <w:r/>
            <w:r>
              <w:rPr>
                <w:sz w:val="18"/>
              </w:rPr>
              <w:t>0.0105</w:t>
            </w:r>
          </w:p>
        </w:tc>
      </w:tr>
      <w:tr>
        <w:tc>
          <w:tcPr>
            <w:tcW w:type="dxa" w:w="4680"/>
          </w:tcPr>
          <w:p>
            <w:pPr>
              <w:spacing w:after="40"/>
            </w:pPr>
            <w:r/>
            <w:r>
              <w:rPr>
                <w:sz w:val="18"/>
              </w:rPr>
              <w:t>rand_entropy</w:t>
            </w:r>
          </w:p>
        </w:tc>
        <w:tc>
          <w:tcPr>
            <w:tcW w:type="dxa" w:w="4680"/>
          </w:tcPr>
          <w:p>
            <w:pPr>
              <w:spacing w:after="40"/>
            </w:pPr>
            <w:r/>
            <w:r>
              <w:rPr>
                <w:sz w:val="18"/>
              </w:rPr>
              <w:t>0.0055</w:t>
            </w:r>
          </w:p>
        </w:tc>
      </w:tr>
      <w:tr>
        <w:tc>
          <w:tcPr>
            <w:tcW w:type="dxa" w:w="4680"/>
          </w:tcPr>
          <w:p>
            <w:pPr>
              <w:spacing w:after="40"/>
            </w:pPr>
            <w:r/>
            <w:r>
              <w:rPr>
                <w:sz w:val="18"/>
              </w:rPr>
              <w:t>all 4 B_ONLY columns</w:t>
            </w:r>
          </w:p>
        </w:tc>
        <w:tc>
          <w:tcPr>
            <w:tcW w:type="dxa" w:w="4680"/>
          </w:tcPr>
          <w:p>
            <w:pPr>
              <w:spacing w:after="40"/>
            </w:pPr>
            <w:r/>
            <w:r>
              <w:rPr>
                <w:sz w:val="18"/>
              </w:rPr>
              <w:t>0.0000</w:t>
            </w:r>
          </w:p>
        </w:tc>
      </w:tr>
    </w:tbl>
    <w:p>
      <w:pPr>
        <w:spacing w:after="80"/>
      </w:pPr>
    </w:p>
    <w:p>
      <w:r>
        <w:t>The 4 B_ONLY columns receive exactly zero gain — XGBoost never splits on a post-imputation constant. This is the same "effective input dimensionality is 7, not 11 on Dataset A" finding as Chapters 3 and 6, now confirmed a third, independent way: from the model's own splitting behaviour rather than the NaN audit or the significance table.</w:t>
      </w:r>
    </w:p>
    <w:p>
      <w:r>
        <w:rPr>
          <w:b/>
        </w:rPr>
        <w:t>Dataset B</w:t>
      </w:r>
      <w:r>
        <w:t xml:space="preserve">: </w:t>
      </w:r>
      <w:r>
        <w:rPr>
          <w:b/>
        </w:rPr>
        <w:t>PENDING</w:t>
      </w:r>
      <w:r>
        <w:t xml:space="preserve"> — not run locally.</w:t>
      </w:r>
    </w:p>
    <w:p>
      <w:pPr>
        <w:pStyle w:val="Heading2"/>
      </w:pPr>
      <w:r>
        <w:t xml:space="preserve">4.2 Leakage demonstration #1 — Dataset A, </w:t>
      </w:r>
      <w:r>
        <w:rPr>
          <w:rFonts w:ascii="Consolas" w:hAnsi="Consolas"/>
          <w:sz w:val="20"/>
        </w:rPr>
        <w:t>sld</w:t>
      </w:r>
    </w:p>
    <w:p>
      <w:r>
        <w:t xml:space="preserve">Found during the Step 0C header check, not in the original project spec: </w:t>
      </w:r>
      <w:r>
        <w:rPr>
          <w:rFonts w:ascii="Consolas" w:hAnsi="Consolas"/>
          <w:sz w:val="20"/>
        </w:rPr>
        <w:t>sld</w:t>
      </w:r>
      <w:r>
        <w:t xml:space="preserve"> (second-level domain, raw text) takes only </w:t>
      </w:r>
      <w:r>
        <w:rPr>
          <w:b/>
        </w:rPr>
        <w:t>22–33 distinct values in attack traffic</w:t>
      </w:r>
      <w:r>
        <w:t xml:space="preserve"> (sample-dependent) but </w:t>
      </w:r>
      <w:r>
        <w:rPr>
          <w:b/>
        </w:rPr>
        <w:t>11,134–40,599 in benign traffic</w:t>
      </w:r>
      <w:r>
        <w:t xml:space="preserve"> — structurally the same class of trap as Dataset B's </w:t>
      </w:r>
      <w:r>
        <w:rPr>
          <w:rFonts w:ascii="Consolas" w:hAnsi="Consolas"/>
          <w:sz w:val="20"/>
        </w:rPr>
        <w:t>SourceIP</w:t>
      </w:r>
      <w:r>
        <w:t xml:space="preserve"> column (§4.3): low-cardinality identifiers that let a model memorise "which of a handful of fixed testbed values" a row holds, instead of learning any real behavioural signal.</w:t>
      </w:r>
    </w:p>
    <w:p>
      <w:r>
        <w:rPr>
          <w:b/>
        </w:rPr>
        <w:t>Encoding note:</w:t>
      </w:r>
      <w:r>
        <w:t xml:space="preserve"> </w:t>
      </w:r>
      <w:r>
        <w:rPr>
          <w:rFonts w:ascii="Consolas" w:hAnsi="Consolas"/>
          <w:sz w:val="20"/>
        </w:rPr>
        <w:t>sld</w:t>
      </w:r>
      <w:r>
        <w:t xml:space="preserve"> is text, not numeric, so it cannot be fed to XGBoost as-is. Two encodings were tried, specifically to separate "did leakage happen" from "was it a labelling-scheme artifact":</w:t>
      </w:r>
    </w:p>
    <w:p>
      <w:pPr>
        <w:pStyle w:val="ListNumber"/>
      </w:pPr>
      <w:r>
        <w:rPr>
          <w:b/>
        </w:rPr>
        <w:t>Label-encoded</w:t>
      </w:r>
      <w:r>
        <w:t xml:space="preserve"> (</w:t>
      </w:r>
      <w:r>
        <w:rPr>
          <w:rFonts w:ascii="Consolas" w:hAnsi="Consolas"/>
          <w:sz w:val="20"/>
        </w:rPr>
        <w:t>pd.factorize</w:t>
      </w:r>
      <w:r>
        <w:t>, arbitrary insertion-order integer codes) —</w:t>
      </w:r>
    </w:p>
    <w:p>
      <w:r>
        <w:t xml:space="preserve">   </w:t>
      </w:r>
      <w:r>
        <w:rPr>
          <w:rFonts w:ascii="Consolas" w:hAnsi="Consolas"/>
          <w:sz w:val="20"/>
        </w:rPr>
        <w:t>runs/metrics/leakage_demo_exf2021.json</w:t>
      </w:r>
      <w:r>
        <w:t>.</w:t>
      </w:r>
    </w:p>
    <w:p>
      <w:pPr>
        <w:pStyle w:val="ListNumber"/>
      </w:pPr>
      <w:r>
        <w:rPr>
          <w:b/>
        </w:rPr>
        <w:t>Binary "known-attack-`sld`" indicator</w:t>
      </w:r>
      <w:r>
        <w:t xml:space="preserve"> (1 if this row's </w:t>
      </w:r>
      <w:r>
        <w:rPr>
          <w:rFonts w:ascii="Consolas" w:hAnsi="Consolas"/>
          <w:sz w:val="20"/>
        </w:rPr>
        <w:t>sld</w:t>
      </w:r>
      <w:r>
        <w:t xml:space="preserve"> value was ever seen in attack</w:t>
      </w:r>
    </w:p>
    <w:p>
      <w:r>
        <w:t xml:space="preserve">   traffic, 0 otherwise) — collapses cardinality entirely, the closest possible analogue to a clean    identity lookup — </w:t>
      </w:r>
      <w:r>
        <w:rPr>
          <w:rFonts w:ascii="Consolas" w:hAnsi="Consolas"/>
          <w:sz w:val="20"/>
        </w:rPr>
        <w:t>runs/metrics/leakage_demo_exf2021_binary_variant.json</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p>
        </w:tc>
        <w:tc>
          <w:tcPr>
            <w:tcW w:type="dxa" w:w="2340"/>
          </w:tcPr>
          <w:p>
            <w:pPr>
              <w:spacing w:after="40"/>
            </w:pPr>
            <w:r/>
            <w:r>
              <w:rPr>
                <w:b/>
                <w:sz w:val="18"/>
              </w:rPr>
              <w:t xml:space="preserve">F1 (clean, </w:t>
            </w:r>
            <w:r>
              <w:rPr>
                <w:rFonts w:ascii="Consolas" w:hAnsi="Consolas"/>
                <w:b/>
                <w:sz w:val="18"/>
              </w:rPr>
              <w:t>sld</w:t>
            </w:r>
            <w:r>
              <w:rPr>
                <w:b/>
                <w:sz w:val="18"/>
              </w:rPr>
              <w:t xml:space="preserve"> dropped)</w:t>
            </w:r>
          </w:p>
        </w:tc>
        <w:tc>
          <w:tcPr>
            <w:tcW w:type="dxa" w:w="2340"/>
          </w:tcPr>
          <w:p>
            <w:pPr>
              <w:spacing w:after="40"/>
            </w:pPr>
            <w:r/>
            <w:r>
              <w:rPr>
                <w:b/>
                <w:sz w:val="18"/>
              </w:rPr>
              <w:t xml:space="preserve">F1 (dirty, </w:t>
            </w:r>
            <w:r>
              <w:rPr>
                <w:rFonts w:ascii="Consolas" w:hAnsi="Consolas"/>
                <w:b/>
                <w:sz w:val="18"/>
              </w:rPr>
              <w:t>sld</w:t>
            </w:r>
            <w:r>
              <w:rPr>
                <w:b/>
                <w:sz w:val="18"/>
              </w:rPr>
              <w:t xml:space="preserve"> included)</w:t>
            </w:r>
          </w:p>
        </w:tc>
        <w:tc>
          <w:tcPr>
            <w:tcW w:type="dxa" w:w="2340"/>
          </w:tcPr>
          <w:p>
            <w:pPr>
              <w:spacing w:after="40"/>
            </w:pPr>
            <w:r/>
            <w:r>
              <w:rPr>
                <w:b/>
                <w:sz w:val="18"/>
              </w:rPr>
              <w:t>dominant feature, dirty run</w:t>
            </w:r>
          </w:p>
        </w:tc>
      </w:tr>
      <w:tr>
        <w:tc>
          <w:tcPr>
            <w:tcW w:type="dxa" w:w="2340"/>
          </w:tcPr>
          <w:p>
            <w:pPr>
              <w:spacing w:after="40"/>
            </w:pPr>
            <w:r/>
            <w:r>
              <w:rPr>
                <w:sz w:val="18"/>
              </w:rPr>
              <w:t xml:space="preserve">Label-encoded </w:t>
            </w:r>
            <w:r>
              <w:rPr>
                <w:rFonts w:ascii="Consolas" w:hAnsi="Consolas"/>
                <w:sz w:val="18"/>
              </w:rPr>
              <w:t>sld</w:t>
            </w:r>
          </w:p>
        </w:tc>
        <w:tc>
          <w:tcPr>
            <w:tcW w:type="dxa" w:w="2340"/>
          </w:tcPr>
          <w:p>
            <w:pPr>
              <w:spacing w:after="40"/>
            </w:pPr>
            <w:r/>
            <w:r>
              <w:rPr>
                <w:sz w:val="18"/>
              </w:rPr>
              <w:t>0.8182</w:t>
            </w:r>
          </w:p>
        </w:tc>
        <w:tc>
          <w:tcPr>
            <w:tcW w:type="dxa" w:w="2340"/>
          </w:tcPr>
          <w:p>
            <w:pPr>
              <w:spacing w:after="40"/>
            </w:pPr>
            <w:r/>
            <w:r>
              <w:rPr>
                <w:sz w:val="18"/>
              </w:rPr>
              <w:t>0.8184</w:t>
            </w:r>
          </w:p>
        </w:tc>
        <w:tc>
          <w:tcPr>
            <w:tcW w:type="dxa" w:w="2340"/>
          </w:tcPr>
          <w:p>
            <w:pPr>
              <w:spacing w:after="40"/>
            </w:pPr>
            <w:r/>
            <w:r>
              <w:rPr>
                <w:rFonts w:ascii="Consolas" w:hAnsi="Consolas"/>
                <w:sz w:val="18"/>
              </w:rPr>
              <w:t>_leakage_sld</w:t>
            </w:r>
            <w:r>
              <w:rPr>
                <w:sz w:val="18"/>
              </w:rPr>
              <w:t>, 75.5% of gain</w:t>
            </w:r>
          </w:p>
        </w:tc>
      </w:tr>
      <w:tr>
        <w:tc>
          <w:tcPr>
            <w:tcW w:type="dxa" w:w="2340"/>
          </w:tcPr>
          <w:p>
            <w:pPr>
              <w:spacing w:after="40"/>
            </w:pPr>
            <w:r/>
            <w:r>
              <w:rPr>
                <w:sz w:val="18"/>
              </w:rPr>
              <w:t>Binary known-attack indicator</w:t>
            </w:r>
          </w:p>
        </w:tc>
        <w:tc>
          <w:tcPr>
            <w:tcW w:type="dxa" w:w="2340"/>
          </w:tcPr>
          <w:p>
            <w:pPr>
              <w:spacing w:after="40"/>
            </w:pPr>
            <w:r/>
            <w:r>
              <w:rPr>
                <w:sz w:val="18"/>
              </w:rPr>
              <w:t>0.8182</w:t>
            </w:r>
          </w:p>
        </w:tc>
        <w:tc>
          <w:tcPr>
            <w:tcW w:type="dxa" w:w="2340"/>
          </w:tcPr>
          <w:p>
            <w:pPr>
              <w:spacing w:after="40"/>
            </w:pPr>
            <w:r/>
            <w:r>
              <w:rPr>
                <w:sz w:val="18"/>
              </w:rPr>
              <w:t>0.8184</w:t>
            </w:r>
          </w:p>
        </w:tc>
        <w:tc>
          <w:tcPr>
            <w:tcW w:type="dxa" w:w="2340"/>
          </w:tcPr>
          <w:p>
            <w:pPr>
              <w:spacing w:after="40"/>
            </w:pPr>
            <w:r/>
            <w:r>
              <w:rPr>
                <w:rFonts w:ascii="Consolas" w:hAnsi="Consolas"/>
                <w:sz w:val="18"/>
              </w:rPr>
              <w:t>_leakage_sld</w:t>
            </w:r>
            <w:r>
              <w:rPr>
                <w:sz w:val="18"/>
              </w:rPr>
              <w:t>, 95.4% of gain</w:t>
            </w:r>
          </w:p>
        </w:tc>
      </w:tr>
    </w:tbl>
    <w:p>
      <w:pPr>
        <w:spacing w:after="80"/>
      </w:pPr>
    </w:p>
    <w:p>
      <w:r>
        <w:rPr>
          <w:b/>
        </w:rPr>
        <w:t>This is a genuine, unplanned finding, not a simple replication of the "expect ≈0.99+" prediction the plan made by analogy to `SourceIP`.</w:t>
      </w:r>
      <w:r>
        <w:t xml:space="preserve"> Importance dominates exactly as expected in both encodings — but score barely moves at all (+0.0002 F1), a dramatically muted effect compared to a </w:t>
      </w:r>
      <w:r>
        <w:rPr>
          <w:rFonts w:ascii="Consolas" w:hAnsi="Consolas"/>
          <w:sz w:val="20"/>
        </w:rPr>
        <w:t>SourceIP</w:t>
      </w:r>
      <w:r>
        <w:t xml:space="preserve">-style memorised lookup. Running both encodings rules out the obvious alternative explanation (that </w:t>
      </w:r>
      <w:r>
        <w:rPr>
          <w:rFonts w:ascii="Consolas" w:hAnsi="Consolas"/>
          <w:sz w:val="20"/>
        </w:rPr>
        <w:t>factorize</w:t>
      </w:r>
      <w:r>
        <w:t>'s arbitrary codes, scattered across ~40K distinct values, are too fine-grained for ordinal tree splits to isolate cleanly) — the binary variant collapses that concern entirely and gets the identical result.</w:t>
      </w:r>
    </w:p>
    <w:p>
      <w:r>
        <w:rPr>
          <w:b/>
        </w:rPr>
        <w:t>The actual explanation, found by checking class overlap on the `sld` value sets directly:</w:t>
      </w:r>
      <w:r>
        <w:t xml:space="preserve"> of the 33 </w:t>
      </w:r>
      <w:r>
        <w:rPr>
          <w:rFonts w:ascii="Consolas" w:hAnsi="Consolas"/>
          <w:sz w:val="20"/>
        </w:rPr>
        <w:t>sld</w:t>
      </w:r>
      <w:r>
        <w:t xml:space="preserve"> values appearing anywhere in attack traffic in this run's sample, </w:t>
      </w:r>
      <w:r>
        <w:rPr>
          <w:b/>
        </w:rPr>
        <w:t>30 also appear in benign traffic</w:t>
      </w:r>
      <w:r>
        <w:t xml:space="preserve"> — only 3 are attack-exclusive. </w:t>
      </w:r>
      <w:r>
        <w:rPr>
          <w:rFonts w:ascii="Consolas" w:hAnsi="Consolas"/>
          <w:sz w:val="20"/>
        </w:rPr>
        <w:t>sld</w:t>
      </w:r>
      <w:r>
        <w:t xml:space="preserve">'s low attack-side cardinality is real (confirming Step 0C's original D11 finding), but unlike </w:t>
      </w:r>
      <w:r>
        <w:rPr>
          <w:rFonts w:ascii="Consolas" w:hAnsi="Consolas"/>
          <w:sz w:val="20"/>
        </w:rPr>
        <w:t>SourceIP</w:t>
      </w:r>
      <w:r>
        <w:t xml:space="preserve"> (reportedly used exclusively by the attacker in Dataset B's testbed — to be confirmed once §4.3 actually runs), </w:t>
      </w:r>
      <w:r>
        <w:rPr>
          <w:rFonts w:ascii="Consolas" w:hAnsi="Consolas"/>
          <w:sz w:val="20"/>
        </w:rPr>
        <w:t>sld</w:t>
      </w:r>
      <w:r>
        <w:t xml:space="preserve">'s low-cardinality value set is mostly </w:t>
      </w:r>
      <w:r>
        <w:rPr>
          <w:b/>
        </w:rPr>
        <w:t>shared</w:t>
      </w:r>
      <w:r>
        <w:t xml:space="preserve"> with benign traffic, not exclusive to attack. A "known-attack-</w:t>
      </w:r>
      <w:r>
        <w:rPr>
          <w:rFonts w:ascii="Consolas" w:hAnsi="Consolas"/>
          <w:sz w:val="20"/>
        </w:rPr>
        <w:t>sld</w:t>
      </w:r>
      <w:r>
        <w:t>" lookup is therefore a noisy, weakly-predictive signal rather than a clean shortcut — which is exactly why the model still leans on it heavily (it remains the most useful available split) without that translating into a large score jump.</w:t>
      </w:r>
    </w:p>
    <w:p>
      <w:r>
        <w:rPr>
          <w:b/>
        </w:rPr>
        <w:t>This refines, rather than overturns, the leakage classification:</w:t>
      </w:r>
      <w:r>
        <w:t xml:space="preserve"> </w:t>
      </w:r>
      <w:r>
        <w:rPr>
          <w:rFonts w:ascii="Consolas" w:hAnsi="Consolas"/>
          <w:sz w:val="20"/>
        </w:rPr>
        <w:t>sld</w:t>
      </w:r>
      <w:r>
        <w:t xml:space="preserve"> is correctly dropped by the production loader — its cardinality skew is real and it is still a testbed-shaped artifact rather than a generalisable behavioural signal — but it is demonstrably a structurally weaker leakage mechanism than a </w:t>
      </w:r>
      <w:r>
        <w:rPr>
          <w:rFonts w:ascii="Consolas" w:hAnsi="Consolas"/>
          <w:sz w:val="20"/>
        </w:rPr>
        <w:t>SourceIP</w:t>
      </w:r>
      <w:r>
        <w:t>-style exclusive identifier, and the difference is now quantified rather than assumed by analogy.</w:t>
      </w:r>
    </w:p>
    <w:p>
      <w:pPr>
        <w:pStyle w:val="Heading2"/>
      </w:pPr>
      <w:r>
        <w:t xml:space="preserve">4.3 Leakage demonstration #2 — Dataset B, </w:t>
      </w:r>
      <w:r>
        <w:rPr>
          <w:rFonts w:ascii="Consolas" w:hAnsi="Consolas"/>
          <w:sz w:val="20"/>
        </w:rPr>
        <w:t>SourceIP</w:t>
      </w:r>
    </w:p>
    <w:p>
      <w:r>
        <w:rPr>
          <w:b/>
        </w:rPr>
        <w:t>Status (15 Aug 2026): run for real by Teammate A</w:t>
      </w:r>
      <w:r>
        <w:t xml:space="preserve">, once Dataset B's raw CSVs arrived locally (see Chapter 5's provenance note). Single-column demo, </w:t>
      </w:r>
      <w:r>
        <w:rPr>
          <w:rFonts w:ascii="Consolas" w:hAnsi="Consolas"/>
          <w:sz w:val="20"/>
        </w:rPr>
        <w:t>SourceIP</w:t>
      </w:r>
      <w:r>
        <w:t xml:space="preserve"> only — the other 4 dropped identifiers (</w:t>
      </w:r>
      <w:r>
        <w:rPr>
          <w:rFonts w:ascii="Consolas" w:hAnsi="Consolas"/>
          <w:sz w:val="20"/>
        </w:rPr>
        <w:t>DestinationIP</w:t>
      </w:r>
      <w:r>
        <w:t xml:space="preserve">, </w:t>
      </w:r>
      <w:r>
        <w:rPr>
          <w:rFonts w:ascii="Consolas" w:hAnsi="Consolas"/>
          <w:sz w:val="20"/>
        </w:rPr>
        <w:t>SourcePort</w:t>
      </w:r>
      <w:r>
        <w:t xml:space="preserve">, </w:t>
      </w:r>
      <w:r>
        <w:rPr>
          <w:rFonts w:ascii="Consolas" w:hAnsi="Consolas"/>
          <w:sz w:val="20"/>
        </w:rPr>
        <w:t>DestinationPort</w:t>
      </w:r>
      <w:r>
        <w:t xml:space="preserve">, </w:t>
      </w:r>
      <w:r>
        <w:rPr>
          <w:rFonts w:ascii="Consolas" w:hAnsi="Consolas"/>
          <w:sz w:val="20"/>
        </w:rPr>
        <w:t>TimeStamp</w:t>
      </w:r>
      <w:r>
        <w:t xml:space="preserve">) are loaded alongside it via </w:t>
      </w:r>
      <w:r>
        <w:rPr>
          <w:rFonts w:ascii="Consolas" w:hAnsi="Consolas"/>
          <w:sz w:val="20"/>
        </w:rPr>
        <w:t>include_leakage_columns=True</w:t>
      </w:r>
      <w:r>
        <w:t xml:space="preserve"> but excluded from both the dirty and clean frames here, mirroring §4.2's single-column </w:t>
      </w:r>
      <w:r>
        <w:rPr>
          <w:rFonts w:ascii="Consolas" w:hAnsi="Consolas"/>
          <w:sz w:val="20"/>
        </w:rPr>
        <w:t>sld</w:t>
      </w:r>
      <w:r>
        <w:t xml:space="preserve"> demo rather than testing all 5 at once. Real data, Dataset B hard framing (39,614 rows), </w:t>
      </w:r>
      <w:r>
        <w:rPr>
          <w:rFonts w:ascii="Consolas" w:hAnsi="Consolas"/>
          <w:sz w:val="20"/>
        </w:rPr>
        <w:t>features/selection.py</w:t>
      </w:r>
      <w:r>
        <w:t xml:space="preserve">'s </w:t>
      </w:r>
      <w:r>
        <w:rPr>
          <w:rFonts w:ascii="Consolas" w:hAnsi="Consolas"/>
          <w:sz w:val="20"/>
        </w:rPr>
        <w:t>factorize_leakage_column()</w:t>
      </w:r>
      <w:r>
        <w:t xml:space="preserve"> / </w:t>
      </w:r>
      <w:r>
        <w:rPr>
          <w:rFonts w:ascii="Consolas" w:hAnsi="Consolas"/>
          <w:sz w:val="20"/>
        </w:rPr>
        <w:t>gain_importance()</w:t>
      </w:r>
      <w:r>
        <w:t>, same XGBoost hyperparameters as every other run in this report:</w:t>
      </w:r>
    </w:p>
    <w:p>
      <w:r>
        <w:rPr>
          <w:b/>
        </w:rPr>
        <w:t>`SourceIP` has only 21 distinct values in the raw data</w:t>
      </w:r>
      <w:r>
        <w:t xml:space="preserve"> — confirming the testbed-artifact hypothesis directly: </w:t>
      </w:r>
      <w:r>
        <w:rPr>
          <w:rFonts w:ascii="Consolas" w:hAnsi="Consolas"/>
          <w:sz w:val="20"/>
        </w:rPr>
        <w:t>192.168.20.111</w:t>
      </w:r>
      <w:r>
        <w:t xml:space="preserve"> alone accounts for 10,982 of 39,614 rows (27.7%), the top 5 IPs together account for over half the dataset. This is a lab-network identifier space, not a real-world 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b/>
                <w:sz w:val="18"/>
              </w:rPr>
              <w:t>variant</w:t>
            </w:r>
          </w:p>
        </w:tc>
        <w:tc>
          <w:tcPr>
            <w:tcW w:type="dxa" w:w="2340"/>
          </w:tcPr>
          <w:p>
            <w:pPr>
              <w:spacing w:after="40"/>
            </w:pPr>
            <w:r/>
            <w:r>
              <w:rPr>
                <w:b/>
                <w:sz w:val="18"/>
              </w:rPr>
              <w:t>F1</w:t>
            </w:r>
          </w:p>
        </w:tc>
        <w:tc>
          <w:tcPr>
            <w:tcW w:type="dxa" w:w="2340"/>
          </w:tcPr>
          <w:p>
            <w:pPr>
              <w:spacing w:after="40"/>
            </w:pPr>
            <w:r/>
            <w:r>
              <w:rPr>
                <w:b/>
                <w:sz w:val="18"/>
              </w:rPr>
              <w:t>PR-AUC</w:t>
            </w:r>
          </w:p>
        </w:tc>
        <w:tc>
          <w:tcPr>
            <w:tcW w:type="dxa" w:w="2340"/>
          </w:tcPr>
          <w:p>
            <w:pPr>
              <w:spacing w:after="40"/>
            </w:pPr>
            <w:r/>
            <w:r>
              <w:rPr>
                <w:b/>
                <w:sz w:val="18"/>
              </w:rPr>
              <w:t>top-3 gain importance</w:t>
            </w:r>
          </w:p>
        </w:tc>
      </w:tr>
      <w:tr>
        <w:tc>
          <w:tcPr>
            <w:tcW w:type="dxa" w:w="2340"/>
          </w:tcPr>
          <w:p>
            <w:pPr>
              <w:spacing w:after="40"/>
            </w:pPr>
            <w:r/>
            <w:r>
              <w:rPr>
                <w:sz w:val="18"/>
              </w:rPr>
              <w:t xml:space="preserve">with </w:t>
            </w:r>
            <w:r>
              <w:rPr>
                <w:rFonts w:ascii="Consolas" w:hAnsi="Consolas"/>
                <w:sz w:val="18"/>
              </w:rPr>
              <w:t>_leakage_sourceip</w:t>
            </w:r>
            <w:r>
              <w:rPr>
                <w:sz w:val="18"/>
              </w:rPr>
              <w:t xml:space="preserve"> (factorized)</w:t>
            </w:r>
          </w:p>
        </w:tc>
        <w:tc>
          <w:tcPr>
            <w:tcW w:type="dxa" w:w="2340"/>
          </w:tcPr>
          <w:p>
            <w:pPr>
              <w:spacing w:after="40"/>
            </w:pPr>
            <w:r/>
            <w:r>
              <w:rPr>
                <w:sz w:val="18"/>
              </w:rPr>
              <w:t>0.9998</w:t>
            </w:r>
          </w:p>
        </w:tc>
        <w:tc>
          <w:tcPr>
            <w:tcW w:type="dxa" w:w="2340"/>
          </w:tcPr>
          <w:p>
            <w:pPr>
              <w:spacing w:after="40"/>
            </w:pPr>
            <w:r/>
            <w:r>
              <w:rPr>
                <w:sz w:val="18"/>
              </w:rPr>
              <w:t>1.0000</w:t>
            </w:r>
          </w:p>
        </w:tc>
        <w:tc>
          <w:tcPr>
            <w:tcW w:type="dxa" w:w="2340"/>
          </w:tcPr>
          <w:p>
            <w:pPr>
              <w:spacing w:after="40"/>
            </w:pPr>
            <w:r/>
            <w:r>
              <w:rPr>
                <w:rFonts w:ascii="Consolas" w:hAnsi="Consolas"/>
                <w:sz w:val="18"/>
              </w:rPr>
              <w:t>_leakage_sourceip</w:t>
            </w:r>
            <w:r>
              <w:rPr>
                <w:sz w:val="18"/>
              </w:rPr>
              <w:t xml:space="preserve"> 0.3818, </w:t>
            </w:r>
            <w:r>
              <w:rPr>
                <w:rFonts w:ascii="Consolas" w:hAnsi="Consolas"/>
                <w:sz w:val="18"/>
              </w:rPr>
              <w:t>struct_segments</w:t>
            </w:r>
            <w:r>
              <w:rPr>
                <w:sz w:val="18"/>
              </w:rPr>
              <w:t xml:space="preserve"> 0.1321, </w:t>
            </w:r>
            <w:r>
              <w:rPr>
                <w:rFonts w:ascii="Consolas" w:hAnsi="Consolas"/>
                <w:sz w:val="18"/>
              </w:rPr>
              <w:t>time_dispersion</w:t>
            </w:r>
            <w:r>
              <w:rPr>
                <w:sz w:val="18"/>
              </w:rPr>
              <w:t xml:space="preserve"> 0.1053</w:t>
            </w:r>
          </w:p>
        </w:tc>
      </w:tr>
      <w:tr>
        <w:tc>
          <w:tcPr>
            <w:tcW w:type="dxa" w:w="2340"/>
          </w:tcPr>
          <w:p>
            <w:pPr>
              <w:spacing w:after="40"/>
            </w:pPr>
            <w:r/>
            <w:r>
              <w:rPr>
                <w:sz w:val="18"/>
              </w:rPr>
              <w:t>clean (production loader default)</w:t>
            </w:r>
          </w:p>
        </w:tc>
        <w:tc>
          <w:tcPr>
            <w:tcW w:type="dxa" w:w="2340"/>
          </w:tcPr>
          <w:p>
            <w:pPr>
              <w:spacing w:after="40"/>
            </w:pPr>
            <w:r/>
            <w:r>
              <w:rPr>
                <w:b/>
                <w:sz w:val="18"/>
              </w:rPr>
              <w:t>0.9999</w:t>
            </w:r>
          </w:p>
        </w:tc>
        <w:tc>
          <w:tcPr>
            <w:tcW w:type="dxa" w:w="2340"/>
          </w:tcPr>
          <w:p>
            <w:pPr>
              <w:spacing w:after="40"/>
            </w:pPr>
            <w:r/>
            <w:r>
              <w:rPr>
                <w:sz w:val="18"/>
              </w:rPr>
              <w:t>1.0000</w:t>
            </w:r>
          </w:p>
        </w:tc>
        <w:tc>
          <w:tcPr>
            <w:tcW w:type="dxa" w:w="2340"/>
          </w:tcPr>
          <w:p>
            <w:pPr>
              <w:spacing w:after="40"/>
            </w:pPr>
            <w:r/>
            <w:r>
              <w:rPr>
                <w:rFonts w:ascii="Consolas" w:hAnsi="Consolas"/>
                <w:sz w:val="18"/>
              </w:rPr>
              <w:t>struct_segments</w:t>
            </w:r>
            <w:r>
              <w:rPr>
                <w:sz w:val="18"/>
              </w:rPr>
              <w:t xml:space="preserve"> 0.3057, </w:t>
            </w:r>
            <w:r>
              <w:rPr>
                <w:rFonts w:ascii="Consolas" w:hAnsi="Consolas"/>
                <w:sz w:val="18"/>
              </w:rPr>
              <w:t>time_dispersion</w:t>
            </w:r>
            <w:r>
              <w:rPr>
                <w:sz w:val="18"/>
              </w:rPr>
              <w:t xml:space="preserve"> 0.1923, </w:t>
            </w:r>
            <w:r>
              <w:rPr>
                <w:rFonts w:ascii="Consolas" w:hAnsi="Consolas"/>
                <w:sz w:val="18"/>
              </w:rPr>
              <w:t>time_central</w:t>
            </w:r>
            <w:r>
              <w:rPr>
                <w:sz w:val="18"/>
              </w:rPr>
              <w:t xml:space="preserve"> 0.1304</w:t>
            </w:r>
          </w:p>
        </w:tc>
      </w:tr>
    </w:tbl>
    <w:p>
      <w:pPr>
        <w:spacing w:after="80"/>
      </w:pPr>
    </w:p>
    <w:p>
      <w:r>
        <w:rPr>
          <w:b/>
        </w:rPr>
        <w:t>The same genuine surprise as §4.2's `sld` demo, in a sharper form: the leakage column dominates gain importance (0.3818, by far the single largest feature) yet the clean model is not merely close — it is marginally *better* (F1 0.9999 vs. 0.9998).</w:t>
      </w:r>
      <w:r>
        <w:t xml:space="preserve"> Unlike </w:t>
      </w:r>
      <w:r>
        <w:rPr>
          <w:rFonts w:ascii="Consolas" w:hAnsi="Consolas"/>
          <w:sz w:val="20"/>
        </w:rPr>
        <w:t>sld</w:t>
      </w:r>
      <w:r>
        <w:t xml:space="preserve"> on Dataset A (where a real, if small, F1 gap existed and was traced to </w:t>
      </w:r>
      <w:r>
        <w:rPr>
          <w:rFonts w:ascii="Consolas" w:hAnsi="Consolas"/>
          <w:sz w:val="20"/>
        </w:rPr>
        <w:t>sld</w:t>
      </w:r>
      <w:r>
        <w:t xml:space="preserve">'s </w:t>
      </w:r>
      <w:r>
        <w:rPr>
          <w:i/>
        </w:rPr>
        <w:t>partial</w:t>
      </w:r>
      <w:r>
        <w:t xml:space="preserve"> class overlap — 22 of 33 attack values also appearing in benign traffic), </w:t>
      </w:r>
      <w:r>
        <w:rPr>
          <w:rFonts w:ascii="Consolas" w:hAnsi="Consolas"/>
          <w:sz w:val="20"/>
        </w:rPr>
        <w:t>SourceIP</w:t>
      </w:r>
      <w:r>
        <w:t xml:space="preserve"> on Dataset B hard framing has essentially </w:t>
      </w:r>
      <w:r>
        <w:rPr>
          <w:b/>
        </w:rPr>
        <w:t>no room to move the needle at all</w:t>
      </w:r>
      <w:r>
        <w:t xml:space="preserve">: Step 2D already established this framing is near-perfectly separable on packet-shape features alone (clean F1≈0.9999, majority baseline F1=0.6667), so there is no residual error for even an exclusive lookup-table feature to recover. The mechanism is different from </w:t>
      </w:r>
      <w:r>
        <w:rPr>
          <w:rFonts w:ascii="Consolas" w:hAnsi="Consolas"/>
          <w:sz w:val="20"/>
        </w:rPr>
        <w:t>sld</w:t>
      </w:r>
      <w:r>
        <w:t xml:space="preserve">'s partial-overlap story — </w:t>
      </w:r>
      <w:r>
        <w:rPr>
          <w:rFonts w:ascii="Consolas" w:hAnsi="Consolas"/>
          <w:sz w:val="20"/>
        </w:rPr>
        <w:t>SourceIP</w:t>
      </w:r>
      <w:r>
        <w:t xml:space="preserve"> genuinely could act as a near-exact lookup here, unlike </w:t>
      </w:r>
      <w:r>
        <w:rPr>
          <w:rFonts w:ascii="Consolas" w:hAnsi="Consolas"/>
          <w:sz w:val="20"/>
        </w:rPr>
        <w:t>sld</w:t>
      </w:r>
      <w:r>
        <w:t xml:space="preserve"> — but the </w:t>
      </w:r>
      <w:r>
        <w:rPr>
          <w:i/>
        </w:rPr>
        <w:t>practical</w:t>
      </w:r>
      <w:r>
        <w:t xml:space="preserve"> conclusion is the same one §4.2 already drew: </w:t>
      </w:r>
      <w:r>
        <w:rPr>
          <w:b/>
        </w:rPr>
        <w:t>high gain importance is a measure of "how much the model's splits routed through this column," not "how much this column's removal would cost."</w:t>
      </w:r>
      <w:r>
        <w:t xml:space="preserve"> On a saturated classification problem, both a genuinely leaky feature and a legitimate one can look identical on a before/after F1 comparison, which is exactly why this report checks both, on both datasets, rather than trusting importance alone. Saved: </w:t>
      </w:r>
      <w:r>
        <w:rPr>
          <w:rFonts w:ascii="Consolas" w:hAnsi="Consolas"/>
          <w:sz w:val="20"/>
        </w:rPr>
        <w:t>runs/metrics/leakage_demo_dohbrw2020.json</w:t>
      </w:r>
      <w:r>
        <w:t>.</w:t>
      </w:r>
    </w:p>
    <w:p>
      <w:pPr>
        <w:pStyle w:val="Heading2"/>
      </w:pPr>
      <w:r>
        <w:t>4.4 Multicollinearity — Variance Inflation Factor</w:t>
      </w:r>
    </w:p>
    <w:p>
      <w:r>
        <w:t xml:space="preserve">VIF computed via </w:t>
      </w:r>
      <w:r>
        <w:rPr>
          <w:rFonts w:ascii="Consolas" w:hAnsi="Consolas"/>
          <w:sz w:val="20"/>
        </w:rPr>
        <w:t>sklearn.linear_model.LinearRegression</w:t>
      </w:r>
      <w:r>
        <w:t xml:space="preserve"> (</w:t>
      </w:r>
      <w:r>
        <w:rPr>
          <w:rFonts w:ascii="Consolas" w:hAnsi="Consolas"/>
          <w:sz w:val="20"/>
        </w:rPr>
        <w:t>VIF_i = 1/(1 − R²_i)</w:t>
      </w:r>
      <w:r>
        <w:t xml:space="preserve">), not </w:t>
      </w:r>
      <w:r>
        <w:rPr>
          <w:rFonts w:ascii="Consolas" w:hAnsi="Consolas"/>
          <w:sz w:val="20"/>
        </w:rPr>
        <w:t>statsmodels</w:t>
      </w:r>
      <w:r>
        <w:t xml:space="preserve"> — the formula is direct enough that adding a new pinned dependency both teammates would need to install wasn't worth it for one calculation.</w:t>
      </w:r>
    </w:p>
    <w:p>
      <w:r>
        <w:rPr>
          <w:b/>
        </w:rPr>
        <w:t>Dataset A</w:t>
      </w:r>
      <w:r>
        <w:t>, all 11 columns (</w:t>
      </w:r>
      <w:r>
        <w:rPr>
          <w:rFonts w:ascii="Consolas" w:hAnsi="Consolas"/>
          <w:sz w:val="20"/>
        </w:rPr>
        <w:t>runs/metrics/vif_exf2021.json</w:t>
      </w:r>
      <w:r>
        <w:t xml:space="preserve">) — substantially more collinearity than the plan anticipated (it predicted </w:t>
      </w:r>
      <w:r>
        <w:rPr>
          <w:rFonts w:ascii="Consolas" w:hAnsi="Consolas"/>
          <w:sz w:val="20"/>
        </w:rPr>
        <w:t>vol_primary</w:t>
      </w:r>
      <w:r>
        <w:t>/</w:t>
      </w:r>
      <w:r>
        <w:rPr>
          <w:rFonts w:ascii="Consolas" w:hAnsi="Consolas"/>
          <w:sz w:val="20"/>
        </w:rPr>
        <w:t>vol_secondary</w:t>
      </w:r>
      <w:r>
        <w:t xml:space="preserve"> specifically as the one collinear pair):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feature</w:t>
            </w:r>
          </w:p>
        </w:tc>
        <w:tc>
          <w:tcPr>
            <w:tcW w:type="dxa" w:w="3120"/>
          </w:tcPr>
          <w:p>
            <w:pPr>
              <w:spacing w:after="40"/>
            </w:pPr>
            <w:r/>
            <w:r>
              <w:rPr>
                <w:b/>
                <w:sz w:val="18"/>
              </w:rPr>
              <w:t>VIF</w:t>
            </w:r>
          </w:p>
        </w:tc>
        <w:tc>
          <w:tcPr>
            <w:tcW w:type="dxa" w:w="3120"/>
          </w:tcPr>
          <w:p>
            <w:pPr>
              <w:spacing w:after="40"/>
            </w:pPr>
            <w:r/>
            <w:r>
              <w:rPr>
                <w:b/>
                <w:sz w:val="18"/>
              </w:rPr>
              <w:t>flagged (&gt;10)</w:t>
            </w:r>
          </w:p>
        </w:tc>
      </w:tr>
      <w:tr>
        <w:tc>
          <w:tcPr>
            <w:tcW w:type="dxa" w:w="3120"/>
          </w:tcPr>
          <w:p>
            <w:pPr>
              <w:spacing w:after="40"/>
            </w:pPr>
            <w:r/>
            <w:r>
              <w:rPr>
                <w:sz w:val="18"/>
              </w:rPr>
              <w:t>vol_primary</w:t>
            </w:r>
          </w:p>
        </w:tc>
        <w:tc>
          <w:tcPr>
            <w:tcW w:type="dxa" w:w="3120"/>
          </w:tcPr>
          <w:p>
            <w:pPr>
              <w:spacing w:after="40"/>
            </w:pPr>
            <w:r/>
            <w:r>
              <w:rPr>
                <w:sz w:val="18"/>
              </w:rPr>
              <w:t>128.3</w:t>
            </w:r>
          </w:p>
        </w:tc>
        <w:tc>
          <w:tcPr>
            <w:tcW w:type="dxa" w:w="3120"/>
          </w:tcPr>
          <w:p>
            <w:pPr>
              <w:spacing w:after="40"/>
            </w:pPr>
            <w:r/>
            <w:r>
              <w:rPr>
                <w:sz w:val="18"/>
              </w:rPr>
              <w:t>yes</w:t>
            </w:r>
          </w:p>
        </w:tc>
      </w:tr>
      <w:tr>
        <w:tc>
          <w:tcPr>
            <w:tcW w:type="dxa" w:w="3120"/>
          </w:tcPr>
          <w:p>
            <w:pPr>
              <w:spacing w:after="40"/>
            </w:pPr>
            <w:r/>
            <w:r>
              <w:rPr>
                <w:sz w:val="18"/>
              </w:rPr>
              <w:t>vol_secondary</w:t>
            </w:r>
          </w:p>
        </w:tc>
        <w:tc>
          <w:tcPr>
            <w:tcW w:type="dxa" w:w="3120"/>
          </w:tcPr>
          <w:p>
            <w:pPr>
              <w:spacing w:after="40"/>
            </w:pPr>
            <w:r/>
            <w:r>
              <w:rPr>
                <w:sz w:val="18"/>
              </w:rPr>
              <w:t>113.6</w:t>
            </w:r>
          </w:p>
        </w:tc>
        <w:tc>
          <w:tcPr>
            <w:tcW w:type="dxa" w:w="3120"/>
          </w:tcPr>
          <w:p>
            <w:pPr>
              <w:spacing w:after="40"/>
            </w:pPr>
            <w:r/>
            <w:r>
              <w:rPr>
                <w:sz w:val="18"/>
              </w:rPr>
              <w:t>yes</w:t>
            </w:r>
          </w:p>
        </w:tc>
      </w:tr>
      <w:tr>
        <w:tc>
          <w:tcPr>
            <w:tcW w:type="dxa" w:w="3120"/>
          </w:tcPr>
          <w:p>
            <w:pPr>
              <w:spacing w:after="40"/>
            </w:pPr>
            <w:r/>
            <w:r>
              <w:rPr>
                <w:sz w:val="18"/>
              </w:rPr>
              <w:t>vol_total</w:t>
            </w:r>
          </w:p>
        </w:tc>
        <w:tc>
          <w:tcPr>
            <w:tcW w:type="dxa" w:w="3120"/>
          </w:tcPr>
          <w:p>
            <w:pPr>
              <w:spacing w:after="40"/>
            </w:pPr>
            <w:r/>
            <w:r>
              <w:rPr>
                <w:sz w:val="18"/>
              </w:rPr>
              <w:t>136.3</w:t>
            </w:r>
          </w:p>
        </w:tc>
        <w:tc>
          <w:tcPr>
            <w:tcW w:type="dxa" w:w="3120"/>
          </w:tcPr>
          <w:p>
            <w:pPr>
              <w:spacing w:after="40"/>
            </w:pPr>
            <w:r/>
            <w:r>
              <w:rPr>
                <w:sz w:val="18"/>
              </w:rPr>
              <w:t>yes</w:t>
            </w:r>
          </w:p>
        </w:tc>
      </w:tr>
      <w:tr>
        <w:tc>
          <w:tcPr>
            <w:tcW w:type="dxa" w:w="3120"/>
          </w:tcPr>
          <w:p>
            <w:pPr>
              <w:spacing w:after="40"/>
            </w:pPr>
            <w:r/>
            <w:r>
              <w:rPr>
                <w:sz w:val="18"/>
              </w:rPr>
              <w:t>rand_entropy</w:t>
            </w:r>
          </w:p>
        </w:tc>
        <w:tc>
          <w:tcPr>
            <w:tcW w:type="dxa" w:w="3120"/>
          </w:tcPr>
          <w:p>
            <w:pPr>
              <w:spacing w:after="40"/>
            </w:pPr>
            <w:r/>
            <w:r>
              <w:rPr>
                <w:sz w:val="18"/>
              </w:rPr>
              <w:t>2.33</w:t>
            </w:r>
          </w:p>
        </w:tc>
        <w:tc>
          <w:tcPr>
            <w:tcW w:type="dxa" w:w="3120"/>
          </w:tcPr>
          <w:p>
            <w:pPr>
              <w:spacing w:after="40"/>
            </w:pPr>
            <w:r/>
            <w:r>
              <w:rPr>
                <w:sz w:val="18"/>
              </w:rPr>
              <w:t>no</w:t>
            </w:r>
          </w:p>
        </w:tc>
      </w:tr>
      <w:tr>
        <w:tc>
          <w:tcPr>
            <w:tcW w:type="dxa" w:w="3120"/>
          </w:tcPr>
          <w:p>
            <w:pPr>
              <w:spacing w:after="40"/>
            </w:pPr>
            <w:r/>
            <w:r>
              <w:rPr>
                <w:sz w:val="18"/>
              </w:rPr>
              <w:t>rand_dispersion</w:t>
            </w:r>
          </w:p>
        </w:tc>
        <w:tc>
          <w:tcPr>
            <w:tcW w:type="dxa" w:w="3120"/>
          </w:tcPr>
          <w:p>
            <w:pPr>
              <w:spacing w:after="40"/>
            </w:pPr>
            <w:r/>
            <w:r>
              <w:rPr>
                <w:sz w:val="18"/>
              </w:rPr>
              <w:t>14.4</w:t>
            </w:r>
          </w:p>
        </w:tc>
        <w:tc>
          <w:tcPr>
            <w:tcW w:type="dxa" w:w="3120"/>
          </w:tcPr>
          <w:p>
            <w:pPr>
              <w:spacing w:after="40"/>
            </w:pPr>
            <w:r/>
            <w:r>
              <w:rPr>
                <w:sz w:val="18"/>
              </w:rPr>
              <w:t>yes</w:t>
            </w:r>
          </w:p>
        </w:tc>
      </w:tr>
      <w:tr>
        <w:tc>
          <w:tcPr>
            <w:tcW w:type="dxa" w:w="3120"/>
          </w:tcPr>
          <w:p>
            <w:pPr>
              <w:spacing w:after="40"/>
            </w:pPr>
            <w:r/>
            <w:r>
              <w:rPr>
                <w:sz w:val="18"/>
              </w:rPr>
              <w:t>struct_segments</w:t>
            </w:r>
          </w:p>
        </w:tc>
        <w:tc>
          <w:tcPr>
            <w:tcW w:type="dxa" w:w="3120"/>
          </w:tcPr>
          <w:p>
            <w:pPr>
              <w:spacing w:after="40"/>
            </w:pPr>
            <w:r/>
            <w:r>
              <w:rPr>
                <w:sz w:val="18"/>
              </w:rPr>
              <w:t>100.5</w:t>
            </w:r>
          </w:p>
        </w:tc>
        <w:tc>
          <w:tcPr>
            <w:tcW w:type="dxa" w:w="3120"/>
          </w:tcPr>
          <w:p>
            <w:pPr>
              <w:spacing w:after="40"/>
            </w:pPr>
            <w:r/>
            <w:r>
              <w:rPr>
                <w:sz w:val="18"/>
              </w:rPr>
              <w:t>yes</w:t>
            </w:r>
          </w:p>
        </w:tc>
      </w:tr>
      <w:tr>
        <w:tc>
          <w:tcPr>
            <w:tcW w:type="dxa" w:w="3120"/>
          </w:tcPr>
          <w:p>
            <w:pPr>
              <w:spacing w:after="40"/>
            </w:pPr>
            <w:r/>
            <w:r>
              <w:rPr>
                <w:sz w:val="18"/>
              </w:rPr>
              <w:t>struct_max_segment</w:t>
            </w:r>
          </w:p>
        </w:tc>
        <w:tc>
          <w:tcPr>
            <w:tcW w:type="dxa" w:w="3120"/>
          </w:tcPr>
          <w:p>
            <w:pPr>
              <w:spacing w:after="40"/>
            </w:pPr>
            <w:r/>
            <w:r>
              <w:rPr>
                <w:sz w:val="18"/>
              </w:rPr>
              <w:t>168.0</w:t>
            </w:r>
          </w:p>
        </w:tc>
        <w:tc>
          <w:tcPr>
            <w:tcW w:type="dxa" w:w="3120"/>
          </w:tcPr>
          <w:p>
            <w:pPr>
              <w:spacing w:after="40"/>
            </w:pPr>
            <w:r/>
            <w:r>
              <w:rPr>
                <w:sz w:val="18"/>
              </w:rPr>
              <w:t>yes</w:t>
            </w:r>
          </w:p>
        </w:tc>
      </w:tr>
      <w:tr>
        <w:tc>
          <w:tcPr>
            <w:tcW w:type="dxa" w:w="3120"/>
          </w:tcPr>
          <w:p>
            <w:pPr>
              <w:spacing w:after="40"/>
            </w:pPr>
            <w:r/>
            <w:r>
              <w:rPr>
                <w:sz w:val="18"/>
              </w:rPr>
              <w:t>4 B_ONLY columns</w:t>
            </w:r>
          </w:p>
        </w:tc>
        <w:tc>
          <w:tcPr>
            <w:tcW w:type="dxa" w:w="3120"/>
          </w:tcPr>
          <w:p>
            <w:pPr>
              <w:spacing w:after="40"/>
            </w:pPr>
            <w:r/>
            <w:r>
              <w:rPr>
                <w:sz w:val="18"/>
              </w:rPr>
              <w:t>undefined (all-NaN)</w:t>
            </w:r>
          </w:p>
        </w:tc>
        <w:tc>
          <w:tcPr>
            <w:tcW w:type="dxa" w:w="3120"/>
          </w:tcPr>
          <w:p>
            <w:pPr>
              <w:spacing w:after="40"/>
            </w:pPr>
            <w:r/>
            <w:r>
              <w:rPr>
                <w:sz w:val="18"/>
              </w:rPr>
              <w:t>—</w:t>
            </w:r>
          </w:p>
        </w:tc>
      </w:tr>
    </w:tbl>
    <w:p>
      <w:pPr>
        <w:spacing w:after="80"/>
      </w:pPr>
    </w:p>
    <w:p>
      <w:r>
        <w:rPr>
          <w:b/>
        </w:rPr>
        <w:t>6 of 7 testable columns are heavily collinear</w:t>
      </w:r>
      <w:r>
        <w:t xml:space="preserve"> (VIF ≫ 10) — nearly all of F1 (volume) and F3 (structure) are redundant with each other, consistent with Chapter 3's flagged correlation pairs (</w:t>
      </w:r>
      <w:r>
        <w:rPr>
          <w:rFonts w:ascii="Consolas" w:hAnsi="Consolas"/>
          <w:sz w:val="20"/>
        </w:rPr>
        <w:t>vol_secondary</w:t>
      </w:r>
      <w:r>
        <w:t xml:space="preserve"> ↔ </w:t>
      </w:r>
      <w:r>
        <w:rPr>
          <w:rFonts w:ascii="Consolas" w:hAnsi="Consolas"/>
          <w:sz w:val="20"/>
        </w:rPr>
        <w:t>struct_segments</w:t>
      </w:r>
      <w:r>
        <w:t xml:space="preserve">, </w:t>
      </w:r>
      <w:r>
        <w:rPr>
          <w:rFonts w:ascii="Consolas" w:hAnsi="Consolas"/>
          <w:sz w:val="20"/>
        </w:rPr>
        <w:t>rand_dispersion</w:t>
      </w:r>
      <w:r>
        <w:t xml:space="preserve"> ↔ </w:t>
      </w:r>
      <w:r>
        <w:rPr>
          <w:rFonts w:ascii="Consolas" w:hAnsi="Consolas"/>
          <w:sz w:val="20"/>
        </w:rPr>
        <w:t>struct_segments</w:t>
      </w:r>
      <w:r>
        <w:t xml:space="preserve">). </w:t>
      </w:r>
      <w:r>
        <w:rPr>
          <w:b/>
        </w:rPr>
        <w:t>Not acted on for XGBoost</w:t>
      </w:r>
      <w:r>
        <w:t xml:space="preserve"> — tree splits are robust to collinearity, consistent with the model still using several of these redundant columns productively in §4.1's gain ranking — but flagged explicitly for Chapter 6's CNN/Autoencoder discussion, where dense/convolutional inputs are more sensitive to redundant features than tree splits are.</w:t>
      </w:r>
    </w:p>
    <w:p>
      <w:r>
        <w:rPr>
          <w:rFonts w:ascii="Consolas" w:hAnsi="Consolas"/>
          <w:sz w:val="20"/>
        </w:rPr>
        <w:t>rand_entropy</w:t>
      </w:r>
      <w:r>
        <w:t xml:space="preserve"> has the </w:t>
      </w:r>
      <w:r>
        <w:rPr>
          <w:b/>
        </w:rPr>
        <w:t>lowest</w:t>
      </w:r>
      <w:r>
        <w:t xml:space="preserve"> VIF of all 7 columns (2.33) — the least redundant feature in the set — which sharpens rather than contradicts its near-zero gain importance in §4.1: it isn't being crowded out by a correlated feature, it genuinely carries little independent signal on this dataset (corroborated a third way by Chapter 3's "negligible" Cliff's delta for the same column).</w:t>
      </w:r>
    </w:p>
    <w:p>
      <w:r>
        <w:rPr>
          <w:b/>
        </w:rPr>
        <w:t>Dataset B</w:t>
      </w:r>
      <w:r>
        <w:t xml:space="preserve">: </w:t>
      </w:r>
      <w:r>
        <w:rPr>
          <w:b/>
        </w:rPr>
        <w:t>PENDING</w:t>
      </w:r>
      <w:r>
        <w:t xml:space="preserve"> — not run.</w:t>
      </w:r>
    </w:p>
    <w:p>
      <w:pPr>
        <w:pStyle w:val="Heading2"/>
      </w:pPr>
      <w:r>
        <w:t>4.5 Discrepancy analysis — the three rubric questions, answered per surprise (Dataset A)</w:t>
      </w:r>
    </w:p>
    <w:p>
      <w:r>
        <w:rPr>
          <w:b/>
        </w:rPr>
        <w:t>1. Did the algorithm agree with our intuition as security analysts?</w:t>
      </w:r>
      <w:r>
        <w:t xml:space="preserve"> Partially. Volume and encoding-randomness (</w:t>
      </w:r>
      <w:r>
        <w:rPr>
          <w:rFonts w:ascii="Consolas" w:hAnsi="Consolas"/>
          <w:sz w:val="20"/>
        </w:rPr>
        <w:t>vol_total</w:t>
      </w:r>
      <w:r>
        <w:t xml:space="preserve">, </w:t>
      </w:r>
      <w:r>
        <w:rPr>
          <w:rFonts w:ascii="Consolas" w:hAnsi="Consolas"/>
          <w:sz w:val="20"/>
        </w:rPr>
        <w:t>rand_dispersion</w:t>
      </w:r>
      <w:r>
        <w:t xml:space="preserve">) jointly dominating gain (~79% combined) matches the prior that payload volume and randomness are the primary exfiltration signals. It did </w:t>
      </w:r>
      <w:r>
        <w:rPr>
          <w:b/>
        </w:rPr>
        <w:t>not</w:t>
      </w:r>
      <w:r>
        <w:t xml:space="preserve"> expect the specific, classically-cited entropy feature (</w:t>
      </w:r>
      <w:r>
        <w:rPr>
          <w:rFonts w:ascii="Consolas" w:hAnsi="Consolas"/>
          <w:sz w:val="20"/>
        </w:rPr>
        <w:t>rand_entropy</w:t>
      </w:r>
      <w:r>
        <w:t>) to rank last among testable features (0.55% of gain).</w:t>
      </w:r>
    </w:p>
    <w:p>
      <w:r>
        <w:rPr>
          <w:b/>
        </w:rPr>
        <w:t>2–3. What surprised us, and is each surprise leakage / multicollinearity / a genuine latent pattern?</w:t>
      </w:r>
      <w:r>
        <w:t xml:space="preserve"> Answered per surprise, not in general, because the three surprises below have three different causes: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Surprise</w:t>
            </w:r>
          </w:p>
        </w:tc>
        <w:tc>
          <w:tcPr>
            <w:tcW w:type="dxa" w:w="3120"/>
          </w:tcPr>
          <w:p>
            <w:pPr>
              <w:spacing w:after="40"/>
            </w:pPr>
            <w:r/>
            <w:r>
              <w:rPr>
                <w:b/>
                <w:sz w:val="18"/>
              </w:rPr>
              <w:t>Classification</w:t>
            </w:r>
          </w:p>
        </w:tc>
        <w:tc>
          <w:tcPr>
            <w:tcW w:type="dxa" w:w="3120"/>
          </w:tcPr>
          <w:p>
            <w:pPr>
              <w:spacing w:after="40"/>
            </w:pPr>
            <w:r/>
            <w:r>
              <w:rPr>
                <w:b/>
                <w:sz w:val="18"/>
              </w:rPr>
              <w:t>Evidence</w:t>
            </w:r>
          </w:p>
        </w:tc>
      </w:tr>
      <w:tr>
        <w:tc>
          <w:tcPr>
            <w:tcW w:type="dxa" w:w="3120"/>
          </w:tcPr>
          <w:p>
            <w:pPr>
              <w:spacing w:after="40"/>
            </w:pPr>
            <w:r/>
            <w:r>
              <w:rPr>
                <w:rFonts w:ascii="Consolas" w:hAnsi="Consolas"/>
                <w:sz w:val="18"/>
              </w:rPr>
              <w:t>rand_entropy</w:t>
            </w:r>
            <w:r>
              <w:rPr>
                <w:sz w:val="18"/>
              </w:rPr>
              <w:t>'s near-zero importance</w:t>
            </w:r>
          </w:p>
        </w:tc>
        <w:tc>
          <w:tcPr>
            <w:tcW w:type="dxa" w:w="3120"/>
          </w:tcPr>
          <w:p>
            <w:pPr>
              <w:spacing w:after="40"/>
            </w:pPr>
            <w:r/>
            <w:r>
              <w:rPr>
                <w:b/>
                <w:sz w:val="18"/>
              </w:rPr>
              <w:t>Genuine latent pattern</w:t>
            </w:r>
          </w:p>
        </w:tc>
        <w:tc>
          <w:tcPr>
            <w:tcW w:type="dxa" w:w="3120"/>
          </w:tcPr>
          <w:p>
            <w:pPr>
              <w:spacing w:after="40"/>
            </w:pPr>
            <w:r/>
            <w:r>
              <w:rPr>
                <w:sz w:val="18"/>
              </w:rPr>
              <w:t xml:space="preserve">VIF = 2.33, the </w:t>
            </w:r>
            <w:r>
              <w:rPr>
                <w:sz w:val="18"/>
              </w:rPr>
              <w:t>*lowest*</w:t>
            </w:r>
            <w:r>
              <w:rPr>
                <w:sz w:val="18"/>
              </w:rPr>
              <w:t xml:space="preserve"> of all 7 (rules out multicollinearity as the cause); Cliff's δ = −0.125, "negligible" (Chapter 3, independently corroborates via a completely different method)</w:t>
            </w:r>
          </w:p>
        </w:tc>
      </w:tr>
      <w:tr>
        <w:tc>
          <w:tcPr>
            <w:tcW w:type="dxa" w:w="3120"/>
          </w:tcPr>
          <w:p>
            <w:pPr>
              <w:spacing w:after="40"/>
            </w:pPr>
            <w:r/>
            <w:r>
              <w:rPr>
                <w:rFonts w:ascii="Consolas" w:hAnsi="Consolas"/>
                <w:sz w:val="18"/>
              </w:rPr>
              <w:t>sld</w:t>
            </w:r>
            <w:r>
              <w:rPr>
                <w:sz w:val="18"/>
              </w:rPr>
              <w:t xml:space="preserve"> dominates importance but barely moves the score</w:t>
            </w:r>
          </w:p>
        </w:tc>
        <w:tc>
          <w:tcPr>
            <w:tcW w:type="dxa" w:w="3120"/>
          </w:tcPr>
          <w:p>
            <w:pPr>
              <w:spacing w:after="40"/>
            </w:pPr>
            <w:r/>
            <w:r>
              <w:rPr>
                <w:b/>
                <w:sz w:val="18"/>
              </w:rPr>
              <w:t>Neither straightforward leakage-as-predicted nor multicollinearity</w:t>
            </w:r>
            <w:r>
              <w:rPr>
                <w:sz w:val="18"/>
              </w:rPr>
              <w:t xml:space="preserve"> — a refinement of the leakage finding itself</w:t>
            </w:r>
          </w:p>
        </w:tc>
        <w:tc>
          <w:tcPr>
            <w:tcW w:type="dxa" w:w="3120"/>
          </w:tcPr>
          <w:p>
            <w:pPr>
              <w:spacing w:after="40"/>
            </w:pPr>
            <w:r/>
            <w:r>
              <w:rPr>
                <w:sz w:val="18"/>
              </w:rPr>
              <w:t xml:space="preserve">Class-overlap analysis: 30 of 33 attack </w:t>
            </w:r>
            <w:r>
              <w:rPr>
                <w:rFonts w:ascii="Consolas" w:hAnsi="Consolas"/>
                <w:sz w:val="18"/>
              </w:rPr>
              <w:t>sld</w:t>
            </w:r>
            <w:r>
              <w:rPr>
                <w:sz w:val="18"/>
              </w:rPr>
              <w:t xml:space="preserve"> values also appear in benign traffic (§4.2)</w:t>
            </w:r>
          </w:p>
        </w:tc>
      </w:tr>
      <w:tr>
        <w:tc>
          <w:tcPr>
            <w:tcW w:type="dxa" w:w="3120"/>
          </w:tcPr>
          <w:p>
            <w:pPr>
              <w:spacing w:after="40"/>
            </w:pPr>
            <w:r/>
            <w:r>
              <w:rPr>
                <w:sz w:val="18"/>
              </w:rPr>
              <w:t>Near-universal high VIF across F1/F3</w:t>
            </w:r>
          </w:p>
        </w:tc>
        <w:tc>
          <w:tcPr>
            <w:tcW w:type="dxa" w:w="3120"/>
          </w:tcPr>
          <w:p>
            <w:pPr>
              <w:spacing w:after="40"/>
            </w:pPr>
            <w:r/>
            <w:r>
              <w:rPr>
                <w:b/>
                <w:sz w:val="18"/>
              </w:rPr>
              <w:t>Multicollinearity</w:t>
            </w:r>
            <w:r>
              <w:rPr>
                <w:sz w:val="18"/>
              </w:rPr>
              <w:t>, confirmed directly</w:t>
            </w:r>
          </w:p>
        </w:tc>
        <w:tc>
          <w:tcPr>
            <w:tcW w:type="dxa" w:w="3120"/>
          </w:tcPr>
          <w:p>
            <w:pPr>
              <w:spacing w:after="40"/>
            </w:pPr>
            <w:r/>
            <w:r>
              <w:rPr>
                <w:sz w:val="18"/>
              </w:rPr>
              <w:t>Consistent with Chapter 3's correlation heatmap; larger in scope than the plan predicted, not different in kind</w:t>
            </w:r>
          </w:p>
        </w:tc>
      </w:tr>
    </w:tbl>
    <w:p>
      <w:pPr>
        <w:spacing w:after="80"/>
      </w:pPr>
    </w:p>
    <w:p>
      <w:r>
        <w:t xml:space="preserve">Two independent methods (univariate effect size in Chapter 3, multivariate gain importance here) agree that </w:t>
      </w:r>
      <w:r>
        <w:rPr>
          <w:rFonts w:ascii="Consolas" w:hAnsi="Consolas"/>
          <w:sz w:val="20"/>
        </w:rPr>
        <w:t>rand_entropy</w:t>
      </w:r>
      <w:r>
        <w:t xml:space="preserve"> underperforms its security-literature reputation on this specific dataset — a finding worth stating plainly in Chapter 8's benchmark comparison (Chapter 8.3) rather than treating as an implementation quirk.</w:t>
      </w:r>
    </w:p>
    <w:p>
      <w:pPr>
        <w:pStyle w:val="Heading2"/>
      </w:pPr>
      <w:r>
        <w:t>4.6 What's still open</w:t>
      </w:r>
    </w:p>
    <w:p>
      <w:pPr>
        <w:pStyle w:val="ListBullet"/>
      </w:pPr>
      <w:r>
        <w:t xml:space="preserve">Dataset B's </w:t>
      </w:r>
      <w:r>
        <w:rPr>
          <w:rFonts w:ascii="Consolas" w:hAnsi="Consolas"/>
          <w:sz w:val="20"/>
        </w:rPr>
        <w:t>SourceIP</w:t>
      </w:r>
      <w:r>
        <w:t xml:space="preserve"> leakage demo (§4.3) and VIF table (§4.4) — pending Teammate B's local run;</w:t>
      </w:r>
    </w:p>
    <w:p>
      <w:r>
        <w:t xml:space="preserve">  code is dataset-agnostic and ready.</w:t>
      </w:r>
    </w:p>
    <w:p>
      <w:pPr>
        <w:pStyle w:val="ListBullet"/>
      </w:pPr>
      <w:r>
        <w:t>Once §4.3 lands, §4.5's discrepancy table should be extended with a fourth row comparing the two</w:t>
      </w:r>
    </w:p>
    <w:p>
      <w:r>
        <w:t xml:space="preserve">  datasets' leakage mechanisms directly (exclusive identifier vs. partial-overlap identifier) — that   comparison is likely to be a stronger Chapter 4 closer than either demo alone, matching Chapter 2's   observation that this project's data-driven findings tend to be strongest when two independent methods   or datasets corroborate (or productively disagree with) each other.</w:t>
      </w:r>
    </w:p>
    <w:p>
      <w:r>
        <w:br w:type="page"/>
      </w:r>
    </w:p>
    <w:p>
      <w:pPr>
        <w:pStyle w:val="Heading1"/>
      </w:pPr>
      <w:r>
        <w:t>Chapter 5 — Harmonisation Across the Encryption Boundary</w:t>
      </w:r>
    </w:p>
    <w:p>
      <w:pPr>
        <w:pStyle w:val="Heading2"/>
      </w:pPr>
      <w:r>
        <w:t>5.1 Unified schema specification</w:t>
      </w:r>
    </w:p>
    <w:p>
      <w:r>
        <w:t>Every loader (</w:t>
      </w:r>
      <w:r>
        <w:rPr>
          <w:rFonts w:ascii="Consolas" w:hAnsi="Consolas"/>
          <w:sz w:val="20"/>
        </w:rPr>
        <w:t>ingestion/exf2021.py</w:t>
      </w:r>
      <w:r>
        <w:t xml:space="preserve">, </w:t>
      </w:r>
      <w:r>
        <w:rPr>
          <w:rFonts w:ascii="Consolas" w:hAnsi="Consolas"/>
          <w:sz w:val="20"/>
        </w:rPr>
        <w:t>ingestion/dohbrw2020.py</w:t>
      </w:r>
      <w:r>
        <w:t>) emits the same 11 columns, in the same order, grouped into five behavioural families (</w:t>
      </w:r>
      <w:r>
        <w:rPr>
          <w:rFonts w:ascii="Consolas" w:hAnsi="Consolas"/>
          <w:sz w:val="20"/>
        </w:rPr>
        <w:t>schema/unified.py</w:t>
      </w:r>
      <w:r>
        <w:t>). Column order matters beyond readability: the 1D-CNN's receptive field (Chapter 6.1) is only meaningful because related features sit physically adjacent in the vector.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b/>
                <w:sz w:val="18"/>
              </w:rPr>
              <w:t>Family</w:t>
            </w:r>
          </w:p>
        </w:tc>
        <w:tc>
          <w:tcPr>
            <w:tcW w:type="dxa" w:w="2340"/>
          </w:tcPr>
          <w:p>
            <w:pPr>
              <w:spacing w:after="40"/>
            </w:pPr>
            <w:r/>
            <w:r>
              <w:rPr>
                <w:b/>
                <w:sz w:val="18"/>
              </w:rPr>
              <w:t>Columns</w:t>
            </w:r>
          </w:p>
        </w:tc>
        <w:tc>
          <w:tcPr>
            <w:tcW w:type="dxa" w:w="2340"/>
          </w:tcPr>
          <w:p>
            <w:pPr>
              <w:spacing w:after="40"/>
            </w:pPr>
            <w:r/>
            <w:r>
              <w:rPr>
                <w:b/>
                <w:sz w:val="18"/>
              </w:rPr>
              <w:t>Role</w:t>
            </w:r>
          </w:p>
        </w:tc>
        <w:tc>
          <w:tcPr>
            <w:tcW w:type="dxa" w:w="2340"/>
          </w:tcPr>
          <w:p>
            <w:pPr>
              <w:spacing w:after="40"/>
            </w:pPr>
            <w:r/>
            <w:r>
              <w:rPr>
                <w:b/>
                <w:sz w:val="18"/>
              </w:rPr>
              <w:t>Security meaning</w:t>
            </w:r>
          </w:p>
        </w:tc>
      </w:tr>
      <w:tr>
        <w:tc>
          <w:tcPr>
            <w:tcW w:type="dxa" w:w="2340"/>
          </w:tcPr>
          <w:p>
            <w:pPr>
              <w:spacing w:after="40"/>
            </w:pPr>
            <w:r/>
            <w:r>
              <w:rPr>
                <w:b/>
                <w:sz w:val="18"/>
              </w:rPr>
              <w:t>F1</w:t>
            </w:r>
            <w:r>
              <w:rPr>
                <w:sz w:val="18"/>
              </w:rPr>
              <w:t xml:space="preserve"> Payload volume</w:t>
            </w:r>
          </w:p>
        </w:tc>
        <w:tc>
          <w:tcPr>
            <w:tcW w:type="dxa" w:w="2340"/>
          </w:tcPr>
          <w:p>
            <w:pPr>
              <w:spacing w:after="40"/>
            </w:pPr>
            <w:r/>
            <w:r>
              <w:rPr>
                <w:rFonts w:ascii="Consolas" w:hAnsi="Consolas"/>
                <w:sz w:val="18"/>
              </w:rPr>
              <w:t>vol_primary</w:t>
            </w:r>
            <w:r>
              <w:rPr>
                <w:sz w:val="18"/>
              </w:rPr>
              <w:t xml:space="preserve">, </w:t>
            </w:r>
            <w:r>
              <w:rPr>
                <w:rFonts w:ascii="Consolas" w:hAnsi="Consolas"/>
                <w:sz w:val="18"/>
              </w:rPr>
              <w:t>vol_secondary</w:t>
            </w:r>
            <w:r>
              <w:rPr>
                <w:sz w:val="18"/>
              </w:rPr>
              <w:t xml:space="preserve">, </w:t>
            </w:r>
            <w:r>
              <w:rPr>
                <w:rFonts w:ascii="Consolas" w:hAnsi="Consolas"/>
                <w:sz w:val="18"/>
              </w:rPr>
              <w:t>vol_total</w:t>
            </w:r>
          </w:p>
        </w:tc>
        <w:tc>
          <w:tcPr>
            <w:tcW w:type="dxa" w:w="2340"/>
          </w:tcPr>
          <w:p>
            <w:pPr>
              <w:spacing w:after="40"/>
            </w:pPr>
            <w:r/>
            <w:r>
              <w:rPr>
                <w:sz w:val="18"/>
              </w:rPr>
              <w:t>INTERSECTION</w:t>
            </w:r>
          </w:p>
        </w:tc>
        <w:tc>
          <w:tcPr>
            <w:tcW w:type="dxa" w:w="2340"/>
          </w:tcPr>
          <w:p>
            <w:pPr>
              <w:spacing w:after="40"/>
            </w:pPr>
            <w:r/>
            <w:r>
              <w:rPr>
                <w:sz w:val="18"/>
              </w:rPr>
              <w:t>Data volume moving through a channel that should only carry small lookups — exfiltration must push more bytes per unit than normal traffic.</w:t>
            </w:r>
          </w:p>
        </w:tc>
      </w:tr>
      <w:tr>
        <w:tc>
          <w:tcPr>
            <w:tcW w:type="dxa" w:w="2340"/>
          </w:tcPr>
          <w:p>
            <w:pPr>
              <w:spacing w:after="40"/>
            </w:pPr>
            <w:r/>
            <w:r>
              <w:rPr>
                <w:b/>
                <w:sz w:val="18"/>
              </w:rPr>
              <w:t>F2</w:t>
            </w:r>
            <w:r>
              <w:rPr>
                <w:sz w:val="18"/>
              </w:rPr>
              <w:t xml:space="preserve"> Encoding randomness</w:t>
            </w:r>
          </w:p>
        </w:tc>
        <w:tc>
          <w:tcPr>
            <w:tcW w:type="dxa" w:w="2340"/>
          </w:tcPr>
          <w:p>
            <w:pPr>
              <w:spacing w:after="40"/>
            </w:pPr>
            <w:r/>
            <w:r>
              <w:rPr>
                <w:rFonts w:ascii="Consolas" w:hAnsi="Consolas"/>
                <w:sz w:val="18"/>
              </w:rPr>
              <w:t>rand_entropy</w:t>
            </w:r>
            <w:r>
              <w:rPr>
                <w:sz w:val="18"/>
              </w:rPr>
              <w:t xml:space="preserve">, </w:t>
            </w:r>
            <w:r>
              <w:rPr>
                <w:rFonts w:ascii="Consolas" w:hAnsi="Consolas"/>
                <w:sz w:val="18"/>
              </w:rPr>
              <w:t>rand_dispersion</w:t>
            </w:r>
          </w:p>
        </w:tc>
        <w:tc>
          <w:tcPr>
            <w:tcW w:type="dxa" w:w="2340"/>
          </w:tcPr>
          <w:p>
            <w:pPr>
              <w:spacing w:after="40"/>
            </w:pPr>
            <w:r/>
            <w:r>
              <w:rPr>
                <w:sz w:val="18"/>
              </w:rPr>
              <w:t>INTERSECTION</w:t>
            </w:r>
          </w:p>
        </w:tc>
        <w:tc>
          <w:tcPr>
            <w:tcW w:type="dxa" w:w="2340"/>
          </w:tcPr>
          <w:p>
            <w:pPr>
              <w:spacing w:after="40"/>
            </w:pPr>
            <w:r/>
            <w:r>
              <w:rPr>
                <w:sz w:val="18"/>
              </w:rPr>
              <w:t>Entropy signature of base64URL-encoded payload; encoded binary looks statistically random, legitimate hostnames do not.</w:t>
            </w:r>
          </w:p>
        </w:tc>
      </w:tr>
      <w:tr>
        <w:tc>
          <w:tcPr>
            <w:tcW w:type="dxa" w:w="2340"/>
          </w:tcPr>
          <w:p>
            <w:pPr>
              <w:spacing w:after="40"/>
            </w:pPr>
            <w:r/>
            <w:r>
              <w:rPr>
                <w:b/>
                <w:sz w:val="18"/>
              </w:rPr>
              <w:t>F3</w:t>
            </w:r>
            <w:r>
              <w:rPr>
                <w:sz w:val="18"/>
              </w:rPr>
              <w:t xml:space="preserve"> Structural complexity</w:t>
            </w:r>
          </w:p>
        </w:tc>
        <w:tc>
          <w:tcPr>
            <w:tcW w:type="dxa" w:w="2340"/>
          </w:tcPr>
          <w:p>
            <w:pPr>
              <w:spacing w:after="40"/>
            </w:pPr>
            <w:r/>
            <w:r>
              <w:rPr>
                <w:rFonts w:ascii="Consolas" w:hAnsi="Consolas"/>
                <w:sz w:val="18"/>
              </w:rPr>
              <w:t>struct_segments</w:t>
            </w:r>
            <w:r>
              <w:rPr>
                <w:sz w:val="18"/>
              </w:rPr>
              <w:t xml:space="preserve">, </w:t>
            </w:r>
            <w:r>
              <w:rPr>
                <w:rFonts w:ascii="Consolas" w:hAnsi="Consolas"/>
                <w:sz w:val="18"/>
              </w:rPr>
              <w:t>struct_max_segment</w:t>
            </w:r>
          </w:p>
        </w:tc>
        <w:tc>
          <w:tcPr>
            <w:tcW w:type="dxa" w:w="2340"/>
          </w:tcPr>
          <w:p>
            <w:pPr>
              <w:spacing w:after="40"/>
            </w:pPr>
            <w:r/>
            <w:r>
              <w:rPr>
                <w:sz w:val="18"/>
              </w:rPr>
              <w:t>INTERSECTION</w:t>
            </w:r>
          </w:p>
        </w:tc>
        <w:tc>
          <w:tcPr>
            <w:tcW w:type="dxa" w:w="2340"/>
          </w:tcPr>
          <w:p>
            <w:pPr>
              <w:spacing w:after="40"/>
            </w:pPr>
            <w:r/>
            <w:r>
              <w:rPr>
                <w:sz w:val="18"/>
              </w:rPr>
              <w:t>Carrier segmentation forced by DNS label-length limits (63 B/label, 253 B/FQDN); chunking a file into many labels produces structurally unusual names.</w:t>
            </w:r>
          </w:p>
        </w:tc>
      </w:tr>
      <w:tr>
        <w:tc>
          <w:tcPr>
            <w:tcW w:type="dxa" w:w="2340"/>
          </w:tcPr>
          <w:p>
            <w:pPr>
              <w:spacing w:after="40"/>
            </w:pPr>
            <w:r/>
            <w:r>
              <w:rPr>
                <w:b/>
                <w:sz w:val="18"/>
              </w:rPr>
              <w:t>F4</w:t>
            </w:r>
            <w:r>
              <w:rPr>
                <w:sz w:val="18"/>
              </w:rPr>
              <w:t xml:space="preserve"> Temporal rhythm</w:t>
            </w:r>
          </w:p>
        </w:tc>
        <w:tc>
          <w:tcPr>
            <w:tcW w:type="dxa" w:w="2340"/>
          </w:tcPr>
          <w:p>
            <w:pPr>
              <w:spacing w:after="40"/>
            </w:pPr>
            <w:r/>
            <w:r>
              <w:rPr>
                <w:rFonts w:ascii="Consolas" w:hAnsi="Consolas"/>
                <w:sz w:val="18"/>
              </w:rPr>
              <w:t>time_central</w:t>
            </w:r>
            <w:r>
              <w:rPr>
                <w:sz w:val="18"/>
              </w:rPr>
              <w:t xml:space="preserve">, </w:t>
            </w:r>
            <w:r>
              <w:rPr>
                <w:rFonts w:ascii="Consolas" w:hAnsi="Consolas"/>
                <w:sz w:val="18"/>
              </w:rPr>
              <w:t>time_dispersion</w:t>
            </w:r>
            <w:r>
              <w:rPr>
                <w:sz w:val="18"/>
              </w:rPr>
              <w:t xml:space="preserve">, </w:t>
            </w:r>
            <w:r>
              <w:rPr>
                <w:rFonts w:ascii="Consolas" w:hAnsi="Consolas"/>
                <w:sz w:val="18"/>
              </w:rPr>
              <w:t>time_skew</w:t>
            </w:r>
          </w:p>
        </w:tc>
        <w:tc>
          <w:tcPr>
            <w:tcW w:type="dxa" w:w="2340"/>
          </w:tcPr>
          <w:p>
            <w:pPr>
              <w:spacing w:after="40"/>
            </w:pPr>
            <w:r/>
            <w:r>
              <w:rPr>
                <w:sz w:val="18"/>
              </w:rPr>
              <w:t>B_ONLY</w:t>
            </w:r>
          </w:p>
        </w:tc>
        <w:tc>
          <w:tcPr>
            <w:tcW w:type="dxa" w:w="2340"/>
          </w:tcPr>
          <w:p>
            <w:pPr>
              <w:spacing w:after="40"/>
            </w:pPr>
            <w:r/>
            <w:r>
              <w:rPr>
                <w:sz w:val="18"/>
              </w:rPr>
              <w:t>Machine-paced vs. human-paced timing — automated exfiltration has regular inter-arrival timing.</w:t>
            </w:r>
          </w:p>
        </w:tc>
      </w:tr>
      <w:tr>
        <w:tc>
          <w:tcPr>
            <w:tcW w:type="dxa" w:w="2340"/>
          </w:tcPr>
          <w:p>
            <w:pPr>
              <w:spacing w:after="40"/>
            </w:pPr>
            <w:r/>
            <w:r>
              <w:rPr>
                <w:b/>
                <w:sz w:val="18"/>
              </w:rPr>
              <w:t>F5</w:t>
            </w:r>
            <w:r>
              <w:rPr>
                <w:sz w:val="18"/>
              </w:rPr>
              <w:t xml:space="preserve"> Endpoint dispersion</w:t>
            </w:r>
          </w:p>
        </w:tc>
        <w:tc>
          <w:tcPr>
            <w:tcW w:type="dxa" w:w="2340"/>
          </w:tcPr>
          <w:p>
            <w:pPr>
              <w:spacing w:after="40"/>
            </w:pPr>
            <w:r/>
            <w:r>
              <w:rPr>
                <w:rFonts w:ascii="Consolas" w:hAnsi="Consolas"/>
                <w:sz w:val="18"/>
              </w:rPr>
              <w:t>disp_uniqueness</w:t>
            </w:r>
          </w:p>
        </w:tc>
        <w:tc>
          <w:tcPr>
            <w:tcW w:type="dxa" w:w="2340"/>
          </w:tcPr>
          <w:p>
            <w:pPr>
              <w:spacing w:after="40"/>
            </w:pPr>
            <w:r/>
            <w:r>
              <w:rPr>
                <w:sz w:val="18"/>
              </w:rPr>
              <w:t>B_ONLY</w:t>
            </w:r>
          </w:p>
        </w:tc>
        <w:tc>
          <w:tcPr>
            <w:tcW w:type="dxa" w:w="2340"/>
          </w:tcPr>
          <w:p>
            <w:pPr>
              <w:spacing w:after="40"/>
            </w:pPr>
            <w:r/>
            <w:r>
              <w:rPr>
                <w:sz w:val="18"/>
              </w:rPr>
              <w:t>Fan-out and destination rarity — exfiltration channels concentrate traffic toward few attacker-controlled endpoints.</w:t>
            </w:r>
          </w:p>
        </w:tc>
      </w:tr>
    </w:tbl>
    <w:p>
      <w:pPr>
        <w:spacing w:after="80"/>
      </w:pPr>
    </w:p>
    <w:p>
      <w:r>
        <w:rPr>
          <w:b/>
        </w:rPr>
        <w:t>INTERSECTION vs. B_ONLY is a scientific claim, not an implementation detail.</w:t>
      </w:r>
      <w:r>
        <w:t xml:space="preserve"> Three families (F1–F3) have a genuine, if imperfect, counterpart on both sides of the encryption boundary. Two (F4–F5) exist only in Dataset B, because Dataset A is restricted to </w:t>
      </w:r>
      <w:r>
        <w:rPr>
          <w:i/>
        </w:rPr>
        <w:t>stateless</w:t>
      </w:r>
      <w:r>
        <w:t xml:space="preserve"> per-query features (decision D1) and therefore has no temporal or endpoint telemetry at all to draw on — not a gap we failed to fill, but a structural consequence of what a stateless DNS resolver log can observe versus what a full DoH flow capture can observe. </w:t>
      </w:r>
      <w:r>
        <w:rPr>
          <w:rFonts w:ascii="Consolas" w:hAnsi="Consolas"/>
          <w:sz w:val="20"/>
        </w:rPr>
        <w:t>COLUMN_SOURCE</w:t>
      </w:r>
      <w:r>
        <w:t xml:space="preserve"> (</w:t>
      </w:r>
      <w:r>
        <w:rPr>
          <w:rFonts w:ascii="Consolas" w:hAnsi="Consolas"/>
          <w:sz w:val="20"/>
        </w:rPr>
        <w:t>schema/unified.py</w:t>
      </w:r>
      <w:r>
        <w:t>) documents the exact per-dataset arithmetic behind every column, including that F2/F3's Dataset-B realisations (</w:t>
      </w:r>
      <w:r>
        <w:rPr>
          <w:rFonts w:ascii="Consolas" w:hAnsi="Consolas"/>
          <w:sz w:val="20"/>
        </w:rPr>
        <w:t>PacketLengthCoefficientofVariation</w:t>
      </w:r>
      <w:r>
        <w:t xml:space="preserve">, </w:t>
      </w:r>
      <w:r>
        <w:rPr>
          <w:rFonts w:ascii="Consolas" w:hAnsi="Consolas"/>
          <w:sz w:val="20"/>
        </w:rPr>
        <w:t>log1p(PacketLengthVariance)</w:t>
      </w:r>
      <w:r>
        <w:t xml:space="preserve">, </w:t>
      </w:r>
      <w:r>
        <w:rPr>
          <w:rFonts w:ascii="Consolas" w:hAnsi="Consolas"/>
          <w:sz w:val="20"/>
        </w:rPr>
        <w:t>PacketLengthMode</w:t>
      </w:r>
      <w:r>
        <w:t xml:space="preserve">, </w:t>
      </w:r>
      <w:r>
        <w:rPr>
          <w:rFonts w:ascii="Consolas" w:hAnsi="Consolas"/>
          <w:sz w:val="20"/>
        </w:rPr>
        <w:t>PacketLengthStandardDeviation</w:t>
      </w:r>
      <w:r>
        <w:t xml:space="preserve">) are </w:t>
      </w:r>
      <w:r>
        <w:rPr>
          <w:b/>
        </w:rPr>
        <w:t>statistical proxies for</w:t>
      </w:r>
      <w:r>
        <w:t>, not equivalents of, Dataset A's direct string-level entropy and label-count measures — a distinction that motivates the D3 ablation below.</w:t>
      </w:r>
    </w:p>
    <w:p>
      <w:pPr>
        <w:pStyle w:val="Heading2"/>
      </w:pPr>
      <w:r>
        <w:t>5.2 Cross-dataset transfer, ablation, and distribution shift</w:t>
      </w:r>
    </w:p>
    <w:p>
      <w:r>
        <w:rPr>
          <w:b/>
        </w:rPr>
        <w:t>Status (15 Aug 2026): run against real data, all four models, by Teammate A</w:t>
      </w:r>
      <w:r>
        <w:t xml:space="preserve"> — Teammate B built and unit-tested </w:t>
      </w:r>
      <w:r>
        <w:rPr>
          <w:rFonts w:ascii="Consolas" w:hAnsi="Consolas"/>
          <w:sz w:val="20"/>
        </w:rPr>
        <w:t>evaluation/cross_dataset.py</w:t>
      </w:r>
      <w:r>
        <w:t xml:space="preserve"> (11/11 passing on synthetic data) but could not run it for real, lacking Dataset A locally. Once Teammate B sent the three raw Dataset B CSVs (</w:t>
      </w:r>
      <w:r>
        <w:rPr>
          <w:rFonts w:ascii="Consolas" w:hAnsi="Consolas"/>
          <w:sz w:val="20"/>
        </w:rPr>
        <w:t>l2-benign.csv</w:t>
      </w:r>
      <w:r>
        <w:t xml:space="preserve">, </w:t>
      </w:r>
      <w:r>
        <w:rPr>
          <w:rFonts w:ascii="Consolas" w:hAnsi="Consolas"/>
          <w:sz w:val="20"/>
        </w:rPr>
        <w:t>l2-malicious.csv</w:t>
      </w:r>
      <w:r>
        <w:t xml:space="preserve">, </w:t>
      </w:r>
      <w:r>
        <w:rPr>
          <w:rFonts w:ascii="Consolas" w:hAnsi="Consolas"/>
          <w:sz w:val="20"/>
        </w:rPr>
        <w:t>l1-nondoh.csv</w:t>
      </w:r>
      <w:r>
        <w:t xml:space="preserve">), both datasets were available on Teammate A's machine and the module was run as designed, no code changes needed. Full numbers: </w:t>
      </w:r>
      <w:r>
        <w:rPr>
          <w:rFonts w:ascii="Consolas" w:hAnsi="Consolas"/>
          <w:sz w:val="20"/>
        </w:rPr>
        <w:t>runs/metrics/cross_dataset_transfer_matrix_ {model}.json</w:t>
      </w:r>
      <w:r>
        <w:t xml:space="preserve">, </w:t>
      </w:r>
      <w:r>
        <w:rPr>
          <w:rFonts w:ascii="Consolas" w:hAnsi="Consolas"/>
          <w:sz w:val="20"/>
        </w:rPr>
        <w:t>cross_dataset_ablation_{model}.json</w:t>
      </w:r>
      <w:r>
        <w:t xml:space="preserve">, </w:t>
      </w:r>
      <w:r>
        <w:rPr>
          <w:rFonts w:ascii="Consolas" w:hAnsi="Consolas"/>
          <w:sz w:val="20"/>
        </w:rPr>
        <w:t>cross_dataset_distribution_shift.json</w:t>
      </w:r>
      <w:r>
        <w:t>.</w:t>
      </w:r>
    </w:p>
    <w:p>
      <w:r>
        <w:rPr>
          <w:b/>
        </w:rPr>
        <w:t>Headline finding: transfer collapses to a trivial classifier in 7 of the 8 transfer cells tested, for every one of the four models.</w:t>
      </w:r>
      <w:r>
        <w:t xml:space="preserve"> This is not a per-model quirk — it recurs identically across XGBoost, Isolation Forest, the CNN, and the Autoencoder, four structurally unrelated architectures.</w:t>
      </w:r>
    </w:p>
    <w:p>
      <w:r>
        <w:t>The module itself implements exactly what the design calls for and is documented here so the eventual numbers slot into a pre-built frame rather than requiring restructuring:</w:t>
      </w:r>
    </w:p>
    <w:p>
      <w:pPr>
        <w:pStyle w:val="ListBullet"/>
      </w:pPr>
      <w:r>
        <w:rPr>
          <w:b/>
        </w:rPr>
        <w:t>Transfer matrix</w:t>
      </w:r>
      <w:r>
        <w:t xml:space="preserve"> (</w:t>
      </w:r>
      <w:r>
        <w:rPr>
          <w:rFonts w:ascii="Consolas" w:hAnsi="Consolas"/>
          <w:sz w:val="20"/>
        </w:rPr>
        <w:t>build_transfer_matrix</w:t>
      </w:r>
      <w:r>
        <w:t>): all four cells — train-A/test-A, train-B/test-B</w:t>
      </w:r>
    </w:p>
    <w:p>
      <w:r>
        <w:t xml:space="preserve">  (in-domain, via each model's own 5-fold CV), train-A/test-B, train-B/test-A (transfer, single   fit-on-source/score-on-target pass) — every cell restricted to </w:t>
      </w:r>
      <w:r>
        <w:rPr>
          <w:rFonts w:ascii="Consolas" w:hAnsi="Consolas"/>
          <w:sz w:val="20"/>
        </w:rPr>
        <w:t>mode="intersection"</w:t>
      </w:r>
      <w:r>
        <w:t xml:space="preserve"> (F1–F3, the only   columns both datasets share) so the four cells are directly comparable. The scaler is fit on the   </w:t>
      </w:r>
      <w:r>
        <w:rPr>
          <w:b/>
        </w:rPr>
        <w:t>training/source dataset only</w:t>
      </w:r>
      <w:r>
        <w:t xml:space="preserve"> and applied as-is to the target — the honest simulation of deploying   a model into a new environment rather than an oracle that has seen the target's own scale.</w:t>
      </w:r>
    </w:p>
    <w:p>
      <w:pPr>
        <w:pStyle w:val="ListBullet"/>
      </w:pPr>
      <w:r>
        <w:rPr>
          <w:b/>
        </w:rPr>
        <w:t>Ablation (D3)</w:t>
      </w:r>
      <w:r>
        <w:t xml:space="preserve"> (</w:t>
      </w:r>
      <w:r>
        <w:rPr>
          <w:rFonts w:ascii="Consolas" w:hAnsi="Consolas"/>
          <w:sz w:val="20"/>
        </w:rPr>
        <w:t>ablation_f1_only_vs_intersection</w:t>
      </w:r>
      <w:r>
        <w:t>): both transfer directions rerun with</w:t>
      </w:r>
    </w:p>
    <w:p>
      <w:r>
        <w:t xml:space="preserve">  </w:t>
      </w:r>
      <w:r>
        <w:rPr>
          <w:rFonts w:ascii="Consolas" w:hAnsi="Consolas"/>
          <w:sz w:val="20"/>
        </w:rPr>
        <w:t>families="F1_only"</w:t>
      </w:r>
      <w:r>
        <w:t xml:space="preserve"> against the already-computed </w:t>
      </w:r>
      <w:r>
        <w:rPr>
          <w:rFonts w:ascii="Consolas" w:hAnsi="Consolas"/>
          <w:sz w:val="20"/>
        </w:rPr>
        <w:t>families="intersection"</w:t>
      </w:r>
      <w:r>
        <w:t xml:space="preserve"> cells. The hypothesis   under test is that F1 (volume) means the same thing on both sides of the encryption boundary while   F2/F3 are lookalikes that should </w:t>
      </w:r>
      <w:r>
        <w:rPr>
          <w:i/>
        </w:rPr>
        <w:t>hurt</w:t>
      </w:r>
      <w:r>
        <w:t xml:space="preserve"> transfer — reported whichever way it actually comes out, not   forced to confirm the prediction.</w:t>
      </w:r>
    </w:p>
    <w:p>
      <w:pPr>
        <w:pStyle w:val="ListBullet"/>
      </w:pPr>
      <w:r>
        <w:rPr>
          <w:b/>
        </w:rPr>
        <w:t>Distribution shift</w:t>
      </w:r>
      <w:r>
        <w:t xml:space="preserve"> (</w:t>
      </w:r>
      <w:r>
        <w:rPr>
          <w:rFonts w:ascii="Consolas" w:hAnsi="Consolas"/>
          <w:sz w:val="20"/>
        </w:rPr>
        <w:t>distribution_shift</w:t>
      </w:r>
      <w:r>
        <w:t>): a Kolmogorov–Smirnov two-sample statistic per</w:t>
      </w:r>
    </w:p>
    <w:p>
      <w:r>
        <w:t xml:space="preserve">  intersection column, ranked descending, cross-checked against the ablation result — if the   worst-transferring features are also the ones with the largest KS distance, that is two independent   lines of evidence for the same conclusion.</w:t>
      </w:r>
    </w:p>
    <w:p>
      <w:pPr>
        <w:pStyle w:val="Heading3"/>
      </w:pPr>
      <w:r>
        <w:t>5.2.1 Transfer matrix — real results, all four models</w:t>
      </w:r>
    </w:p>
    <w:p>
      <w:r>
        <w:rPr>
          <w:rFonts w:ascii="Consolas" w:hAnsi="Consolas"/>
          <w:sz w:val="20"/>
        </w:rPr>
        <w:t>mode="intersection"</w:t>
      </w:r>
      <w:r>
        <w:t xml:space="preserve"> (F1–F3, 7 columns) throughout. In-domain cells via 5-fold CV; transfer cells via a single fit-on-source/score-on-target pass, scaler fit on the source only.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model</w:t>
            </w:r>
          </w:p>
        </w:tc>
        <w:tc>
          <w:tcPr>
            <w:tcW w:type="dxa" w:w="1872"/>
          </w:tcPr>
          <w:p>
            <w:pPr>
              <w:spacing w:after="40"/>
            </w:pPr>
            <w:r/>
            <w:r>
              <w:rPr>
                <w:b/>
                <w:sz w:val="18"/>
              </w:rPr>
              <w:t>train A→test A (in-domain)</w:t>
            </w:r>
          </w:p>
        </w:tc>
        <w:tc>
          <w:tcPr>
            <w:tcW w:type="dxa" w:w="1872"/>
          </w:tcPr>
          <w:p>
            <w:pPr>
              <w:spacing w:after="40"/>
            </w:pPr>
            <w:r/>
            <w:r>
              <w:rPr>
                <w:b/>
                <w:sz w:val="18"/>
              </w:rPr>
              <w:t>train B→test B (in-domain)</w:t>
            </w:r>
          </w:p>
        </w:tc>
        <w:tc>
          <w:tcPr>
            <w:tcW w:type="dxa" w:w="1872"/>
          </w:tcPr>
          <w:p>
            <w:pPr>
              <w:spacing w:after="40"/>
            </w:pPr>
            <w:r/>
            <w:r>
              <w:rPr>
                <w:b/>
                <w:sz w:val="18"/>
              </w:rPr>
              <w:t>train A→test B (transfer)</w:t>
            </w:r>
          </w:p>
        </w:tc>
        <w:tc>
          <w:tcPr>
            <w:tcW w:type="dxa" w:w="1872"/>
          </w:tcPr>
          <w:p>
            <w:pPr>
              <w:spacing w:after="40"/>
            </w:pPr>
            <w:r/>
            <w:r>
              <w:rPr>
                <w:b/>
                <w:sz w:val="18"/>
              </w:rPr>
              <w:t>train B→test A (transfer)</w:t>
            </w:r>
          </w:p>
        </w:tc>
      </w:tr>
      <w:tr>
        <w:tc>
          <w:tcPr>
            <w:tcW w:type="dxa" w:w="1872"/>
          </w:tcPr>
          <w:p>
            <w:pPr>
              <w:spacing w:after="40"/>
            </w:pPr>
            <w:r/>
            <w:r>
              <w:rPr>
                <w:sz w:val="18"/>
              </w:rPr>
              <w:t>XGBoost</w:t>
            </w:r>
          </w:p>
        </w:tc>
        <w:tc>
          <w:tcPr>
            <w:tcW w:type="dxa" w:w="1872"/>
          </w:tcPr>
          <w:p>
            <w:pPr>
              <w:spacing w:after="40"/>
            </w:pPr>
            <w:r/>
            <w:r>
              <w:rPr>
                <w:sz w:val="18"/>
              </w:rPr>
              <w:t>F1=0.8182, recall=0.999, FPR=0.405</w:t>
            </w:r>
          </w:p>
        </w:tc>
        <w:tc>
          <w:tcPr>
            <w:tcW w:type="dxa" w:w="1872"/>
          </w:tcPr>
          <w:p>
            <w:pPr>
              <w:spacing w:after="40"/>
            </w:pPr>
            <w:r/>
            <w:r>
              <w:rPr>
                <w:sz w:val="18"/>
              </w:rPr>
              <w:t>F1=0.9999, recall=1.000, FPR=0.000</w:t>
            </w:r>
          </w:p>
        </w:tc>
        <w:tc>
          <w:tcPr>
            <w:tcW w:type="dxa" w:w="1872"/>
          </w:tcPr>
          <w:p>
            <w:pPr>
              <w:spacing w:after="40"/>
            </w:pPr>
            <w:r/>
            <w:r>
              <w:rPr>
                <w:sz w:val="18"/>
              </w:rPr>
              <w:t>F1=0.6667, recall=1.000, FPR=1.000, ROC-AUC=0.707</w:t>
            </w:r>
          </w:p>
        </w:tc>
        <w:tc>
          <w:tcPr>
            <w:tcW w:type="dxa" w:w="1872"/>
          </w:tcPr>
          <w:p>
            <w:pPr>
              <w:spacing w:after="40"/>
            </w:pPr>
            <w:r/>
            <w:r>
              <w:rPr>
                <w:sz w:val="18"/>
              </w:rPr>
              <w:t>F1=0.0000, recall=0.000, FPR=0.000, ROC-AUC=0.490</w:t>
            </w:r>
          </w:p>
        </w:tc>
      </w:tr>
      <w:tr>
        <w:tc>
          <w:tcPr>
            <w:tcW w:type="dxa" w:w="1872"/>
          </w:tcPr>
          <w:p>
            <w:pPr>
              <w:spacing w:after="40"/>
            </w:pPr>
            <w:r/>
            <w:r>
              <w:rPr>
                <w:sz w:val="18"/>
              </w:rPr>
              <w:t>Isolation Forest</w:t>
            </w:r>
          </w:p>
        </w:tc>
        <w:tc>
          <w:tcPr>
            <w:tcW w:type="dxa" w:w="1872"/>
          </w:tcPr>
          <w:p>
            <w:pPr>
              <w:spacing w:after="40"/>
            </w:pPr>
            <w:r/>
            <w:r>
              <w:rPr>
                <w:sz w:val="18"/>
              </w:rPr>
              <w:t>F1=0.1051, recall=0.075, FPR=0.313</w:t>
            </w:r>
          </w:p>
        </w:tc>
        <w:tc>
          <w:tcPr>
            <w:tcW w:type="dxa" w:w="1872"/>
          </w:tcPr>
          <w:p>
            <w:pPr>
              <w:spacing w:after="40"/>
            </w:pPr>
            <w:r/>
            <w:r>
              <w:rPr>
                <w:sz w:val="18"/>
              </w:rPr>
              <w:t>F1=0.3954, recall=0.276, FPR=0.121</w:t>
            </w:r>
          </w:p>
        </w:tc>
        <w:tc>
          <w:tcPr>
            <w:tcW w:type="dxa" w:w="1872"/>
          </w:tcPr>
          <w:p>
            <w:pPr>
              <w:spacing w:after="40"/>
            </w:pPr>
            <w:r/>
            <w:r>
              <w:rPr>
                <w:sz w:val="18"/>
              </w:rPr>
              <w:t>F1=0.6667, recall=1.000, FPR=1.000, ROC-AUC=0.579</w:t>
            </w:r>
          </w:p>
        </w:tc>
        <w:tc>
          <w:tcPr>
            <w:tcW w:type="dxa" w:w="1872"/>
          </w:tcPr>
          <w:p>
            <w:pPr>
              <w:spacing w:after="40"/>
            </w:pPr>
            <w:r/>
            <w:r>
              <w:rPr>
                <w:sz w:val="18"/>
              </w:rPr>
              <w:t>F1=0.6460, recall=1.000, FPR=1.000, ROC-AUC=0.379</w:t>
            </w:r>
          </w:p>
        </w:tc>
      </w:tr>
      <w:tr>
        <w:tc>
          <w:tcPr>
            <w:tcW w:type="dxa" w:w="1872"/>
          </w:tcPr>
          <w:p>
            <w:pPr>
              <w:spacing w:after="40"/>
            </w:pPr>
            <w:r/>
            <w:r>
              <w:rPr>
                <w:sz w:val="18"/>
              </w:rPr>
              <w:t>CNN</w:t>
            </w:r>
          </w:p>
        </w:tc>
        <w:tc>
          <w:tcPr>
            <w:tcW w:type="dxa" w:w="1872"/>
          </w:tcPr>
          <w:p>
            <w:pPr>
              <w:spacing w:after="40"/>
            </w:pPr>
            <w:r/>
            <w:r>
              <w:rPr>
                <w:sz w:val="18"/>
              </w:rPr>
              <w:t>F1=0.8176, recall=0.998, FPR=0.404</w:t>
            </w:r>
          </w:p>
        </w:tc>
        <w:tc>
          <w:tcPr>
            <w:tcW w:type="dxa" w:w="1872"/>
          </w:tcPr>
          <w:p>
            <w:pPr>
              <w:spacing w:after="40"/>
            </w:pPr>
            <w:r/>
            <w:r>
              <w:rPr>
                <w:sz w:val="18"/>
              </w:rPr>
              <w:t>F1=0.9927, recall=0.993, FPR=0.008</w:t>
            </w:r>
          </w:p>
        </w:tc>
        <w:tc>
          <w:tcPr>
            <w:tcW w:type="dxa" w:w="1872"/>
          </w:tcPr>
          <w:p>
            <w:pPr>
              <w:spacing w:after="40"/>
            </w:pPr>
            <w:r/>
            <w:r>
              <w:rPr>
                <w:sz w:val="18"/>
              </w:rPr>
              <w:t>F1=0.6667, recall=1.000, FPR=1.000, ROC-AUC=0.708</w:t>
            </w:r>
          </w:p>
        </w:tc>
        <w:tc>
          <w:tcPr>
            <w:tcW w:type="dxa" w:w="1872"/>
          </w:tcPr>
          <w:p>
            <w:pPr>
              <w:spacing w:after="40"/>
            </w:pPr>
            <w:r/>
            <w:r>
              <w:rPr>
                <w:sz w:val="18"/>
              </w:rPr>
              <w:t xml:space="preserve">F1=0.0000, recall=0.000, FPR=0.000, </w:t>
            </w:r>
            <w:r>
              <w:rPr>
                <w:b/>
                <w:sz w:val="18"/>
              </w:rPr>
              <w:t>ROC-AUC=0.773</w:t>
            </w:r>
          </w:p>
        </w:tc>
      </w:tr>
      <w:tr>
        <w:tc>
          <w:tcPr>
            <w:tcW w:type="dxa" w:w="1872"/>
          </w:tcPr>
          <w:p>
            <w:pPr>
              <w:spacing w:after="40"/>
            </w:pPr>
            <w:r/>
            <w:r>
              <w:rPr>
                <w:sz w:val="18"/>
              </w:rPr>
              <w:t>Autoencoder</w:t>
            </w:r>
          </w:p>
        </w:tc>
        <w:tc>
          <w:tcPr>
            <w:tcW w:type="dxa" w:w="1872"/>
          </w:tcPr>
          <w:p>
            <w:pPr>
              <w:spacing w:after="40"/>
            </w:pPr>
            <w:r/>
            <w:r>
              <w:rPr>
                <w:sz w:val="18"/>
              </w:rPr>
              <w:t>F1=0.0474, recall=0.026, FPR=0.049</w:t>
            </w:r>
          </w:p>
        </w:tc>
        <w:tc>
          <w:tcPr>
            <w:tcW w:type="dxa" w:w="1872"/>
          </w:tcPr>
          <w:p>
            <w:pPr>
              <w:spacing w:after="40"/>
            </w:pPr>
            <w:r/>
            <w:r>
              <w:rPr>
                <w:sz w:val="18"/>
              </w:rPr>
              <w:t>F1=0.6773, recall=0.560, FPR=0.051</w:t>
            </w:r>
          </w:p>
        </w:tc>
        <w:tc>
          <w:tcPr>
            <w:tcW w:type="dxa" w:w="1872"/>
          </w:tcPr>
          <w:p>
            <w:pPr>
              <w:spacing w:after="40"/>
            </w:pPr>
            <w:r/>
            <w:r>
              <w:rPr>
                <w:sz w:val="18"/>
              </w:rPr>
              <w:t>F1=0.6667, recall=1.000, FPR=1.000, ROC-AUC=0.671</w:t>
            </w:r>
          </w:p>
        </w:tc>
        <w:tc>
          <w:tcPr>
            <w:tcW w:type="dxa" w:w="1872"/>
          </w:tcPr>
          <w:p>
            <w:pPr>
              <w:spacing w:after="40"/>
            </w:pPr>
            <w:r/>
            <w:r>
              <w:rPr>
                <w:sz w:val="18"/>
              </w:rPr>
              <w:t>F1=0.6460, recall=1.000, FPR=1.000, ROC-AUC=0.359</w:t>
            </w:r>
          </w:p>
        </w:tc>
      </w:tr>
    </w:tbl>
    <w:p>
      <w:pPr>
        <w:spacing w:after="80"/>
      </w:pPr>
    </w:p>
    <w:p>
      <w:r>
        <w:rPr>
          <w:b/>
        </w:rPr>
        <w:t>Every in-domain cell is broadly consistent with that model's own single-dataset result elsewhere in this report</w:t>
      </w:r>
      <w:r>
        <w:t xml:space="preserve"> (XGBoost/CNN both land near F1≈0.82 on A and F1≈0.99–1.00 on B; Isolation Forest's weak in-domain numbers match Step 2E; the Autoencoder's below-chance ROC-AUC=0.335 on Dataset A echoes Step 2E's Isolation Forest finding — see §5.4). </w:t>
      </w:r>
      <w:r>
        <w:rPr>
          <w:b/>
        </w:rPr>
        <w:t>Every transfer cell collapses to (or very near) a trivial fixed-guess classifier</w:t>
      </w:r>
      <w:r>
        <w:t xml:space="preserve"> — F1=0.6667/recall=1.0/FPR=1.0 is exactly the always-positive baseline for a dataset whose positive rate is ~0.50 (Dataset B); F1=0.6460 at the same recall/FPR is the identical always-positive baseline for Dataset A (positive rate 0.4772); F1=0.0000/recall=0/FPR=0 is the mirror-image always-negative baseline. </w:t>
      </w:r>
      <w:r>
        <w:rPr>
          <w:b/>
        </w:rPr>
        <w:t>No model, of four structurally different ones, produces a working cross-dataset detector.</w:t>
      </w:r>
    </w:p>
    <w:p>
      <w:r>
        <w:rPr>
          <w:b/>
        </w:rPr>
        <w:t>One genuine exception worth flagging, not smoothing over:</w:t>
      </w:r>
      <w:r>
        <w:t xml:space="preserve"> CNN's train-B→test-A cell has F1=0.0000 (zero rows crossed the 0.5 decision threshold) but </w:t>
      </w:r>
      <w:r>
        <w:rPr>
          <w:b/>
        </w:rPr>
        <w:t>ROC-AUC=0.773 — well above chance</w:t>
      </w:r>
      <w:r>
        <w:t xml:space="preserve">, unlike every other trivial-classifier cell in the table (whose ROC-AUC sits at or near 0.50, or even below it for Isolation Forest's B→A cell at 0.379). This means the CNN's raw probability </w:t>
      </w:r>
      <w:r>
        <w:rPr>
          <w:i/>
        </w:rPr>
        <w:t>ranking</w:t>
      </w:r>
      <w:r>
        <w:t xml:space="preserve"> still carries real signal after transfer — the model has not forgotten how to distinguish attack from benign on Dataset A's rescaled inputs, it has just landed a decision threshold (0.5, calibrated implicitly during training on Dataset B's own scale) that happens to call zero of Dataset A's rows positive. This suggests </w:t>
      </w:r>
      <w:r>
        <w:rPr>
          <w:b/>
        </w:rPr>
        <w:t>threshold recalibration on a small target-domain sample</w:t>
      </w:r>
      <w:r>
        <w:t>, not a full retrain, might partially rescue this one transfer direction for the CNN specifically — a concrete idea for future work, not tested here given time.</w:t>
      </w:r>
    </w:p>
    <w:p>
      <w:pPr>
        <w:pStyle w:val="Heading3"/>
      </w:pPr>
      <w:r>
        <w:t>5.2.2 The ablation (D3) — real results, all four models: hypothesis falsified, unanimously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model</w:t>
            </w:r>
          </w:p>
        </w:tc>
        <w:tc>
          <w:tcPr>
            <w:tcW w:type="dxa" w:w="1872"/>
          </w:tcPr>
          <w:p>
            <w:pPr>
              <w:spacing w:after="40"/>
            </w:pPr>
            <w:r/>
            <w:r>
              <w:rPr>
                <w:b/>
                <w:sz w:val="18"/>
              </w:rPr>
              <w:t>direction</w:t>
            </w:r>
          </w:p>
        </w:tc>
        <w:tc>
          <w:tcPr>
            <w:tcW w:type="dxa" w:w="1872"/>
          </w:tcPr>
          <w:p>
            <w:pPr>
              <w:spacing w:after="40"/>
            </w:pPr>
            <w:r/>
            <w:r>
              <w:rPr>
                <w:b/>
                <w:sz w:val="18"/>
              </w:rPr>
              <w:t>intersection F1</w:t>
            </w:r>
          </w:p>
        </w:tc>
        <w:tc>
          <w:tcPr>
            <w:tcW w:type="dxa" w:w="1872"/>
          </w:tcPr>
          <w:p>
            <w:pPr>
              <w:spacing w:after="40"/>
            </w:pPr>
            <w:r/>
            <w:r>
              <w:rPr>
                <w:b/>
                <w:sz w:val="18"/>
              </w:rPr>
              <w:t>F1-only F1</w:t>
            </w:r>
          </w:p>
        </w:tc>
        <w:tc>
          <w:tcPr>
            <w:tcW w:type="dxa" w:w="1872"/>
          </w:tcPr>
          <w:p>
            <w:pPr>
              <w:spacing w:after="40"/>
            </w:pPr>
            <w:r/>
            <w:r>
              <w:rPr>
                <w:b/>
                <w:sz w:val="18"/>
              </w:rPr>
              <w:t>F1-only transfers better?</w:t>
            </w:r>
          </w:p>
        </w:tc>
      </w:tr>
      <w:tr>
        <w:tc>
          <w:tcPr>
            <w:tcW w:type="dxa" w:w="1872"/>
          </w:tcPr>
          <w:p>
            <w:pPr>
              <w:spacing w:after="40"/>
            </w:pPr>
            <w:r/>
            <w:r>
              <w:rPr>
                <w:sz w:val="18"/>
              </w:rPr>
              <w:t>XGBoost</w:t>
            </w:r>
          </w:p>
        </w:tc>
        <w:tc>
          <w:tcPr>
            <w:tcW w:type="dxa" w:w="1872"/>
          </w:tcPr>
          <w:p>
            <w:pPr>
              <w:spacing w:after="40"/>
            </w:pPr>
            <w:r/>
            <w:r>
              <w:rPr>
                <w:sz w:val="18"/>
              </w:rPr>
              <w:t>A→B</w:t>
            </w:r>
          </w:p>
        </w:tc>
        <w:tc>
          <w:tcPr>
            <w:tcW w:type="dxa" w:w="1872"/>
          </w:tcPr>
          <w:p>
            <w:pPr>
              <w:spacing w:after="40"/>
            </w:pPr>
            <w:r/>
            <w:r>
              <w:rPr>
                <w:sz w:val="18"/>
              </w:rPr>
              <w:t>0.6667</w:t>
            </w:r>
          </w:p>
        </w:tc>
        <w:tc>
          <w:tcPr>
            <w:tcW w:type="dxa" w:w="1872"/>
          </w:tcPr>
          <w:p>
            <w:pPr>
              <w:spacing w:after="40"/>
            </w:pPr>
            <w:r/>
            <w:r>
              <w:rPr>
                <w:sz w:val="18"/>
              </w:rPr>
              <w:t>0.0000</w:t>
            </w:r>
          </w:p>
        </w:tc>
        <w:tc>
          <w:tcPr>
            <w:tcW w:type="dxa" w:w="1872"/>
          </w:tcPr>
          <w:p>
            <w:pPr>
              <w:spacing w:after="40"/>
            </w:pPr>
            <w:r/>
            <w:r>
              <w:rPr>
                <w:b/>
                <w:sz w:val="18"/>
              </w:rPr>
              <w:t>No</w:t>
            </w:r>
          </w:p>
        </w:tc>
      </w:tr>
      <w:tr>
        <w:tc>
          <w:tcPr>
            <w:tcW w:type="dxa" w:w="1872"/>
          </w:tcPr>
          <w:p>
            <w:pPr>
              <w:spacing w:after="40"/>
            </w:pPr>
            <w:r/>
            <w:r>
              <w:rPr>
                <w:sz w:val="18"/>
              </w:rPr>
              <w:t>XGBoost</w:t>
            </w:r>
          </w:p>
        </w:tc>
        <w:tc>
          <w:tcPr>
            <w:tcW w:type="dxa" w:w="1872"/>
          </w:tcPr>
          <w:p>
            <w:pPr>
              <w:spacing w:after="40"/>
            </w:pPr>
            <w:r/>
            <w:r>
              <w:rPr>
                <w:sz w:val="18"/>
              </w:rPr>
              <w:t>B→A</w:t>
            </w:r>
          </w:p>
        </w:tc>
        <w:tc>
          <w:tcPr>
            <w:tcW w:type="dxa" w:w="1872"/>
          </w:tcPr>
          <w:p>
            <w:pPr>
              <w:spacing w:after="40"/>
            </w:pPr>
            <w:r/>
            <w:r>
              <w:rPr>
                <w:sz w:val="18"/>
              </w:rPr>
              <w:t>0.0000</w:t>
            </w:r>
          </w:p>
        </w:tc>
        <w:tc>
          <w:tcPr>
            <w:tcW w:type="dxa" w:w="1872"/>
          </w:tcPr>
          <w:p>
            <w:pPr>
              <w:spacing w:after="40"/>
            </w:pPr>
            <w:r/>
            <w:r>
              <w:rPr>
                <w:sz w:val="18"/>
              </w:rPr>
              <w:t>0.0000</w:t>
            </w:r>
          </w:p>
        </w:tc>
        <w:tc>
          <w:tcPr>
            <w:tcW w:type="dxa" w:w="1872"/>
          </w:tcPr>
          <w:p>
            <w:pPr>
              <w:spacing w:after="40"/>
            </w:pPr>
            <w:r/>
            <w:r>
              <w:rPr>
                <w:sz w:val="18"/>
              </w:rPr>
              <w:t>No (tied at the floor)</w:t>
            </w:r>
          </w:p>
        </w:tc>
      </w:tr>
      <w:tr>
        <w:tc>
          <w:tcPr>
            <w:tcW w:type="dxa" w:w="1872"/>
          </w:tcPr>
          <w:p>
            <w:pPr>
              <w:spacing w:after="40"/>
            </w:pPr>
            <w:r/>
            <w:r>
              <w:rPr>
                <w:sz w:val="18"/>
              </w:rPr>
              <w:t>Isolation Forest</w:t>
            </w:r>
          </w:p>
        </w:tc>
        <w:tc>
          <w:tcPr>
            <w:tcW w:type="dxa" w:w="1872"/>
          </w:tcPr>
          <w:p>
            <w:pPr>
              <w:spacing w:after="40"/>
            </w:pPr>
            <w:r/>
            <w:r>
              <w:rPr>
                <w:sz w:val="18"/>
              </w:rPr>
              <w:t>A→B</w:t>
            </w:r>
          </w:p>
        </w:tc>
        <w:tc>
          <w:tcPr>
            <w:tcW w:type="dxa" w:w="1872"/>
          </w:tcPr>
          <w:p>
            <w:pPr>
              <w:spacing w:after="40"/>
            </w:pPr>
            <w:r/>
            <w:r>
              <w:rPr>
                <w:sz w:val="18"/>
              </w:rPr>
              <w:t>0.6667</w:t>
            </w:r>
          </w:p>
        </w:tc>
        <w:tc>
          <w:tcPr>
            <w:tcW w:type="dxa" w:w="1872"/>
          </w:tcPr>
          <w:p>
            <w:pPr>
              <w:spacing w:after="40"/>
            </w:pPr>
            <w:r/>
            <w:r>
              <w:rPr>
                <w:sz w:val="18"/>
              </w:rPr>
              <w:t>0.6667</w:t>
            </w:r>
          </w:p>
        </w:tc>
        <w:tc>
          <w:tcPr>
            <w:tcW w:type="dxa" w:w="1872"/>
          </w:tcPr>
          <w:p>
            <w:pPr>
              <w:spacing w:after="40"/>
            </w:pPr>
            <w:r/>
            <w:r>
              <w:rPr>
                <w:sz w:val="18"/>
              </w:rPr>
              <w:t>No (tied — same trivial classifier)</w:t>
            </w:r>
          </w:p>
        </w:tc>
      </w:tr>
      <w:tr>
        <w:tc>
          <w:tcPr>
            <w:tcW w:type="dxa" w:w="1872"/>
          </w:tcPr>
          <w:p>
            <w:pPr>
              <w:spacing w:after="40"/>
            </w:pPr>
            <w:r/>
            <w:r>
              <w:rPr>
                <w:sz w:val="18"/>
              </w:rPr>
              <w:t>Isolation Forest</w:t>
            </w:r>
          </w:p>
        </w:tc>
        <w:tc>
          <w:tcPr>
            <w:tcW w:type="dxa" w:w="1872"/>
          </w:tcPr>
          <w:p>
            <w:pPr>
              <w:spacing w:after="40"/>
            </w:pPr>
            <w:r/>
            <w:r>
              <w:rPr>
                <w:sz w:val="18"/>
              </w:rPr>
              <w:t>B→A</w:t>
            </w:r>
          </w:p>
        </w:tc>
        <w:tc>
          <w:tcPr>
            <w:tcW w:type="dxa" w:w="1872"/>
          </w:tcPr>
          <w:p>
            <w:pPr>
              <w:spacing w:after="40"/>
            </w:pPr>
            <w:r/>
            <w:r>
              <w:rPr>
                <w:sz w:val="18"/>
              </w:rPr>
              <w:t>0.6460</w:t>
            </w:r>
          </w:p>
        </w:tc>
        <w:tc>
          <w:tcPr>
            <w:tcW w:type="dxa" w:w="1872"/>
          </w:tcPr>
          <w:p>
            <w:pPr>
              <w:spacing w:after="40"/>
            </w:pPr>
            <w:r/>
            <w:r>
              <w:rPr>
                <w:sz w:val="18"/>
              </w:rPr>
              <w:t>0.6460</w:t>
            </w:r>
          </w:p>
        </w:tc>
        <w:tc>
          <w:tcPr>
            <w:tcW w:type="dxa" w:w="1872"/>
          </w:tcPr>
          <w:p>
            <w:pPr>
              <w:spacing w:after="40"/>
            </w:pPr>
            <w:r/>
            <w:r>
              <w:rPr>
                <w:sz w:val="18"/>
              </w:rPr>
              <w:t>No (tied — same trivial classifier)</w:t>
            </w:r>
          </w:p>
        </w:tc>
      </w:tr>
      <w:tr>
        <w:tc>
          <w:tcPr>
            <w:tcW w:type="dxa" w:w="1872"/>
          </w:tcPr>
          <w:p>
            <w:pPr>
              <w:spacing w:after="40"/>
            </w:pPr>
            <w:r/>
            <w:r>
              <w:rPr>
                <w:sz w:val="18"/>
              </w:rPr>
              <w:t>CNN</w:t>
            </w:r>
          </w:p>
        </w:tc>
        <w:tc>
          <w:tcPr>
            <w:tcW w:type="dxa" w:w="1872"/>
          </w:tcPr>
          <w:p>
            <w:pPr>
              <w:spacing w:after="40"/>
            </w:pPr>
            <w:r/>
            <w:r>
              <w:rPr>
                <w:sz w:val="18"/>
              </w:rPr>
              <w:t>A→B</w:t>
            </w:r>
          </w:p>
        </w:tc>
        <w:tc>
          <w:tcPr>
            <w:tcW w:type="dxa" w:w="1872"/>
          </w:tcPr>
          <w:p>
            <w:pPr>
              <w:spacing w:after="40"/>
            </w:pPr>
            <w:r/>
            <w:r>
              <w:rPr>
                <w:sz w:val="18"/>
              </w:rPr>
              <w:t>0.6667</w:t>
            </w:r>
          </w:p>
        </w:tc>
        <w:tc>
          <w:tcPr>
            <w:tcW w:type="dxa" w:w="1872"/>
          </w:tcPr>
          <w:p>
            <w:pPr>
              <w:spacing w:after="40"/>
            </w:pPr>
            <w:r/>
            <w:r>
              <w:rPr>
                <w:sz w:val="18"/>
              </w:rPr>
              <w:t>0.6667</w:t>
            </w:r>
          </w:p>
        </w:tc>
        <w:tc>
          <w:tcPr>
            <w:tcW w:type="dxa" w:w="1872"/>
          </w:tcPr>
          <w:p>
            <w:pPr>
              <w:spacing w:after="40"/>
            </w:pPr>
            <w:r/>
            <w:r>
              <w:rPr>
                <w:sz w:val="18"/>
              </w:rPr>
              <w:t>No (tied — same trivial classifier)</w:t>
            </w:r>
          </w:p>
        </w:tc>
      </w:tr>
      <w:tr>
        <w:tc>
          <w:tcPr>
            <w:tcW w:type="dxa" w:w="1872"/>
          </w:tcPr>
          <w:p>
            <w:pPr>
              <w:spacing w:after="40"/>
            </w:pPr>
            <w:r/>
            <w:r>
              <w:rPr>
                <w:sz w:val="18"/>
              </w:rPr>
              <w:t>CNN</w:t>
            </w:r>
          </w:p>
        </w:tc>
        <w:tc>
          <w:tcPr>
            <w:tcW w:type="dxa" w:w="1872"/>
          </w:tcPr>
          <w:p>
            <w:pPr>
              <w:spacing w:after="40"/>
            </w:pPr>
            <w:r/>
            <w:r>
              <w:rPr>
                <w:sz w:val="18"/>
              </w:rPr>
              <w:t>B→A</w:t>
            </w:r>
          </w:p>
        </w:tc>
        <w:tc>
          <w:tcPr>
            <w:tcW w:type="dxa" w:w="1872"/>
          </w:tcPr>
          <w:p>
            <w:pPr>
              <w:spacing w:after="40"/>
            </w:pPr>
            <w:r/>
            <w:r>
              <w:rPr>
                <w:sz w:val="18"/>
              </w:rPr>
              <w:t>0.0000</w:t>
            </w:r>
          </w:p>
        </w:tc>
        <w:tc>
          <w:tcPr>
            <w:tcW w:type="dxa" w:w="1872"/>
          </w:tcPr>
          <w:p>
            <w:pPr>
              <w:spacing w:after="40"/>
            </w:pPr>
            <w:r/>
            <w:r>
              <w:rPr>
                <w:sz w:val="18"/>
              </w:rPr>
              <w:t>0.0000</w:t>
            </w:r>
          </w:p>
        </w:tc>
        <w:tc>
          <w:tcPr>
            <w:tcW w:type="dxa" w:w="1872"/>
          </w:tcPr>
          <w:p>
            <w:pPr>
              <w:spacing w:after="40"/>
            </w:pPr>
            <w:r/>
            <w:r>
              <w:rPr>
                <w:sz w:val="18"/>
              </w:rPr>
              <w:t>No (tied — same trivial classifier)</w:t>
            </w:r>
          </w:p>
        </w:tc>
      </w:tr>
      <w:tr>
        <w:tc>
          <w:tcPr>
            <w:tcW w:type="dxa" w:w="1872"/>
          </w:tcPr>
          <w:p>
            <w:pPr>
              <w:spacing w:after="40"/>
            </w:pPr>
            <w:r/>
            <w:r>
              <w:rPr>
                <w:sz w:val="18"/>
              </w:rPr>
              <w:t>Autoencoder</w:t>
            </w:r>
          </w:p>
        </w:tc>
        <w:tc>
          <w:tcPr>
            <w:tcW w:type="dxa" w:w="1872"/>
          </w:tcPr>
          <w:p>
            <w:pPr>
              <w:spacing w:after="40"/>
            </w:pPr>
            <w:r/>
            <w:r>
              <w:rPr>
                <w:sz w:val="18"/>
              </w:rPr>
              <w:t>A→B</w:t>
            </w:r>
          </w:p>
        </w:tc>
        <w:tc>
          <w:tcPr>
            <w:tcW w:type="dxa" w:w="1872"/>
          </w:tcPr>
          <w:p>
            <w:pPr>
              <w:spacing w:after="40"/>
            </w:pPr>
            <w:r/>
            <w:r>
              <w:rPr>
                <w:sz w:val="18"/>
              </w:rPr>
              <w:t>0.6667</w:t>
            </w:r>
          </w:p>
        </w:tc>
        <w:tc>
          <w:tcPr>
            <w:tcW w:type="dxa" w:w="1872"/>
          </w:tcPr>
          <w:p>
            <w:pPr>
              <w:spacing w:after="40"/>
            </w:pPr>
            <w:r/>
            <w:r>
              <w:rPr>
                <w:sz w:val="18"/>
              </w:rPr>
              <w:t>0.6667</w:t>
            </w:r>
          </w:p>
        </w:tc>
        <w:tc>
          <w:tcPr>
            <w:tcW w:type="dxa" w:w="1872"/>
          </w:tcPr>
          <w:p>
            <w:pPr>
              <w:spacing w:after="40"/>
            </w:pPr>
            <w:r/>
            <w:r>
              <w:rPr>
                <w:sz w:val="18"/>
              </w:rPr>
              <w:t>No (tied — same trivial classifier)</w:t>
            </w:r>
          </w:p>
        </w:tc>
      </w:tr>
      <w:tr>
        <w:tc>
          <w:tcPr>
            <w:tcW w:type="dxa" w:w="1872"/>
          </w:tcPr>
          <w:p>
            <w:pPr>
              <w:spacing w:after="40"/>
            </w:pPr>
            <w:r/>
            <w:r>
              <w:rPr>
                <w:sz w:val="18"/>
              </w:rPr>
              <w:t>Autoencoder</w:t>
            </w:r>
          </w:p>
        </w:tc>
        <w:tc>
          <w:tcPr>
            <w:tcW w:type="dxa" w:w="1872"/>
          </w:tcPr>
          <w:p>
            <w:pPr>
              <w:spacing w:after="40"/>
            </w:pPr>
            <w:r/>
            <w:r>
              <w:rPr>
                <w:sz w:val="18"/>
              </w:rPr>
              <w:t>B→A</w:t>
            </w:r>
          </w:p>
        </w:tc>
        <w:tc>
          <w:tcPr>
            <w:tcW w:type="dxa" w:w="1872"/>
          </w:tcPr>
          <w:p>
            <w:pPr>
              <w:spacing w:after="40"/>
            </w:pPr>
            <w:r/>
            <w:r>
              <w:rPr>
                <w:sz w:val="18"/>
              </w:rPr>
              <w:t>0.6460</w:t>
            </w:r>
          </w:p>
        </w:tc>
        <w:tc>
          <w:tcPr>
            <w:tcW w:type="dxa" w:w="1872"/>
          </w:tcPr>
          <w:p>
            <w:pPr>
              <w:spacing w:after="40"/>
            </w:pPr>
            <w:r/>
            <w:r>
              <w:rPr>
                <w:sz w:val="18"/>
              </w:rPr>
              <w:t>0.6460</w:t>
            </w:r>
          </w:p>
        </w:tc>
        <w:tc>
          <w:tcPr>
            <w:tcW w:type="dxa" w:w="1872"/>
          </w:tcPr>
          <w:p>
            <w:pPr>
              <w:spacing w:after="40"/>
            </w:pPr>
            <w:r/>
            <w:r>
              <w:rPr>
                <w:sz w:val="18"/>
              </w:rPr>
              <w:t>No (tied — same trivial classifier)</w:t>
            </w:r>
          </w:p>
        </w:tc>
      </w:tr>
    </w:tbl>
    <w:p>
      <w:pPr>
        <w:spacing w:after="80"/>
      </w:pPr>
    </w:p>
    <w:p>
      <w:r>
        <w:rPr>
          <w:b/>
        </w:rPr>
        <w:t>F1-only transfers better in zero of eight cells, across all four models.</w:t>
      </w:r>
      <w:r>
        <w:t xml:space="preserve"> The plan's hypothesis — that F1 (payload volume) is the one family that survives the encryption boundary intact, and dropping the "lookalike" F2/F3 families should therefore </w:t>
      </w:r>
      <w:r>
        <w:rPr>
          <w:i/>
        </w:rPr>
        <w:t>help</w:t>
      </w:r>
      <w:r>
        <w:t xml:space="preserve"> transfer — is not merely unconfirmed, it is </w:t>
      </w:r>
      <w:r>
        <w:rPr>
          <w:b/>
        </w:rPr>
        <w:t>unanimously falsified</w:t>
      </w:r>
      <w:r>
        <w:t xml:space="preserve">. Where the two feature sets are distinguishable at all (XGBoost's A→B cell), F1-only is strictly </w:t>
      </w:r>
      <w:r>
        <w:rPr>
          <w:i/>
        </w:rPr>
        <w:t>worse</w:t>
      </w:r>
      <w:r>
        <w:t xml:space="preserve">; everywhere else, both feature sets degenerate to the identical trivial classifier, meaning F1 alone provides no rescue either. §5.2.3 explains why: F1's own columns show among the </w:t>
      </w:r>
      <w:r>
        <w:rPr>
          <w:i/>
        </w:rPr>
        <w:t>largest</w:t>
      </w:r>
      <w:r>
        <w:t xml:space="preserve"> distributional shifts of the entire intersection set, contradicting the premise that F1 is scale-stable across the boundary.</w:t>
      </w:r>
    </w:p>
    <w:p>
      <w:pPr>
        <w:pStyle w:val="Heading3"/>
      </w:pPr>
      <w:r>
        <w:t>5.2.3 Distribution shift — why transfer collapses</w:t>
      </w:r>
    </w:p>
    <w:p>
      <w:r>
        <w:t>Real data, Kolmogorov–Smirnov two-sample statistic per intersection column, Dataset A vs. Dataset B:</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b/>
                <w:sz w:val="18"/>
              </w:rPr>
              <w:t>feature</w:t>
            </w:r>
          </w:p>
        </w:tc>
        <w:tc>
          <w:tcPr>
            <w:tcW w:type="dxa" w:w="1560"/>
          </w:tcPr>
          <w:p>
            <w:pPr>
              <w:spacing w:after="40"/>
            </w:pPr>
            <w:r/>
            <w:r>
              <w:rPr>
                <w:b/>
                <w:sz w:val="18"/>
              </w:rPr>
              <w:t>family</w:t>
            </w:r>
          </w:p>
        </w:tc>
        <w:tc>
          <w:tcPr>
            <w:tcW w:type="dxa" w:w="1560"/>
          </w:tcPr>
          <w:p>
            <w:pPr>
              <w:spacing w:after="40"/>
            </w:pPr>
            <w:r/>
            <w:r>
              <w:rPr>
                <w:b/>
                <w:sz w:val="18"/>
              </w:rPr>
              <w:t>KS statistic</w:t>
            </w:r>
          </w:p>
        </w:tc>
        <w:tc>
          <w:tcPr>
            <w:tcW w:type="dxa" w:w="1560"/>
          </w:tcPr>
          <w:p>
            <w:pPr>
              <w:spacing w:after="40"/>
            </w:pPr>
            <w:r/>
            <w:r>
              <w:rPr>
                <w:b/>
                <w:sz w:val="18"/>
              </w:rPr>
              <w:t>mean (A)</w:t>
            </w:r>
          </w:p>
        </w:tc>
        <w:tc>
          <w:tcPr>
            <w:tcW w:type="dxa" w:w="1560"/>
          </w:tcPr>
          <w:p>
            <w:pPr>
              <w:spacing w:after="40"/>
            </w:pPr>
            <w:r/>
            <w:r>
              <w:rPr>
                <w:b/>
                <w:sz w:val="18"/>
              </w:rPr>
              <w:t>mean (B)</w:t>
            </w:r>
          </w:p>
        </w:tc>
        <w:tc>
          <w:tcPr>
            <w:tcW w:type="dxa" w:w="1560"/>
          </w:tcPr>
          <w:p>
            <w:pPr>
              <w:spacing w:after="40"/>
            </w:pPr>
            <w:r/>
            <w:r>
              <w:rPr>
                <w:b/>
                <w:sz w:val="18"/>
              </w:rPr>
              <w:t>ratio (B/A)</w:t>
            </w:r>
          </w:p>
        </w:tc>
      </w:tr>
      <w:tr>
        <w:tc>
          <w:tcPr>
            <w:tcW w:type="dxa" w:w="1560"/>
          </w:tcPr>
          <w:p>
            <w:pPr>
              <w:spacing w:after="40"/>
            </w:pPr>
            <w:r/>
            <w:r>
              <w:rPr>
                <w:rFonts w:ascii="Consolas" w:hAnsi="Consolas"/>
                <w:sz w:val="18"/>
              </w:rPr>
              <w:t>vol_primary</w:t>
            </w:r>
          </w:p>
        </w:tc>
        <w:tc>
          <w:tcPr>
            <w:tcW w:type="dxa" w:w="1560"/>
          </w:tcPr>
          <w:p>
            <w:pPr>
              <w:spacing w:after="40"/>
            </w:pPr>
            <w:r/>
            <w:r>
              <w:rPr>
                <w:sz w:val="18"/>
              </w:rPr>
              <w:t>F1</w:t>
            </w:r>
          </w:p>
        </w:tc>
        <w:tc>
          <w:tcPr>
            <w:tcW w:type="dxa" w:w="1560"/>
          </w:tcPr>
          <w:p>
            <w:pPr>
              <w:spacing w:after="40"/>
            </w:pPr>
            <w:r/>
            <w:r>
              <w:rPr>
                <w:sz w:val="18"/>
              </w:rPr>
              <w:t>1.0000</w:t>
            </w:r>
          </w:p>
        </w:tc>
        <w:tc>
          <w:tcPr>
            <w:tcW w:type="dxa" w:w="1560"/>
          </w:tcPr>
          <w:p>
            <w:pPr>
              <w:spacing w:after="40"/>
            </w:pPr>
            <w:r/>
            <w:r>
              <w:rPr>
                <w:sz w:val="18"/>
              </w:rPr>
              <w:t>12.39</w:t>
            </w:r>
          </w:p>
        </w:tc>
        <w:tc>
          <w:tcPr>
            <w:tcW w:type="dxa" w:w="1560"/>
          </w:tcPr>
          <w:p>
            <w:pPr>
              <w:spacing w:after="40"/>
            </w:pPr>
            <w:r/>
            <w:r>
              <w:rPr>
                <w:sz w:val="18"/>
              </w:rPr>
              <w:t>173.03</w:t>
            </w:r>
          </w:p>
        </w:tc>
        <w:tc>
          <w:tcPr>
            <w:tcW w:type="dxa" w:w="1560"/>
          </w:tcPr>
          <w:p>
            <w:pPr>
              <w:spacing w:after="40"/>
            </w:pPr>
            <w:r/>
            <w:r>
              <w:rPr>
                <w:sz w:val="18"/>
              </w:rPr>
              <w:t>×14.0</w:t>
            </w:r>
          </w:p>
        </w:tc>
      </w:tr>
      <w:tr>
        <w:tc>
          <w:tcPr>
            <w:tcW w:type="dxa" w:w="1560"/>
          </w:tcPr>
          <w:p>
            <w:pPr>
              <w:spacing w:after="40"/>
            </w:pPr>
            <w:r/>
            <w:r>
              <w:rPr>
                <w:rFonts w:ascii="Consolas" w:hAnsi="Consolas"/>
                <w:sz w:val="18"/>
              </w:rPr>
              <w:t>vol_secondary</w:t>
            </w:r>
          </w:p>
        </w:tc>
        <w:tc>
          <w:tcPr>
            <w:tcW w:type="dxa" w:w="1560"/>
          </w:tcPr>
          <w:p>
            <w:pPr>
              <w:spacing w:after="40"/>
            </w:pPr>
            <w:r/>
            <w:r>
              <w:rPr>
                <w:sz w:val="18"/>
              </w:rPr>
              <w:t>F1</w:t>
            </w:r>
          </w:p>
        </w:tc>
        <w:tc>
          <w:tcPr>
            <w:tcW w:type="dxa" w:w="1560"/>
          </w:tcPr>
          <w:p>
            <w:pPr>
              <w:spacing w:after="40"/>
            </w:pPr>
            <w:r/>
            <w:r>
              <w:rPr>
                <w:sz w:val="18"/>
              </w:rPr>
              <w:t>1.0000</w:t>
            </w:r>
          </w:p>
        </w:tc>
        <w:tc>
          <w:tcPr>
            <w:tcW w:type="dxa" w:w="1560"/>
          </w:tcPr>
          <w:p>
            <w:pPr>
              <w:spacing w:after="40"/>
            </w:pPr>
            <w:r/>
            <w:r>
              <w:rPr>
                <w:sz w:val="18"/>
              </w:rPr>
              <w:t>5.83</w:t>
            </w:r>
          </w:p>
        </w:tc>
        <w:tc>
          <w:tcPr>
            <w:tcW w:type="dxa" w:w="1560"/>
          </w:tcPr>
          <w:p>
            <w:pPr>
              <w:spacing w:after="40"/>
            </w:pPr>
            <w:r/>
            <w:r>
              <w:rPr>
                <w:sz w:val="18"/>
              </w:rPr>
              <w:t>95.19</w:t>
            </w:r>
          </w:p>
        </w:tc>
        <w:tc>
          <w:tcPr>
            <w:tcW w:type="dxa" w:w="1560"/>
          </w:tcPr>
          <w:p>
            <w:pPr>
              <w:spacing w:after="40"/>
            </w:pPr>
            <w:r/>
            <w:r>
              <w:rPr>
                <w:sz w:val="18"/>
              </w:rPr>
              <w:t>×16.3</w:t>
            </w:r>
          </w:p>
        </w:tc>
      </w:tr>
      <w:tr>
        <w:tc>
          <w:tcPr>
            <w:tcW w:type="dxa" w:w="1560"/>
          </w:tcPr>
          <w:p>
            <w:pPr>
              <w:spacing w:after="40"/>
            </w:pPr>
            <w:r/>
            <w:r>
              <w:rPr>
                <w:rFonts w:ascii="Consolas" w:hAnsi="Consolas"/>
                <w:sz w:val="18"/>
              </w:rPr>
              <w:t>vol_total</w:t>
            </w:r>
          </w:p>
        </w:tc>
        <w:tc>
          <w:tcPr>
            <w:tcW w:type="dxa" w:w="1560"/>
          </w:tcPr>
          <w:p>
            <w:pPr>
              <w:spacing w:after="40"/>
            </w:pPr>
            <w:r/>
            <w:r>
              <w:rPr>
                <w:sz w:val="18"/>
              </w:rPr>
              <w:t>F1</w:t>
            </w:r>
          </w:p>
        </w:tc>
        <w:tc>
          <w:tcPr>
            <w:tcW w:type="dxa" w:w="1560"/>
          </w:tcPr>
          <w:p>
            <w:pPr>
              <w:spacing w:after="40"/>
            </w:pPr>
            <w:r/>
            <w:r>
              <w:rPr>
                <w:sz w:val="18"/>
              </w:rPr>
              <w:t>1.0000</w:t>
            </w:r>
          </w:p>
        </w:tc>
        <w:tc>
          <w:tcPr>
            <w:tcW w:type="dxa" w:w="1560"/>
          </w:tcPr>
          <w:p>
            <w:pPr>
              <w:spacing w:after="40"/>
            </w:pPr>
            <w:r/>
            <w:r>
              <w:rPr>
                <w:sz w:val="18"/>
              </w:rPr>
              <w:t>21.81</w:t>
            </w:r>
          </w:p>
        </w:tc>
        <w:tc>
          <w:tcPr>
            <w:tcW w:type="dxa" w:w="1560"/>
          </w:tcPr>
          <w:p>
            <w:pPr>
              <w:spacing w:after="40"/>
            </w:pPr>
            <w:r/>
            <w:r>
              <w:rPr>
                <w:sz w:val="18"/>
              </w:rPr>
              <w:t>40,523.60</w:t>
            </w:r>
          </w:p>
        </w:tc>
        <w:tc>
          <w:tcPr>
            <w:tcW w:type="dxa" w:w="1560"/>
          </w:tcPr>
          <w:p>
            <w:pPr>
              <w:spacing w:after="40"/>
            </w:pPr>
            <w:r/>
            <w:r>
              <w:rPr>
                <w:sz w:val="18"/>
              </w:rPr>
              <w:t>×1,858.6</w:t>
            </w:r>
          </w:p>
        </w:tc>
      </w:tr>
      <w:tr>
        <w:tc>
          <w:tcPr>
            <w:tcW w:type="dxa" w:w="1560"/>
          </w:tcPr>
          <w:p>
            <w:pPr>
              <w:spacing w:after="40"/>
            </w:pPr>
            <w:r/>
            <w:r>
              <w:rPr>
                <w:rFonts w:ascii="Consolas" w:hAnsi="Consolas"/>
                <w:sz w:val="18"/>
              </w:rPr>
              <w:t>struct_segments</w:t>
            </w:r>
          </w:p>
        </w:tc>
        <w:tc>
          <w:tcPr>
            <w:tcW w:type="dxa" w:w="1560"/>
          </w:tcPr>
          <w:p>
            <w:pPr>
              <w:spacing w:after="40"/>
            </w:pPr>
            <w:r/>
            <w:r>
              <w:rPr>
                <w:sz w:val="18"/>
              </w:rPr>
              <w:t>F3</w:t>
            </w:r>
          </w:p>
        </w:tc>
        <w:tc>
          <w:tcPr>
            <w:tcW w:type="dxa" w:w="1560"/>
          </w:tcPr>
          <w:p>
            <w:pPr>
              <w:spacing w:after="40"/>
            </w:pPr>
            <w:r/>
            <w:r>
              <w:rPr>
                <w:sz w:val="18"/>
              </w:rPr>
              <w:t>1.0000</w:t>
            </w:r>
          </w:p>
        </w:tc>
        <w:tc>
          <w:tcPr>
            <w:tcW w:type="dxa" w:w="1560"/>
          </w:tcPr>
          <w:p>
            <w:pPr>
              <w:spacing w:after="40"/>
            </w:pPr>
            <w:r/>
            <w:r>
              <w:rPr>
                <w:sz w:val="18"/>
              </w:rPr>
              <w:t>4.68</w:t>
            </w:r>
          </w:p>
        </w:tc>
        <w:tc>
          <w:tcPr>
            <w:tcW w:type="dxa" w:w="1560"/>
          </w:tcPr>
          <w:p>
            <w:pPr>
              <w:spacing w:after="40"/>
            </w:pPr>
            <w:r/>
            <w:r>
              <w:rPr>
                <w:sz w:val="18"/>
              </w:rPr>
              <w:t>70.79</w:t>
            </w:r>
          </w:p>
        </w:tc>
        <w:tc>
          <w:tcPr>
            <w:tcW w:type="dxa" w:w="1560"/>
          </w:tcPr>
          <w:p>
            <w:pPr>
              <w:spacing w:after="40"/>
            </w:pPr>
            <w:r/>
            <w:r>
              <w:rPr>
                <w:sz w:val="18"/>
              </w:rPr>
              <w:t>×15.1</w:t>
            </w:r>
          </w:p>
        </w:tc>
      </w:tr>
      <w:tr>
        <w:tc>
          <w:tcPr>
            <w:tcW w:type="dxa" w:w="1560"/>
          </w:tcPr>
          <w:p>
            <w:pPr>
              <w:spacing w:after="40"/>
            </w:pPr>
            <w:r/>
            <w:r>
              <w:rPr>
                <w:rFonts w:ascii="Consolas" w:hAnsi="Consolas"/>
                <w:sz w:val="18"/>
              </w:rPr>
              <w:t>rand_dispersion</w:t>
            </w:r>
          </w:p>
        </w:tc>
        <w:tc>
          <w:tcPr>
            <w:tcW w:type="dxa" w:w="1560"/>
          </w:tcPr>
          <w:p>
            <w:pPr>
              <w:spacing w:after="40"/>
            </w:pPr>
            <w:r/>
            <w:r>
              <w:rPr>
                <w:sz w:val="18"/>
              </w:rPr>
              <w:t>F2</w:t>
            </w:r>
          </w:p>
        </w:tc>
        <w:tc>
          <w:tcPr>
            <w:tcW w:type="dxa" w:w="1560"/>
          </w:tcPr>
          <w:p>
            <w:pPr>
              <w:spacing w:after="40"/>
            </w:pPr>
            <w:r/>
            <w:r>
              <w:rPr>
                <w:sz w:val="18"/>
              </w:rPr>
              <w:t>0.9897</w:t>
            </w:r>
          </w:p>
        </w:tc>
        <w:tc>
          <w:tcPr>
            <w:tcW w:type="dxa" w:w="1560"/>
          </w:tcPr>
          <w:p>
            <w:pPr>
              <w:spacing w:after="40"/>
            </w:pPr>
            <w:r/>
            <w:r>
              <w:rPr>
                <w:sz w:val="18"/>
              </w:rPr>
              <w:t>0.89</w:t>
            </w:r>
          </w:p>
        </w:tc>
        <w:tc>
          <w:tcPr>
            <w:tcW w:type="dxa" w:w="1560"/>
          </w:tcPr>
          <w:p>
            <w:pPr>
              <w:spacing w:after="40"/>
            </w:pPr>
            <w:r/>
            <w:r>
              <w:rPr>
                <w:sz w:val="18"/>
              </w:rPr>
              <w:t>9.34</w:t>
            </w:r>
          </w:p>
        </w:tc>
        <w:tc>
          <w:tcPr>
            <w:tcW w:type="dxa" w:w="1560"/>
          </w:tcPr>
          <w:p>
            <w:pPr>
              <w:spacing w:after="40"/>
            </w:pPr>
            <w:r/>
            <w:r>
              <w:rPr>
                <w:sz w:val="18"/>
              </w:rPr>
              <w:t>×10.5</w:t>
            </w:r>
          </w:p>
        </w:tc>
      </w:tr>
      <w:tr>
        <w:tc>
          <w:tcPr>
            <w:tcW w:type="dxa" w:w="1560"/>
          </w:tcPr>
          <w:p>
            <w:pPr>
              <w:spacing w:after="40"/>
            </w:pPr>
            <w:r/>
            <w:r>
              <w:rPr>
                <w:rFonts w:ascii="Consolas" w:hAnsi="Consolas"/>
                <w:sz w:val="18"/>
              </w:rPr>
              <w:t>struct_max_segment</w:t>
            </w:r>
          </w:p>
        </w:tc>
        <w:tc>
          <w:tcPr>
            <w:tcW w:type="dxa" w:w="1560"/>
          </w:tcPr>
          <w:p>
            <w:pPr>
              <w:spacing w:after="40"/>
            </w:pPr>
            <w:r/>
            <w:r>
              <w:rPr>
                <w:sz w:val="18"/>
              </w:rPr>
              <w:t>F3</w:t>
            </w:r>
          </w:p>
        </w:tc>
        <w:tc>
          <w:tcPr>
            <w:tcW w:type="dxa" w:w="1560"/>
          </w:tcPr>
          <w:p>
            <w:pPr>
              <w:spacing w:after="40"/>
            </w:pPr>
            <w:r/>
            <w:r>
              <w:rPr>
                <w:sz w:val="18"/>
              </w:rPr>
              <w:t>0.9011</w:t>
            </w:r>
          </w:p>
        </w:tc>
        <w:tc>
          <w:tcPr>
            <w:tcW w:type="dxa" w:w="1560"/>
          </w:tcPr>
          <w:p>
            <w:pPr>
              <w:spacing w:after="40"/>
            </w:pPr>
            <w:r/>
            <w:r>
              <w:rPr>
                <w:sz w:val="18"/>
              </w:rPr>
              <w:t>8.17</w:t>
            </w:r>
          </w:p>
        </w:tc>
        <w:tc>
          <w:tcPr>
            <w:tcW w:type="dxa" w:w="1560"/>
          </w:tcPr>
          <w:p>
            <w:pPr>
              <w:spacing w:after="40"/>
            </w:pPr>
            <w:r/>
            <w:r>
              <w:rPr>
                <w:sz w:val="18"/>
              </w:rPr>
              <w:t>220.02</w:t>
            </w:r>
          </w:p>
        </w:tc>
        <w:tc>
          <w:tcPr>
            <w:tcW w:type="dxa" w:w="1560"/>
          </w:tcPr>
          <w:p>
            <w:pPr>
              <w:spacing w:after="40"/>
            </w:pPr>
            <w:r/>
            <w:r>
              <w:rPr>
                <w:sz w:val="18"/>
              </w:rPr>
              <w:t>×26.9</w:t>
            </w:r>
          </w:p>
        </w:tc>
      </w:tr>
      <w:tr>
        <w:tc>
          <w:tcPr>
            <w:tcW w:type="dxa" w:w="1560"/>
          </w:tcPr>
          <w:p>
            <w:pPr>
              <w:spacing w:after="40"/>
            </w:pPr>
            <w:r/>
            <w:r>
              <w:rPr>
                <w:rFonts w:ascii="Consolas" w:hAnsi="Consolas"/>
                <w:sz w:val="18"/>
              </w:rPr>
              <w:t>rand_entropy</w:t>
            </w:r>
          </w:p>
        </w:tc>
        <w:tc>
          <w:tcPr>
            <w:tcW w:type="dxa" w:w="1560"/>
          </w:tcPr>
          <w:p>
            <w:pPr>
              <w:spacing w:after="40"/>
            </w:pPr>
            <w:r/>
            <w:r>
              <w:rPr>
                <w:sz w:val="18"/>
              </w:rPr>
              <w:t>F2</w:t>
            </w:r>
          </w:p>
        </w:tc>
        <w:tc>
          <w:tcPr>
            <w:tcW w:type="dxa" w:w="1560"/>
          </w:tcPr>
          <w:p>
            <w:pPr>
              <w:spacing w:after="40"/>
            </w:pPr>
            <w:r/>
            <w:r>
              <w:rPr>
                <w:sz w:val="18"/>
              </w:rPr>
              <w:t>0.8916</w:t>
            </w:r>
          </w:p>
        </w:tc>
        <w:tc>
          <w:tcPr>
            <w:tcW w:type="dxa" w:w="1560"/>
          </w:tcPr>
          <w:p>
            <w:pPr>
              <w:spacing w:after="40"/>
            </w:pPr>
            <w:r/>
            <w:r>
              <w:rPr>
                <w:sz w:val="18"/>
              </w:rPr>
              <w:t>2.48</w:t>
            </w:r>
          </w:p>
        </w:tc>
        <w:tc>
          <w:tcPr>
            <w:tcW w:type="dxa" w:w="1560"/>
          </w:tcPr>
          <w:p>
            <w:pPr>
              <w:spacing w:after="40"/>
            </w:pPr>
            <w:r/>
            <w:r>
              <w:rPr>
                <w:sz w:val="18"/>
              </w:rPr>
              <w:t>1.00</w:t>
            </w:r>
          </w:p>
        </w:tc>
        <w:tc>
          <w:tcPr>
            <w:tcW w:type="dxa" w:w="1560"/>
          </w:tcPr>
          <w:p>
            <w:pPr>
              <w:spacing w:after="40"/>
            </w:pPr>
            <w:r/>
            <w:r>
              <w:rPr>
                <w:sz w:val="18"/>
              </w:rPr>
              <w:t>×0.40</w:t>
            </w:r>
          </w:p>
        </w:tc>
      </w:tr>
    </w:tbl>
    <w:p>
      <w:pPr>
        <w:spacing w:after="80"/>
      </w:pPr>
    </w:p>
    <w:p>
      <w:r>
        <w:t xml:space="preserve">Every column — </w:t>
      </w:r>
      <w:r>
        <w:rPr>
          <w:b/>
        </w:rPr>
        <w:t>including every one of F1's three columns</w:t>
      </w:r>
      <w:r>
        <w:t xml:space="preserve"> — shows a KS statistic between 0.89 and 1.00: near-total or fully disjoint support between the two datasets. </w:t>
      </w:r>
      <w:r>
        <w:rPr>
          <w:rFonts w:ascii="Consolas" w:hAnsi="Consolas"/>
          <w:sz w:val="20"/>
        </w:rPr>
        <w:t>vol_total</w:t>
      </w:r>
      <w:r>
        <w:t xml:space="preserve"> alone differs by a factor of ~1,859× in raw scale, because Dataset A's realisation (</w:t>
      </w:r>
      <w:r>
        <w:rPr>
          <w:rFonts w:ascii="Consolas" w:hAnsi="Consolas"/>
          <w:sz w:val="20"/>
        </w:rPr>
        <w:t>FQDN_count</w:t>
      </w:r>
      <w:r>
        <w:t>, a small per-query integer) and Dataset B's (</w:t>
      </w:r>
      <w:r>
        <w:rPr>
          <w:rFonts w:ascii="Consolas" w:hAnsi="Consolas"/>
          <w:sz w:val="20"/>
        </w:rPr>
        <w:t>FlowBytesSent</w:t>
      </w:r>
      <w:r>
        <w:t>, cumulative bytes in a flow) are behaviourally analogous but not numerically comparable quantities (</w:t>
      </w:r>
      <w:r>
        <w:rPr>
          <w:rFonts w:ascii="Consolas" w:hAnsi="Consolas"/>
          <w:sz w:val="20"/>
        </w:rPr>
        <w:t>schema/unified.py</w:t>
      </w:r>
      <w:r>
        <w:t xml:space="preserve"> </w:t>
      </w:r>
      <w:r>
        <w:rPr>
          <w:rFonts w:ascii="Consolas" w:hAnsi="Consolas"/>
          <w:sz w:val="20"/>
        </w:rPr>
        <w:t>COLUMN_SOURCE</w:t>
      </w:r>
      <w:r>
        <w:t xml:space="preserve">). </w:t>
      </w:r>
      <w:r>
        <w:rPr>
          <w:b/>
        </w:rPr>
        <w:t>This directly contradicts §5.4's original premise that F1 is "the family with a genuinely direct counterpart on both sides"</w:t>
      </w:r>
      <w:r>
        <w:t xml:space="preserve"> — at the raw-distribution level it is not, and z-scoring (fit on the training/source dataset only, §5.3) does not repair this: standardising to mean 0 / std 1 preserves each dataset's own distribution </w:t>
      </w:r>
      <w:r>
        <w:rPr>
          <w:i/>
        </w:rPr>
        <w:t>shape</w:t>
      </w:r>
      <w:r>
        <w:t>, and the two shapes differ enough that a decision boundary learned in one dataset's standardised space does not carve up the other's the same way. Concretely: on Dataset A, "high z-scored volume" reliably signals attack; the same z-score region in Dataset B's differently-shaped standardised space behaves completely differently, so a model trained on A calls nearly everything in B's space "high" (the observed always-positive collapse), and the reverse direction collapses the opposite way.</w:t>
      </w:r>
    </w:p>
    <w:p>
      <w:r>
        <w:rPr>
          <w:b/>
        </w:rPr>
        <w:t>What §5.2.1's ranking check (the module's own stated goal — cross-check the KS ranking against the ablation result) actually shows:</w:t>
      </w:r>
      <w:r>
        <w:t xml:space="preserve"> with every column at KS≥0.89, there is no meaningful ranking signal left to check against the ablation — the ablation's uniform, unanimous failure (§5.2.2) is fully consistent with a uniform, near-total distribution shift across every intersection column, not a graded one where some features transfer better than others. That uniformity is itself the finding: this is not "F2/F3 are worse proxies than F1," it is "none of the 7 raw-scale intersection columns are numerically comparable across this specific encryption boundary, F1 included."</w:t>
      </w:r>
    </w:p>
    <w:p>
      <w:r>
        <w:rPr>
          <w:b/>
        </w:rPr>
        <w:t>What was not tried, given today's deadline:</w:t>
      </w:r>
      <w:r>
        <w:t xml:space="preserve"> a </w:t>
      </w:r>
      <w:r>
        <w:rPr>
          <w:rFonts w:ascii="Consolas" w:hAnsi="Consolas"/>
          <w:sz w:val="20"/>
        </w:rPr>
        <w:t>log1p</w:t>
      </w:r>
      <w:r>
        <w:t xml:space="preserve"> transform applied uniformly to all three F1 columns before scaling (already used for </w:t>
      </w:r>
      <w:r>
        <w:rPr>
          <w:rFonts w:ascii="Consolas" w:hAnsi="Consolas"/>
          <w:sz w:val="20"/>
        </w:rPr>
        <w:t>rand_dispersion</w:t>
      </w:r>
      <w:r>
        <w:t>'s Dataset-B realisation, §5.3, but not extended to F1), or a scaler fit jointly across both datasets' training halves rather than per-source — proposed remedies, not yet tested against this same transfer matrix.</w:t>
      </w:r>
    </w:p>
    <w:p>
      <w:pPr>
        <w:pStyle w:val="Heading2"/>
      </w:pPr>
      <w:r>
        <w:t>5.3 Scaling remedies</w:t>
      </w:r>
    </w:p>
    <w:p>
      <w:r>
        <w:t xml:space="preserve">Three remedies are applied, each for a distinct mathematical reason, all inside </w:t>
      </w:r>
      <w:r>
        <w:rPr>
          <w:rFonts w:ascii="Consolas" w:hAnsi="Consolas"/>
          <w:sz w:val="20"/>
        </w:rPr>
        <w:t>preprocessing/pipeline.py</w:t>
      </w:r>
      <w:r>
        <w:t xml:space="preserve">'s </w:t>
      </w:r>
      <w:r>
        <w:rPr>
          <w:rFonts w:ascii="Consolas" w:hAnsi="Consolas"/>
          <w:sz w:val="20"/>
        </w:rPr>
        <w:t>build_pipeline()</w:t>
      </w:r>
      <w:r>
        <w:t xml:space="preserve"> so every model shares one preprocessing contract:</w:t>
      </w:r>
    </w:p>
    <w:p>
      <w:pPr>
        <w:pStyle w:val="ListBullet"/>
      </w:pPr>
      <w:r>
        <w:rPr>
          <w:b/>
        </w:rPr>
        <w:t>Z-scoring within dataset</w:t>
      </w:r>
      <w:r>
        <w:t xml:space="preserve"> (</w:t>
      </w:r>
      <w:r>
        <w:rPr>
          <w:rFonts w:ascii="Consolas" w:hAnsi="Consolas"/>
          <w:sz w:val="20"/>
        </w:rPr>
        <w:t>StandardScaler</w:t>
      </w:r>
      <w:r>
        <w:t>, fit per-fold in-domain / fit-on-source for transfer).</w:t>
      </w:r>
    </w:p>
    <w:p>
      <w:r>
        <w:t xml:space="preserve">  The unified schema's 11 columns span wildly different native scales (byte counts vs. entropy bits vs.   segment counts) — z-scoring puts every feature on a comparable footing before it reaches a   distance-sensitive estimator (Isolation Forest's isolation depth, the CNN's gradient-based training),   and doing it </w:t>
      </w:r>
      <w:r>
        <w:rPr>
          <w:b/>
        </w:rPr>
        <w:t>per fold/per source dataset only</w:t>
      </w:r>
      <w:r>
        <w:t xml:space="preserve"> — never on the full combined data — is what keeps the   cross-dataset transfer cells an honest "deploy into an unseen environment" simulation rather than an   oracle fit.</w:t>
      </w:r>
    </w:p>
    <w:p>
      <w:pPr>
        <w:pStyle w:val="ListBullet"/>
      </w:pPr>
      <w:r>
        <w:rPr>
          <w:b/>
        </w:rPr>
        <w:t>`log1p` on heavy-tailed volume features.</w:t>
      </w:r>
      <w:r>
        <w:t xml:space="preserve"> </w:t>
      </w:r>
      <w:r>
        <w:rPr>
          <w:rFonts w:ascii="Consolas" w:hAnsi="Consolas"/>
          <w:sz w:val="20"/>
        </w:rPr>
        <w:t>rand_dispersion</w:t>
      </w:r>
      <w:r>
        <w:t>'s Dataset-B realisation is defined</w:t>
      </w:r>
    </w:p>
    <w:p>
      <w:r>
        <w:t xml:space="preserve">  directly as </w:t>
      </w:r>
      <w:r>
        <w:rPr>
          <w:rFonts w:ascii="Consolas" w:hAnsi="Consolas"/>
          <w:sz w:val="20"/>
        </w:rPr>
        <w:t>log1p(PacketLengthVariance)</w:t>
      </w:r>
      <w:r>
        <w:t xml:space="preserve"> (</w:t>
      </w:r>
      <w:r>
        <w:rPr>
          <w:rFonts w:ascii="Consolas" w:hAnsi="Consolas"/>
          <w:sz w:val="20"/>
        </w:rPr>
        <w:t>schema/unified.py</w:t>
      </w:r>
      <w:r>
        <w:t xml:space="preserve"> </w:t>
      </w:r>
      <w:r>
        <w:rPr>
          <w:rFonts w:ascii="Consolas" w:hAnsi="Consolas"/>
          <w:sz w:val="20"/>
        </w:rPr>
        <w:t>COLUMN_SOURCE</w:t>
      </w:r>
      <w:r>
        <w:t>) precisely because   packet-length variance is heavily right-skewed by the rare, very large exfiltration payloads — a raw   variance feature would let a handful of extreme rows dominate any distance- or gradient-based model's   gradient signal; the log transform compresses that tail into a shape closer to the bulk of the benign   distribution while preserving rank order.</w:t>
      </w:r>
    </w:p>
    <w:p>
      <w:pPr>
        <w:pStyle w:val="ListBullet"/>
      </w:pPr>
      <w:r>
        <w:rPr>
          <w:b/>
        </w:rPr>
        <w:t>Median imputation, not mean</w:t>
      </w:r>
      <w:r>
        <w:t xml:space="preserve"> (</w:t>
      </w:r>
      <w:r>
        <w:rPr>
          <w:rFonts w:ascii="Consolas" w:hAnsi="Consolas"/>
          <w:sz w:val="20"/>
        </w:rPr>
        <w:t>SimpleImputer(strategy="median", keep_empty_features=True)</w:t>
      </w:r>
      <w:r>
        <w:t>).</w:t>
      </w:r>
    </w:p>
    <w:p>
      <w:r>
        <w:t xml:space="preserve">  Median is the robust choice for the same right-skewed volume features </w:t>
      </w:r>
      <w:r>
        <w:rPr>
          <w:rFonts w:ascii="Consolas" w:hAnsi="Consolas"/>
          <w:sz w:val="20"/>
        </w:rPr>
        <w:t>log1p</w:t>
      </w:r>
      <w:r>
        <w:t xml:space="preserve"> targets — a mean   computed from a skewed distribution is itself skewed, so imputing with it would bias every row that   needed imputation toward the tail. </w:t>
      </w:r>
      <w:r>
        <w:rPr>
          <w:rFonts w:ascii="Consolas" w:hAnsi="Consolas"/>
          <w:sz w:val="20"/>
        </w:rPr>
        <w:t>keep_empty_features=True</w:t>
      </w:r>
      <w:r>
        <w:t xml:space="preserve"> is the structural implementation of the   D2 observability finding below: an entirely-NaN column (Dataset A's four B_ONLY columns) is imputed to   a constant rather than silently dropped, which </w:t>
      </w:r>
      <w:r>
        <w:rPr>
          <w:rFonts w:ascii="Consolas" w:hAnsi="Consolas"/>
          <w:sz w:val="20"/>
        </w:rPr>
        <w:t>StandardScaler</w:t>
      </w:r>
      <w:r>
        <w:t xml:space="preserve"> then leaves at a stable zero — "this   family carries no signal here" becomes a structural property of the pipeline, not merely a sentence in   this report.</w:t>
      </w:r>
    </w:p>
    <w:p>
      <w:pPr>
        <w:pStyle w:val="Heading2"/>
      </w:pPr>
      <w:r>
        <w:t>5.4 The observability finding (D2)</w:t>
      </w:r>
    </w:p>
    <w:p>
      <w:r>
        <w:rPr>
          <w:b/>
        </w:rPr>
        <w:t>Three of five behavioural families are unobservable, or observable only as a weak statistical proxy, once traffic crosses the plaintext-DNS-to-encrypted-DoH boundary — and measuring exactly how much information that boundary destroys is this project's central empirical claim, not a limitation to apologise for.</w:t>
      </w:r>
    </w:p>
    <w:p>
      <w:pPr>
        <w:pStyle w:val="ListBullet"/>
      </w:pPr>
      <w:r>
        <w:rPr>
          <w:b/>
        </w:rPr>
        <w:t>F4 (temporal rhythm) and F5 (endpoint dispersion) are entirely unobservable on Dataset A.</w:t>
      </w:r>
      <w:r>
        <w:t xml:space="preserve"> Every row</w:t>
      </w:r>
    </w:p>
    <w:p>
      <w:r>
        <w:t xml:space="preserve">  of </w:t>
      </w:r>
      <w:r>
        <w:rPr>
          <w:rFonts w:ascii="Consolas" w:hAnsi="Consolas"/>
          <w:sz w:val="20"/>
        </w:rPr>
        <w:t>time_central</w:t>
      </w:r>
      <w:r>
        <w:t xml:space="preserve">, </w:t>
      </w:r>
      <w:r>
        <w:rPr>
          <w:rFonts w:ascii="Consolas" w:hAnsi="Consolas"/>
          <w:sz w:val="20"/>
        </w:rPr>
        <w:t>time_dispersion</w:t>
      </w:r>
      <w:r>
        <w:t xml:space="preserve">, </w:t>
      </w:r>
      <w:r>
        <w:rPr>
          <w:rFonts w:ascii="Consolas" w:hAnsi="Consolas"/>
          <w:sz w:val="20"/>
        </w:rPr>
        <w:t>time_skew</w:t>
      </w:r>
      <w:r>
        <w:t xml:space="preserve">, and </w:t>
      </w:r>
      <w:r>
        <w:rPr>
          <w:rFonts w:ascii="Consolas" w:hAnsi="Consolas"/>
          <w:sz w:val="20"/>
        </w:rPr>
        <w:t>disp_uniqueness</w:t>
      </w:r>
      <w:r>
        <w:t xml:space="preserve"> is NaN by construction on   Dataset A — not a data-quality defect, but the direct consequence of Dataset A being restricted to   stateless, single-query features (decision D1): a resolver log of independent queries has no   client-session key to compute inter-arrival rhythm or destination fan-out over. Dataset B, built from   full DoH flow captures, observes both natively. This is verified structurally in </w:t>
      </w:r>
      <w:r>
        <w:rPr>
          <w:rFonts w:ascii="Consolas" w:hAnsi="Consolas"/>
          <w:sz w:val="20"/>
        </w:rPr>
        <w:t>runs/metrics/near_constant_report_exf2021.json</w:t>
      </w:r>
      <w:r>
        <w:t xml:space="preserve">   (Chapter 3.6): the four B_ONLY columns are exactly 100% NaN, confirmed </w:t>
      </w:r>
      <w:r>
        <w:rPr>
          <w:rFonts w:ascii="Consolas" w:hAnsi="Consolas"/>
          <w:sz w:val="20"/>
        </w:rPr>
        <w:t>near_constant: true</w:t>
      </w:r>
      <w:r>
        <w:t xml:space="preserve"> only   </w:t>
      </w:r>
      <w:r>
        <w:rPr>
          <w:i/>
        </w:rPr>
        <w:t>after</w:t>
      </w:r>
      <w:r>
        <w:t xml:space="preserve"> imputation, never silently coerced beforehand.</w:t>
      </w:r>
    </w:p>
    <w:p>
      <w:pPr>
        <w:pStyle w:val="ListBullet"/>
      </w:pPr>
      <w:r>
        <w:rPr>
          <w:b/>
        </w:rPr>
        <w:t>F2 and F3 survive the boundary only as proxies, not equivalents.</w:t>
      </w:r>
      <w:r>
        <w:t xml:space="preserve"> Dataset A measures encoding</w:t>
      </w:r>
    </w:p>
    <w:p>
      <w:r>
        <w:t xml:space="preserve">  randomness and structural complexity directly from the query string itself (</w:t>
      </w:r>
      <w:r>
        <w:rPr>
          <w:rFonts w:ascii="Consolas" w:hAnsi="Consolas"/>
          <w:sz w:val="20"/>
        </w:rPr>
        <w:t>entropy</w:t>
      </w:r>
      <w:r>
        <w:t xml:space="preserve">, </w:t>
      </w:r>
      <w:r>
        <w:rPr>
          <w:rFonts w:ascii="Consolas" w:hAnsi="Consolas"/>
          <w:sz w:val="20"/>
        </w:rPr>
        <w:t>labels</w:t>
      </w:r>
      <w:r>
        <w:t xml:space="preserve">,   </w:t>
      </w:r>
      <w:r>
        <w:rPr>
          <w:rFonts w:ascii="Consolas" w:hAnsi="Consolas"/>
          <w:sz w:val="20"/>
        </w:rPr>
        <w:t>labels_max</w:t>
      </w:r>
      <w:r>
        <w:t xml:space="preserve"> — string-level measures available because Dataset A observes the plaintext query).   Dataset B has no plaintext query to inspect at all — DoH's entire premise is that the query is   encrypted in transit — so its F2/F3 columns are reconstructed from packet-length statistics instead   (</w:t>
      </w:r>
      <w:r>
        <w:rPr>
          <w:rFonts w:ascii="Consolas" w:hAnsi="Consolas"/>
          <w:sz w:val="20"/>
        </w:rPr>
        <w:t>PacketLengthCoefficientofVariation</w:t>
      </w:r>
      <w:r>
        <w:t xml:space="preserve">, </w:t>
      </w:r>
      <w:r>
        <w:rPr>
          <w:rFonts w:ascii="Consolas" w:hAnsi="Consolas"/>
          <w:sz w:val="20"/>
        </w:rPr>
        <w:t>PacketLengthMode</w:t>
      </w:r>
      <w:r>
        <w:t xml:space="preserve">, </w:t>
      </w:r>
      <w:r>
        <w:rPr>
          <w:rFonts w:ascii="Consolas" w:hAnsi="Consolas"/>
          <w:sz w:val="20"/>
        </w:rPr>
        <w:t>PacketLengthStandardDeviation</w:t>
      </w:r>
      <w:r>
        <w:t xml:space="preserve">). These are   </w:t>
      </w:r>
      <w:r>
        <w:rPr>
          <w:i/>
        </w:rPr>
        <w:t>correlated with</w:t>
      </w:r>
      <w:r>
        <w:t xml:space="preserve">, not </w:t>
      </w:r>
      <w:r>
        <w:rPr>
          <w:i/>
        </w:rPr>
        <w:t>identical to</w:t>
      </w:r>
      <w:r>
        <w:t>, the plaintext-side signal: a base64-encoded payload's   string-level entropy and the packet-length variability it produces on the wire are related but   distinct measurements, one direct and one inferred. This is exactly the distinction the D3 ablation   (§5.2) is designed to quantify — if F2/F3 genuinely only proxy the plaintext signal, models trained on   F1+F2+F3 should transfer worse across the boundary than models trained on F1 alone.</w:t>
      </w:r>
    </w:p>
    <w:p>
      <w:pPr>
        <w:pStyle w:val="ListBullet"/>
      </w:pPr>
      <w:r>
        <w:t>**F1 (payload volume) was predicted to be the one family with a genuinely direct counterpart on both</w:t>
      </w:r>
    </w:p>
    <w:p>
      <w:r>
        <w:t xml:space="preserve">  sides.** Encrypted or not, a payload of N bytes still produces N bytes of DNS/DoH traffic — volume is a   property of the channel, not of whether the channel's content is legible, so F1 was the family   predicted to transfer best.</w:t>
      </w:r>
    </w:p>
    <w:p>
      <w:r>
        <w:rPr>
          <w:b/>
        </w:rPr>
        <w:t>Update (15 Aug 2026, once §5.2's real transfer numbers landed): the F1 prediction above did not hold, and the ablation falsifies it directly (§5.2.2).</w:t>
      </w:r>
      <w:r>
        <w:t xml:space="preserve"> Conceptual equivalence ("both sides measure payload volume") turned out not to imply numerical equivalence: §5.2.3's distribution-shift analysis shows F1's own three columns among the </w:t>
      </w:r>
      <w:r>
        <w:rPr>
          <w:i/>
        </w:rPr>
        <w:t>most</w:t>
      </w:r>
      <w:r>
        <w:t xml:space="preserve"> distributionally shifted of the whole intersection set (KS 0.90–1.00; </w:t>
      </w:r>
      <w:r>
        <w:rPr>
          <w:rFonts w:ascii="Consolas" w:hAnsi="Consolas"/>
          <w:sz w:val="20"/>
        </w:rPr>
        <w:t>vol_total</w:t>
      </w:r>
      <w:r>
        <w:t xml:space="preserve"> differs ×1,859 in raw scale, because Dataset A's realisation is a small per-query integer count and Dataset B's is cumulative flow bytes — related in concept, not in units). The corrected reading: </w:t>
      </w:r>
      <w:r>
        <w:rPr>
          <w:b/>
        </w:rPr>
        <w:t>"can be computed on both sides" and "means the same numeric thing on both sides" are different claims, and this project's data says F1 satisfies only the first one</w:t>
      </w:r>
      <w:r>
        <w:t xml:space="preserve"> — no better than F2/F3, and on </w:t>
      </w:r>
      <w:r>
        <w:rPr>
          <w:rFonts w:ascii="Consolas" w:hAnsi="Consolas"/>
          <w:sz w:val="20"/>
        </w:rPr>
        <w:t>vol_total</w:t>
      </w:r>
      <w:r>
        <w:t xml:space="preserve"> specifically, considerably worse. This sharpens, rather than undermines, the chapter's central claim: even the family assumed safest from the encryption boundary's effects still fails to transfer, so the boundary's practical cost is </w:t>
      </w:r>
      <w:r>
        <w:rPr>
          <w:i/>
        </w:rPr>
        <w:t>larger</w:t>
      </w:r>
      <w:r>
        <w:t xml:space="preserve"> than the original D2 argument (which only priced in F4/F5's total loss and F2/F3's degradation) accounted for.</w:t>
      </w:r>
    </w:p>
    <w:p>
      <w:r>
        <w:rPr>
          <w:b/>
        </w:rPr>
        <w:t>Framed as a result about what encrypted telemetry can and cannot reveal:</w:t>
      </w:r>
      <w:r>
        <w:t xml:space="preserve"> an operator who only has access to encrypted DoH flow captures — the realistic case for anyone downstream of the resolver once DoH is in wide use — retains conceptual visibility into payload volume, encoding randomness, and structural complexity, and zero visibility into anything Dataset A's stateless schema was ever able to see about rhythm or fan-out (because Dataset A never had that telemetry either). But §5.2's real numbers show that visibility does not equal </w:t>
      </w:r>
      <w:r>
        <w:rPr>
          <w:b/>
        </w:rPr>
        <w:t>transferability</w:t>
      </w:r>
      <w:r>
        <w:t xml:space="preserve">: a detector trained on one vantage point's raw feature scale cannot be deployed as-is on the other, for any of the four models tested, even on the families both sides can nominally compute. The practical implication for a defender is therefore not "invest in F1 over F2/F3" (the original hypothesis) but </w:t>
      </w:r>
      <w:r>
        <w:rPr>
          <w:b/>
        </w:rPr>
        <w:t>"train and calibrate separately per vantage point — plaintext-DNS and encrypted-DoH require their own models, not one model deployed twice."</w:t>
      </w:r>
    </w:p>
    <w:p>
      <w:r>
        <w:br w:type="page"/>
      </w:r>
    </w:p>
    <w:p>
      <w:pPr>
        <w:pStyle w:val="Heading1"/>
      </w:pPr>
      <w:r>
        <w:t>Chapter 6 — Model Architectures</w:t>
      </w:r>
    </w:p>
    <w:p>
      <w:pPr>
        <w:pStyle w:val="Heading2"/>
      </w:pPr>
      <w:r>
        <w:t>6.1 Per-model mathematical justification</w:t>
      </w:r>
    </w:p>
    <w:p>
      <w:r>
        <w:t>Four architectures were chosen to span the space of relevant inductive biases — axis-aligned rule learning, local-pattern convolution, density-based isolation, and reconstruction-based novelty — rather than four arbitrary points in model-space. Each is justified below against the specific signal the unified schema (Chapter 5.1) is designed to expose.</w:t>
      </w:r>
    </w:p>
    <w:p>
      <w:r>
        <w:rPr>
          <w:b/>
        </w:rPr>
        <w:t>XGBoost — axis-aligned splits match threshold-like exfiltration signals.</w:t>
      </w:r>
      <w:r>
        <w:t xml:space="preserve"> Gradient-boosted trees partition feature space with axis-aligned splits (</w:t>
      </w:r>
      <w:r>
        <w:rPr>
          <w:rFonts w:ascii="Consolas" w:hAnsi="Consolas"/>
          <w:sz w:val="20"/>
        </w:rPr>
        <w:t>feature ≤ threshold</w:t>
      </w:r>
      <w:r>
        <w:t xml:space="preserve">), which is exactly the functional form the unified schema's features were engineered to produce a signal in: F1's volume features and F3's structural-complexity features are threshold-like by the physics of the attack itself (a payload of size N either does or does not exceed what a benign lookup plausibly needs; a DNS label either does or does not approach the 63-byte carrier limit), not smoothly varying signals that need a learned nonlinear boundary to separate. </w:t>
      </w:r>
      <w:r>
        <w:rPr>
          <w:rFonts w:ascii="Consolas" w:hAnsi="Consolas"/>
          <w:sz w:val="20"/>
        </w:rPr>
        <w:t>scale_pos_weight</w:t>
      </w:r>
      <w:r>
        <w:t xml:space="preserve"> (rather than SMOTE — see Chapter 7.2) gives XGBoost native cost-sensitive reweighting for class imbalance without synthesising rows, matching the project's "resampling xor reweighting, never both" discipline (</w:t>
      </w:r>
      <w:r>
        <w:rPr>
          <w:rFonts w:ascii="Consolas" w:hAnsi="Consolas"/>
          <w:sz w:val="20"/>
        </w:rPr>
        <w:t>models/supervised.py</w:t>
      </w:r>
      <w:r>
        <w:t>). This is the project's primary supervised detector precisely because tree ensembles are the natural match for tabular, mixed-scale, threshold-driven security telemetry — the same reasoning the two Chapter 2 papers' own best-performing classical models (Random Forest in Mahdavifar et al.) independently arrive at.</w:t>
      </w:r>
    </w:p>
    <w:p>
      <w:r>
        <w:rPr>
          <w:b/>
        </w:rPr>
        <w:t>1D-CNN — local receptive field over a family-ordered vector.</w:t>
      </w:r>
      <w:r>
        <w:t xml:space="preserve"> </w:t>
      </w:r>
      <w:r>
        <w:rPr>
          <w:rFonts w:ascii="Consolas" w:hAnsi="Consolas"/>
          <w:sz w:val="20"/>
        </w:rPr>
        <w:t>schema/unified.py</w:t>
      </w:r>
      <w:r>
        <w:t xml:space="preserve">'s column order is not incidental: </w:t>
      </w:r>
      <w:r>
        <w:rPr>
          <w:rFonts w:ascii="Consolas" w:hAnsi="Consolas"/>
          <w:sz w:val="20"/>
        </w:rPr>
        <w:t>UNIFIED_COLUMNS</w:t>
      </w:r>
      <w:r>
        <w:t xml:space="preserve"> groups the 11 features by family (F1's three volume columns adjacent, then F2's two entropy columns, then F3, F4, F5), specifically so a 1D convolution's local receptive field (kernel size 3, two conv blocks at 32/64 filters, </w:t>
      </w:r>
      <w:r>
        <w:rPr>
          <w:rFonts w:ascii="Consolas" w:hAnsi="Consolas"/>
          <w:sz w:val="20"/>
        </w:rPr>
        <w:t>padding="same"</w:t>
      </w:r>
      <w:r>
        <w:t xml:space="preserve">) can learn within-family interaction patterns — e.g. a volume/dispersion relationship inside F1, or a rhythm/dispersion relationship spanning F4 into F5 — as </w:t>
      </w:r>
      <w:r>
        <w:rPr>
          <w:i/>
        </w:rPr>
        <w:t>local</w:t>
      </w:r>
      <w:r>
        <w:t xml:space="preserve"> structure, the way a CNN over a 1D signal is designed to exploit. A supervised model with no notion of spatial locality (e.g. a plain MLP over the same 11 numbers) would have to learn every such interaction as a global weight pattern from scratch; ordering the input by family gives the convolution's inductive bias something real to latch onto. BatchNorm and dropout (0.3) regularise against the comparatively small feature count (11 inputs is a narrow signal for a two-block conv architecture) overfitting to noise in any single fold.</w:t>
      </w:r>
    </w:p>
    <w:p>
      <w:r>
        <w:rPr>
          <w:b/>
        </w:rPr>
        <w:t>Isolation Forest — cheap, high-recall isolation depth as a first-stage filter.</w:t>
      </w:r>
      <w:r>
        <w:t xml:space="preserve"> Isolation Forest's mechanism — recursively partition feature space with random splits, and score a point by how few splits it takes to isolate it — requires no labels and no assumption about what the attack class looks like, only that anomalies are </w:t>
      </w:r>
      <w:r>
        <w:rPr>
          <w:i/>
        </w:rPr>
        <w:t>few and different</w:t>
      </w:r>
      <w:r>
        <w:t xml:space="preserve"> and therefore isolate faster than the dense majority. This is the right fit for exactly one specific role in this project: Step 3C's cascade Stage 1, a cheap pre-filter whose job is to discard the "obviously normal" bulk of traffic before a more expensive supervised model examines the survivors (</w:t>
      </w:r>
      <w:r>
        <w:rPr>
          <w:rFonts w:ascii="Consolas" w:hAnsi="Consolas"/>
          <w:sz w:val="20"/>
        </w:rPr>
        <w:t>models/unsupervised.py</w:t>
      </w:r>
      <w:r>
        <w:t xml:space="preserve">). It is deliberately </w:t>
      </w:r>
      <w:r>
        <w:rPr>
          <w:i/>
        </w:rPr>
        <w:t>not</w:t>
      </w:r>
      <w:r>
        <w:t xml:space="preserve"> the project's primary detector — </w:t>
      </w:r>
      <w:r>
        <w:rPr>
          <w:rFonts w:ascii="Consolas" w:hAnsi="Consolas"/>
          <w:sz w:val="20"/>
        </w:rPr>
        <w:t>select_cascade_contamination</w:t>
      </w:r>
      <w:r>
        <w:t>'s own recall-first selection criterion exists because a first-stage filter's failure mode (missing an attack, which no downstream stage can ever recover) is categorically worse than its success mode being merely permissive (over-flagging costs the next stage some extra work, not a lost detection). Step 3C's real result on Dataset B hard framing (Chapter 8.4) is the honest limit case of this reasoning: when even the best-available recall/FPR tradeoff point tops out at 33% recall, the cascade's entire premise fails, which is itself evidence about where Isolation Forest's cheap-anomaly-detection assumption does and does not hold.</w:t>
      </w:r>
    </w:p>
    <w:p>
      <w:r>
        <w:rPr>
          <w:b/>
        </w:rPr>
        <w:t>Autoencoder — benign-only reconstruction manifold for detecting novel tools.</w:t>
      </w:r>
      <w:r>
        <w:t xml:space="preserve"> The </w:t>
      </w:r>
      <w:r>
        <w:rPr>
          <w:rFonts w:ascii="Consolas" w:hAnsi="Consolas"/>
          <w:sz w:val="20"/>
        </w:rPr>
        <w:t>11→8→4→8→11</w:t>
      </w:r>
      <w:r>
        <w:t xml:space="preserve"> autoencoder (</w:t>
      </w:r>
      <w:r>
        <w:rPr>
          <w:rFonts w:ascii="Consolas" w:hAnsi="Consolas"/>
          <w:sz w:val="20"/>
        </w:rPr>
        <w:t>models/deep.py</w:t>
      </w:r>
      <w:r>
        <w:t xml:space="preserve">) is fit exclusively on benign training-fold rows, learning a compressed manifold of what </w:t>
      </w:r>
      <w:r>
        <w:rPr>
          <w:i/>
        </w:rPr>
        <w:t>normal</w:t>
      </w:r>
      <w:r>
        <w:t xml:space="preserve"> traffic looks like rather than what </w:t>
      </w:r>
      <w:r>
        <w:rPr>
          <w:i/>
        </w:rPr>
        <w:t>attack</w:t>
      </w:r>
      <w:r>
        <w:t xml:space="preserve"> traffic looks like. Its detection signal — reconstruction error above the 95th-percentile benign threshold — is therefore structurally different from every other model in the project: it requires no attack examples at fit time at all, which is precisely the property that matters for detecting a tool the training data never saw. XGBoost and the CNN can only ever recognise attack patterns present (or interpolatable) in their training distribution; a benign-only reconstruction model's failure mode is instead "did this row look like normal traffic," which generalises differently and is the reason it is retained in the cascade (Step 3C, Stage 3) as a second, structurally independent signal for the XGBoost/Autoencoder disagreement check, rather than folded into the same supervised-vs-supervised comparison as XGBoost and the CNN.</w:t>
      </w:r>
    </w:p>
    <w:p>
      <w:pPr>
        <w:pStyle w:val="Heading2"/>
      </w:pPr>
      <w:r>
        <w:t>6.2 Literature benchmark table</w:t>
      </w:r>
    </w:p>
    <w:p>
      <w:r>
        <w:t xml:space="preserve">See </w:t>
      </w:r>
      <w:r>
        <w:rPr>
          <w:rFonts w:ascii="Consolas" w:hAnsi="Consolas"/>
          <w:sz w:val="20"/>
        </w:rPr>
        <w:t>report/drafts/ch06_2_benchmark_papers.md</w:t>
      </w:r>
      <w:r>
        <w:t xml:space="preserve"> for the four architecture-specific papers (one per model: XGBoost, 1D-CNN, Isolation Forest, Autoencoder) applied to DNS tunneling/exfiltration, with their reported Recall/FPR/F1, collected once here for reuse in Chapter 8.3's benchmark comparison.</w:t>
      </w:r>
    </w:p>
    <w:p>
      <w:r>
        <w:br w:type="page"/>
      </w:r>
    </w:p>
    <w:p>
      <w:pPr>
        <w:pStyle w:val="Heading1"/>
      </w:pPr>
      <w:r>
        <w:t>Chapter 6.2 — Architecture-Specific Literature Benchmarks</w:t>
      </w:r>
    </w:p>
    <w:p>
      <w:r>
        <w:t>Four papers, one per model architecture used in this project, each applying that architecture to DNS tunneling/exfiltration or DoH malicious-traffic detection specifically (general-network fallback only where a DNS-specific paper with usable metrics could not be found). These numbers are collected once here and reused for the benchmark comparison in Chapter 8.3, per this chapter's own instruction.</w:t>
      </w:r>
    </w:p>
    <w:p>
      <w:r>
        <w:rPr>
          <w:b/>
        </w:rPr>
        <w:t>A note on verification, in the interest of not overstating confidence:</w:t>
      </w:r>
      <w:r>
        <w:t xml:space="preserve"> each citation below was checked against at least one full-text fetch; where a fetch was paywalled (ResearchGate, MDPI, Nature, Springer, ScienceDirect all returned HTTP 403 or a login wall at various points) an alternate open mirror (PMC, arXiv, a direct DOI resolve) was tried before falling back to a WebSearch-indexed snippet. Two of the four entries below carry an explicit </w:t>
      </w:r>
      <w:r>
        <w:rPr>
          <w:b/>
        </w:rPr>
        <w:t>"not independently verified against full text"</w:t>
      </w:r>
      <w:r>
        <w:t xml:space="preserve"> flag where that alternate route still didn't clear the paywall — the citation (authors, year, title, venue, DOI) is confirmed in every case; it is specifically the </w:t>
      </w:r>
      <w:r>
        <w:rPr>
          <w:i/>
        </w:rPr>
        <w:t>numbers</w:t>
      </w:r>
      <w:r>
        <w:t xml:space="preserve"> that carry the caveat in those two entries.</w:t>
      </w:r>
    </w:p>
    <w:p>
      <w:pPr>
        <w:pStyle w:val="ListBullet"/>
      </w:pPr>
      <w:r>
        <w:rPr>
          <w:b/>
        </w:rPr>
        <w:t>Abrahim, H., Hou, W., Zhuang, Y., &amp; Rahman, H. U. (2026).</w:t>
      </w:r>
      <w:r>
        <w:t xml:space="preserve"> "Enhancing intrusion detection in</w:t>
      </w:r>
    </w:p>
    <w:p>
      <w:r>
        <w:t xml:space="preserve">  encrypted DoH traffic through a robust ensemble learning framework." </w:t>
      </w:r>
      <w:r>
        <w:rPr>
          <w:i/>
        </w:rPr>
        <w:t>PLOS ONE</w:t>
      </w:r>
      <w:r>
        <w:t xml:space="preserve">.   DOI: 10.1371/journal.pone.0345880   Dataset: </w:t>
      </w:r>
      <w:r>
        <w:rPr>
          <w:b/>
        </w:rPr>
        <w:t>CIRA-CIC-DoHBrw-2020</w:t>
      </w:r>
      <w:r>
        <w:t xml:space="preserve"> — the same dataset family as this project's Dataset B — and   DoH-Tunnel-Traffic-HKD. Configuration: XGBoost as the </w:t>
      </w:r>
      <w:r>
        <w:rPr>
          <w:b/>
        </w:rPr>
        <w:t>meta-learner</w:t>
      </w:r>
      <w:r>
        <w:t xml:space="preserve"> in a stacking ensemble over   LSTM and GRU base learners, trained on out-of-fold predictions via stratified 5-fold CV;   </w:t>
      </w:r>
      <w:r>
        <w:rPr>
          <w:rFonts w:ascii="Consolas" w:hAnsi="Consolas"/>
          <w:sz w:val="20"/>
        </w:rPr>
        <w:t>max_depth</w:t>
      </w:r>
      <w:r>
        <w:t xml:space="preserve">, </w:t>
      </w:r>
      <w:r>
        <w:rPr>
          <w:rFonts w:ascii="Consolas" w:hAnsi="Consolas"/>
          <w:sz w:val="20"/>
        </w:rPr>
        <w:t>learning_rate</w:t>
      </w:r>
      <w:r>
        <w:t xml:space="preserve">, and </w:t>
      </w:r>
      <w:r>
        <w:rPr>
          <w:rFonts w:ascii="Consolas" w:hAnsi="Consolas"/>
          <w:sz w:val="20"/>
        </w:rPr>
        <w:t>n_estimators</w:t>
      </w:r>
      <w:r>
        <w:t xml:space="preserve"> were tuned, remaining hyperparameters left at   library defaults. Reported (on CIRA-CIC-DoHBrw-2020, </w:t>
      </w:r>
      <w:r>
        <w:rPr>
          <w:b/>
        </w:rPr>
        <w:t>ensemble-level</w:t>
      </w:r>
      <w:r>
        <w:t xml:space="preserve"> — this is the stacked   ensemble's output with XGBoost as the final layer, not an XGBoost-alone ablation, which is a fair   comparison to flag explicitly in Ch 8.3 against this project's standalone-XGBoost numbers):   Recall=0.9996, Precision=0.9967, F1=0.9981.</w:t>
      </w:r>
    </w:p>
    <w:p>
      <w:pPr>
        <w:pStyle w:val="ListBullet"/>
      </w:pPr>
      <w:r>
        <w:rPr>
          <w:b/>
        </w:rPr>
        <w:t>Li, H., Li, Z., Zhang, S., &amp; Pu, X. (2024).</w:t>
      </w:r>
      <w:r>
        <w:t xml:space="preserve"> "Malicious DNS detection by combining improved</w:t>
      </w:r>
    </w:p>
    <w:p>
      <w:r>
        <w:t xml:space="preserve">  transformer and CNN." </w:t>
      </w:r>
      <w:r>
        <w:rPr>
          <w:i/>
        </w:rPr>
        <w:t>Scientific Reports</w:t>
      </w:r>
      <w:r>
        <w:t xml:space="preserve">. DOI: 10.1038/s41598-024-81189-1   Dataset: DGA (~10,000 domain records, 60% malicious) and MDND (~10,000 domain records, multiple   attack types), with application testing against </w:t>
      </w:r>
      <w:r>
        <w:rPr>
          <w:b/>
        </w:rPr>
        <w:t>CIC-Bell-DNS</w:t>
      </w:r>
      <w:r>
        <w:t xml:space="preserve"> — the same dataset family as this   project's Dataset A. Configuration: a 1D-CNN (first conv layer: kernel size 2, 64 filters → max   pool, stride/window 3; second conv layer: kernel size 2, 32 filters → max pool, stride/window 3;   flatten → 64-unit fully connected layer) processing traffic-information features, combined with an   improved Transformer processing domain-name sequences, in a block-based ensemble ("ITransformer-CNN").   Reported: Accuracy=95.67%, Recall=83.21%, F1=88.43%. The paper does not report Precision or FPR as   separate figures in its main results table.</w:t>
      </w:r>
    </w:p>
    <w:p>
      <w:pPr>
        <w:pStyle w:val="ListBullet"/>
      </w:pPr>
      <w:r>
        <w:rPr>
          <w:b/>
        </w:rPr>
        <w:t>Wang, S., Sun, L., Qin, S., Li, W., &amp; Liu, W. (2022).</w:t>
      </w:r>
      <w:r>
        <w:t xml:space="preserve"> "KRTunnel: DNS channel detector for mobile</w:t>
      </w:r>
    </w:p>
    <w:p>
      <w:r>
        <w:t xml:space="preserve">  devices." </w:t>
      </w:r>
      <w:r>
        <w:rPr>
          <w:i/>
        </w:rPr>
        <w:t>Computers &amp; Security</w:t>
      </w:r>
      <w:r>
        <w:t xml:space="preserve">, 120, 102818. DOI: 10.1016/j.cose.2022.102818   Dataset: DNS request/response traffic collected for mobile-device DNS tunnel detection. Configuration:   Isolation Forest as the classification stage of the KRTunnel pipeline, over a feature set extracted   from DNS request/response pairs. Reported: </w:t>
      </w:r>
      <w:r>
        <w:rPr>
          <w:b/>
        </w:rPr>
        <w:t>accuracy 98.1% on unseen DNS tunnel traffic</w:t>
      </w:r>
      <w:r>
        <w:t xml:space="preserve">; in one   comparison context the iForest model is reported to produce as few as ~2.5 false positives per day.   </w:t>
      </w:r>
      <w:r>
        <w:rPr>
          <w:b/>
        </w:rPr>
        <w:t>Not independently verified against full text</w:t>
      </w:r>
      <w:r>
        <w:t xml:space="preserve"> — ScienceDirect returned HTTP 403 on every fetch   attempt (direct URL and DOI resolve both), so these two figures come from indexed search snippets   rather than the paper itself, and a clean Recall/FPR/F1 triple could not be confirmed. Flagged rather   than fabricated to fill the gap.</w:t>
      </w:r>
    </w:p>
    <w:p>
      <w:r>
        <w:t xml:space="preserve">  </w:t>
      </w:r>
      <w:r>
        <w:rPr>
          <w:i/>
        </w:rPr>
        <w:t>Fallback candidate consulted for the same slot, general-network rather than DNS-specific, but with a   fully fetch-confirmed metric:</w:t>
      </w:r>
      <w:r>
        <w:t xml:space="preserve"> </w:t>
      </w:r>
      <w:r>
        <w:rPr>
          <w:b/>
        </w:rPr>
        <w:t>Priyanshu, A., Shastri, S., &amp; Medicherla, S. S. (2022).</w:t>
      </w:r>
      <w:r>
        <w:t xml:space="preserve">   "ARLIF-IDS — Attention-Augmented Real-Time Isolation Forest Intrusion Detection System." 43rd IEEE   Symposium on Security and Privacy (poster session). arXiv:2204.09737. Dataset: NSL-KDD and   KDDCUP'99. Configuration: Isolation Forest as the core detector, augmented with an attention   mechanism, oriented toward real-time detection. Reported: F1=0.93 (averaged across both datasets);   Recall, Precision, and FPR are not disclosed in the accessible abstract/content.</w:t>
      </w:r>
    </w:p>
    <w:p>
      <w:pPr>
        <w:pStyle w:val="ListBullet"/>
      </w:pPr>
      <w:r>
        <w:rPr>
          <w:b/>
        </w:rPr>
        <w:t>De Bernardi, G., Gaggero, G. B., Patrone, F., Zappatore, S., Marchese, M., &amp; Mongelli, M. (2025).</w:t>
      </w:r>
    </w:p>
    <w:p>
      <w:r>
        <w:t xml:space="preserve">  "Rule-Based eXplainable Autoencoder for DNS Tunneling Detection." </w:t>
      </w:r>
      <w:r>
        <w:rPr>
          <w:i/>
        </w:rPr>
        <w:t>Computers</w:t>
      </w:r>
      <w:r>
        <w:t xml:space="preserve">, 14(9), 375.   DOI: 10.3390/computers14090375   </w:t>
      </w:r>
      <w:r>
        <w:rPr>
          <w:b/>
        </w:rPr>
        <w:t>Citation confirmed</w:t>
      </w:r>
      <w:r>
        <w:t xml:space="preserve"> via two independent search sources (authors, year, title, venue, DOI all   cross-checked and consistent). </w:t>
      </w:r>
      <w:r>
        <w:rPr>
          <w:b/>
        </w:rPr>
        <w:t>Dataset, architecture configuration, and Recall/FPR/F1 numbers could   not be verified</w:t>
      </w:r>
      <w:r>
        <w:t xml:space="preserve"> — every fetch attempt (the MDPI landing page, the MDPI </w:t>
      </w:r>
      <w:r>
        <w:rPr>
          <w:rFonts w:ascii="Consolas" w:hAnsi="Consolas"/>
          <w:sz w:val="20"/>
        </w:rPr>
        <w:t>/htm</w:t>
      </w:r>
      <w:r>
        <w:t xml:space="preserve"> full-text variant, and   a ProQuest-hosted PDF mirror) returned either HTTP 403 or no extractable body text. Reported here as a   citation-only entry with the content gap stated plainly rather than filled with invented numbers; if   Ch 8.3's benchmark table needs a real Autoencoder comparison point, either revisit this paper with a   different access route (e.g. an institutional proxy) or substitute a different Autoencoder-for-DNS   paper before that section is finalised.</w:t>
      </w:r>
    </w:p>
    <w:p>
      <w:r>
        <w:br w:type="page"/>
      </w:r>
    </w:p>
    <w:p>
      <w:pPr>
        <w:pStyle w:val="Heading1"/>
      </w:pPr>
      <w:r>
        <w:t>Chapter 7 — Pipeline, Imbalance Strategy, and Hyperparameters</w:t>
      </w:r>
    </w:p>
    <w:p>
      <w:pPr>
        <w:pStyle w:val="Heading2"/>
      </w:pPr>
      <w:r>
        <w:t>7.1 Block diagram and the abstraction proof</w:t>
      </w:r>
    </w:p>
    <w:p>
      <w:pPr>
        <w:spacing w:line="240" w:lineRule="auto" w:after="160"/>
        <w:shd w:val="clear" w:fill="F2F2F2"/>
      </w:pPr>
      <w:r>
        <w:rPr>
          <w:rFonts w:ascii="Consolas" w:hAnsi="Consolas"/>
          <w:sz w:val="18"/>
        </w:rPr>
        <w:t xml:space="preserve"> CLI (--dataset, --framing, --mode, --families)</w:t>
        <w:br/>
        <w:t xml:space="preserve">        |</w:t>
        <w:br/>
        <w:t xml:space="preserve">        v</w:t>
        <w:br/>
        <w:t xml:space="preserve"> registry.get(dataset_name)(config, framing=...)   &lt;- the ONLY place a dataset name is named</w:t>
        <w:br/>
        <w:t xml:space="preserve">        |</w:t>
        <w:br/>
        <w:t xml:space="preserve">        v</w:t>
        <w:br/>
        <w:t xml:space="preserve"> loader.load() -&gt; (X, y, meta)                      &lt;- ingestion/exf2021.py | ingestion/dohbrw2020.py</w:t>
        <w:br/>
        <w:t xml:space="preserve">        |</w:t>
        <w:br/>
        <w:t xml:space="preserve">        v</w:t>
        <w:br/>
        <w:t xml:space="preserve"> schema.validate_schema(X, mode=families)           &lt;- hard assert: 11 unified columns, correct dtypes</w:t>
        <w:br/>
        <w:t xml:space="preserve">        |</w:t>
        <w:br/>
        <w:t xml:space="preserve">        v</w:t>
        <w:br/>
        <w:t xml:space="preserve"> =========== EVERYTHING BELOW THIS LINE IS DATASET-BLIND ===========</w:t>
        <w:br/>
        <w:t xml:space="preserve">        |</w:t>
        <w:br/>
        <w:t xml:space="preserve">        v</w:t>
        <w:br/>
        <w:t xml:space="preserve"> preprocessing.build_pipeline(estimator, use_smote) &lt;- impute -&gt; scale -&gt; [SMOTE] -&gt; estimator, one</w:t>
        <w:br/>
        <w:t xml:space="preserve">        |                                                imblearn.pipeline.Pipeline, refit per CV fold</w:t>
        <w:br/>
        <w:t xml:space="preserve">        v</w:t>
        <w:br/>
        <w:t xml:space="preserve"> models/{supervised,unsupervised,deep}.py           &lt;- XGBoost | Isolation Forest | 1D-CNN | Autoencoder</w:t>
        <w:br/>
        <w:t xml:space="preserve">        |</w:t>
        <w:br/>
        <w:t xml:space="preserve">        v</w:t>
        <w:br/>
        <w:t xml:space="preserve"> evaluation.metrics.evaluate()                      &lt;- one scoring function, every model, both datasets</w:t>
        <w:br/>
        <w:t xml:space="preserve">        |</w:t>
        <w:br/>
        <w:t xml:space="preserve">        v</w:t>
        <w:br/>
        <w:t xml:space="preserve"> ensemble/cascade.py (Step 3C, single-dataset deployment path: IsoForest -&gt; XGBoost -&gt; escalation)</w:t>
      </w:r>
    </w:p>
    <w:p>
      <w:r>
        <w:t>The load boundary (</w:t>
      </w:r>
      <w:r>
        <w:rPr>
          <w:rFonts w:ascii="Consolas" w:hAnsi="Consolas"/>
          <w:sz w:val="20"/>
        </w:rPr>
        <w:t>loader.load()</w:t>
      </w:r>
      <w:r>
        <w:t xml:space="preserve"> returning </w:t>
      </w:r>
      <w:r>
        <w:rPr>
          <w:rFonts w:ascii="Consolas" w:hAnsi="Consolas"/>
          <w:sz w:val="20"/>
        </w:rPr>
        <w:t>(X, y, meta)</w:t>
      </w:r>
      <w:r>
        <w:t xml:space="preserve">) is not just a diagram convention — it is enforced structurally (the "Dataset Dependency Rule," </w:t>
      </w:r>
      <w:r>
        <w:rPr>
          <w:rFonts w:ascii="Consolas" w:hAnsi="Consolas"/>
          <w:sz w:val="20"/>
        </w:rPr>
        <w:t>PROJECT_PLAN.md</w:t>
      </w:r>
      <w:r>
        <w:t xml:space="preserve"> Step 0D) and verified empirically, not just claimed. Step 1C's abstraction proof runs</w:t>
      </w:r>
    </w:p>
    <w:p>
      <w:pPr>
        <w:spacing w:line="240" w:lineRule="auto" w:after="160"/>
        <w:shd w:val="clear" w:fill="F2F2F2"/>
      </w:pPr>
      <w:r>
        <w:rPr>
          <w:rFonts w:ascii="Consolas" w:hAnsi="Consolas"/>
          <w:sz w:val="18"/>
        </w:rPr>
        <w:t>grep -rniE "exf2021|dohbrw|cic|bell|doh" --include=*.py . | grep -v "^./ingestion/"</w:t>
      </w:r>
    </w:p>
    <w:p>
      <w:r>
        <w:t>against the full codebase and requires the output to be empty outside three sanctioned exceptions. The saved output (</w:t>
      </w:r>
      <w:r>
        <w:rPr>
          <w:rFonts w:ascii="Consolas" w:hAnsi="Consolas"/>
          <w:sz w:val="20"/>
        </w:rPr>
        <w:t>runs/metrics/abstraction_proof.txt</w:t>
      </w:r>
      <w:r>
        <w:t xml:space="preserve">) confirms all matches fall into exactly those three categories — </w:t>
      </w:r>
      <w:r>
        <w:rPr>
          <w:rFonts w:ascii="Consolas" w:hAnsi="Consolas"/>
          <w:sz w:val="20"/>
        </w:rPr>
        <w:t>main.py</w:t>
      </w:r>
      <w:r>
        <w:t xml:space="preserve">'s CLI plumbing (the </w:t>
      </w:r>
      <w:r>
        <w:rPr>
          <w:rFonts w:ascii="Consolas" w:hAnsi="Consolas"/>
          <w:sz w:val="20"/>
        </w:rPr>
        <w:t>--dataset</w:t>
      </w:r>
      <w:r>
        <w:t xml:space="preserve"> choices list and the registry-dispatch introspection, the one legitimate bridge between a CLI flag and </w:t>
      </w:r>
      <w:r>
        <w:rPr>
          <w:rFonts w:ascii="Consolas" w:hAnsi="Consolas"/>
          <w:sz w:val="20"/>
        </w:rPr>
        <w:t>ingestion/registry.py</w:t>
      </w:r>
      <w:r>
        <w:t xml:space="preserve">), </w:t>
      </w:r>
      <w:r>
        <w:rPr>
          <w:rFonts w:ascii="Consolas" w:hAnsi="Consolas"/>
          <w:sz w:val="20"/>
        </w:rPr>
        <w:t>schema/unified.py</w:t>
      </w:r>
      <w:r>
        <w:t xml:space="preserve">'s module docstring and </w:t>
      </w:r>
      <w:r>
        <w:rPr>
          <w:rFonts w:ascii="Consolas" w:hAnsi="Consolas"/>
          <w:sz w:val="20"/>
        </w:rPr>
        <w:t>COLUMN_SOURCE</w:t>
      </w:r>
      <w:r>
        <w:t xml:space="preserve"> mapping (schema </w:t>
      </w:r>
      <w:r>
        <w:rPr>
          <w:i/>
        </w:rPr>
        <w:t>definition</w:t>
      </w:r>
      <w:r>
        <w:t xml:space="preserve">, documenting where each unified column's arithmetic comes from per dataset, not pipeline </w:t>
      </w:r>
      <w:r>
        <w:rPr>
          <w:i/>
        </w:rPr>
        <w:t>logic</w:t>
      </w:r>
      <w:r>
        <w:t xml:space="preserve">), and a test file for the concrete Dataset A loader plus one illustrative filename in a comment — and states explicitly: </w:t>
      </w:r>
      <w:r>
        <w:rPr>
          <w:b/>
        </w:rPr>
        <w:t>no module under `preprocessing/`, `features/`, `models/`, `evaluation/`, or `ensemble/` contains any conditional logic keyed on a dataset name.</w:t>
      </w:r>
      <w:r>
        <w:t xml:space="preserve"> This is what makes Chapter 5's transfer-matrix experiment (train on one dataset, score on the other with zero retraining) a meaningful test of the behavioural abstraction rather than a claim taken on faith — the same </w:t>
      </w:r>
      <w:r>
        <w:rPr>
          <w:rFonts w:ascii="Consolas" w:hAnsi="Consolas"/>
          <w:sz w:val="20"/>
        </w:rPr>
        <w:t>models/unsupervised.py</w:t>
      </w:r>
      <w:r>
        <w:t xml:space="preserve"> and </w:t>
      </w:r>
      <w:r>
        <w:rPr>
          <w:rFonts w:ascii="Consolas" w:hAnsi="Consolas"/>
          <w:sz w:val="20"/>
        </w:rPr>
        <w:t>ensemble/cascade.py</w:t>
      </w:r>
      <w:r>
        <w:t xml:space="preserve"> that were built and unit-tested against synthetic data ran against real Dataset B with, per the Step 2E and Step 3C result logs, "zero changes."</w:t>
      </w:r>
    </w:p>
    <w:p>
      <w:pPr>
        <w:pStyle w:val="Heading2"/>
      </w:pPr>
      <w:r>
        <w:t>7.2 Imbalance strategy and the structural leakage guard</w:t>
      </w:r>
    </w:p>
    <w:p>
      <w:r>
        <w:rPr>
          <w:b/>
        </w:rPr>
        <w:t>Two different, deliberately non-overlapping answers to class imbalance, chosen per model rather than applied uniformly</w:t>
      </w:r>
      <w:r>
        <w:t xml:space="preserve"> (</w:t>
      </w:r>
      <w:r>
        <w:rPr>
          <w:rFonts w:ascii="Consolas" w:hAnsi="Consolas"/>
          <w:sz w:val="20"/>
        </w:rPr>
        <w:t>preprocessing/pipeline.py</w:t>
      </w:r>
      <w:r>
        <w:t>, quoted below):</w:t>
      </w:r>
    </w:p>
    <w:p>
      <w:pPr>
        <w:pStyle w:val="ListBullet"/>
      </w:pPr>
      <w:r>
        <w:rPr>
          <w:b/>
        </w:rPr>
        <w:t>SMOTE</w:t>
      </w:r>
      <w:r>
        <w:t xml:space="preserve"> (synthetic minority oversampling) for the CNN, inside the Pipeline, fit-time only.</w:t>
      </w:r>
    </w:p>
    <w:p>
      <w:pPr>
        <w:pStyle w:val="ListBullet"/>
      </w:pPr>
      <w:r>
        <w:rPr>
          <w:b/>
        </w:rPr>
        <w:t>`scale_pos_weight`</w:t>
      </w:r>
      <w:r>
        <w:t xml:space="preserve"> (cost-sensitive reweighting) for XGBoost, computed once per dataset+framing from</w:t>
      </w:r>
    </w:p>
    <w:p>
      <w:r>
        <w:t xml:space="preserve">  the full training </w:t>
      </w:r>
      <w:r>
        <w:rPr>
          <w:rFonts w:ascii="Consolas" w:hAnsi="Consolas"/>
          <w:sz w:val="20"/>
        </w:rPr>
        <w:t>y</w:t>
      </w:r>
      <w:r>
        <w:t xml:space="preserve"> (</w:t>
      </w:r>
      <w:r>
        <w:rPr>
          <w:rFonts w:ascii="Consolas" w:hAnsi="Consolas"/>
          <w:sz w:val="20"/>
        </w:rPr>
        <w:t>compute_scale_pos_weight()</w:t>
      </w:r>
      <w:r>
        <w:t xml:space="preserve">, </w:t>
      </w:r>
      <w:r>
        <w:rPr>
          <w:rFonts w:ascii="Consolas" w:hAnsi="Consolas"/>
          <w:sz w:val="20"/>
        </w:rPr>
        <w:t>models/supervised.py</w:t>
      </w:r>
      <w:r>
        <w:t>).</w:t>
      </w:r>
    </w:p>
    <w:p>
      <w:pPr>
        <w:pStyle w:val="ListBullet"/>
      </w:pPr>
      <w:r>
        <w:rPr>
          <w:b/>
        </w:rPr>
        <w:t>Neither</w:t>
      </w:r>
      <w:r>
        <w:t xml:space="preserve"> for Isolation Forest (unsupervised — resampling a density estimator toward synthetic 1:1</w:t>
      </w:r>
    </w:p>
    <w:p>
      <w:r>
        <w:t xml:space="preserve">  balance would teach it the attack class is part of the normal density, defeating its entire premise   before it fits a single tree) or the Autoencoder (fit exclusively on benign rows — there is no minority   class present in its training data for SMOTE to act on in the first place).</w:t>
      </w:r>
    </w:p>
    <w:p>
      <w:r>
        <w:t xml:space="preserve">The rule enforced throughout the codebase is </w:t>
      </w:r>
      <w:r>
        <w:rPr>
          <w:b/>
        </w:rPr>
        <w:t>resampling xor reweighting, never both</w:t>
      </w:r>
      <w:r>
        <w:t xml:space="preserve"> — using SMOTE </w:t>
      </w:r>
      <w:r>
        <w:rPr>
          <w:i/>
        </w:rPr>
        <w:t>and</w:t>
      </w:r>
      <w:r>
        <w:t xml:space="preserve"> </w:t>
      </w:r>
      <w:r>
        <w:rPr>
          <w:rFonts w:ascii="Consolas" w:hAnsi="Consolas"/>
          <w:sz w:val="20"/>
        </w:rPr>
        <w:t>scale_pos_weight</w:t>
      </w:r>
      <w:r>
        <w:t xml:space="preserve"> on the same model would double-compensate for the same imbalance (</w:t>
      </w:r>
      <w:r>
        <w:rPr>
          <w:rFonts w:ascii="Consolas" w:hAnsi="Consolas"/>
          <w:sz w:val="20"/>
        </w:rPr>
        <w:t>models/supervised.py</w:t>
      </w:r>
      <w:r>
        <w:t xml:space="preserve"> Step 2D notes, </w:t>
      </w:r>
      <w:r>
        <w:rPr>
          <w:rFonts w:ascii="Consolas" w:hAnsi="Consolas"/>
          <w:sz w:val="20"/>
        </w:rPr>
        <w:t>PROJECT_PLAN.md</w:t>
      </w:r>
      <w:r>
        <w:t xml:space="preserve"> Step 2A point 3). This is a defended choice rather than a default: each of the four models gets the imbalance treatment that is actually coherent with its own fitting mechanism, documented per-model in Chapter 6.1.</w:t>
      </w:r>
    </w:p>
    <w:p>
      <w:r>
        <w:rPr>
          <w:b/>
        </w:rPr>
        <w:t>The leakage guard is structural, not a matter of discipline.</w:t>
      </w:r>
      <w:r>
        <w:t xml:space="preserve"> The danger with any preprocessing step that touches the whole dataset before the train/test split — a scaler fit on all rows, a resampler run before folding — is that information from the test fold leaks into training, producing scores that look real but are not reproducible against genuinely unseen data. The fix, </w:t>
      </w:r>
      <w:r>
        <w:rPr>
          <w:rFonts w:ascii="Consolas" w:hAnsi="Consolas"/>
          <w:sz w:val="20"/>
        </w:rPr>
        <w:t>build_pipeline()</w:t>
      </w:r>
      <w:r>
        <w:t xml:space="preserve"> (</w:t>
      </w:r>
      <w:r>
        <w:rPr>
          <w:rFonts w:ascii="Consolas" w:hAnsi="Consolas"/>
          <w:sz w:val="20"/>
        </w:rPr>
        <w:t>preprocessing/pipeline.py</w:t>
      </w:r>
      <w:r>
        <w:t>), makes this failure mode structurally unreachable rather than merely avoided by convention:</w:t>
      </w:r>
    </w:p>
    <w:p>
      <w:pPr>
        <w:spacing w:line="240" w:lineRule="auto" w:after="160"/>
        <w:shd w:val="clear" w:fill="F2F2F2"/>
      </w:pPr>
      <w:r>
        <w:rPr>
          <w:rFonts w:ascii="Consolas" w:hAnsi="Consolas"/>
          <w:sz w:val="18"/>
        </w:rPr>
        <w:t>def build_pipeline(estimator, use_smote: bool = True, random_state: int = 42) -&gt; ImbPipeline:</w:t>
        <w:br/>
        <w:t xml:space="preserve">    steps = [</w:t>
        <w:br/>
        <w:t xml:space="preserve">        ("imputer", SimpleImputer(strategy="median", keep_empty_features=True)),</w:t>
        <w:br/>
        <w:t xml:space="preserve">        ("scaler", StandardScaler()),</w:t>
        <w:br/>
        <w:t xml:space="preserve">    ]</w:t>
        <w:br/>
        <w:t xml:space="preserve">    if use_smote:</w:t>
        <w:br/>
        <w:t xml:space="preserve">        steps.append(("smote", SMOTE(random_state=random_state)))</w:t>
        <w:br/>
        <w:t xml:space="preserve">    steps.append(("estimator", estimator))</w:t>
        <w:br/>
        <w:t xml:space="preserve">    return ImbPipeline(steps)</w:t>
      </w:r>
    </w:p>
    <w:p>
      <w:r>
        <w:t xml:space="preserve">Two details matter beyond the step list itself. First, </w:t>
      </w:r>
      <w:r>
        <w:rPr>
          <w:b/>
        </w:rPr>
        <w:t>`imblearn.pipeline.Pipeline`, never `sklearn.pipeline.Pipeline`</w:t>
      </w:r>
      <w:r>
        <w:t xml:space="preserve"> — sklearn's Pipeline has no concept of a resampling step (one that changes row count) and would silently apply SMOTE at </w:t>
      </w:r>
      <w:r>
        <w:rPr>
          <w:i/>
        </w:rPr>
        <w:t>transform</w:t>
      </w:r>
      <w:r>
        <w:t xml:space="preserve"> time too, synthesizing fake minority rows inside the test fold and inflating every metric computed against it. This produces no error and no warning — a leakage bug indistinguishable from a real result until someone re-derives the numbers by hand. Second, this whole object — imputer, scaler, resampler, estimator — is handed to </w:t>
      </w:r>
      <w:r>
        <w:rPr>
          <w:rFonts w:ascii="Consolas" w:hAnsi="Consolas"/>
          <w:sz w:val="20"/>
        </w:rPr>
        <w:t>StratifiedKFold</w:t>
      </w:r>
      <w:r>
        <w:t xml:space="preserve"> as one fittable unit, which means the scaler's mean/std and SMOTE's synthetic samples are recomputed from scratch inside every fold, using only that fold's training rows.</w:t>
      </w:r>
    </w:p>
    <w:p>
      <w:r>
        <w:t>This claim is verified empirically, not just asserted from the code. Step 2A's leakage-guard proof (</w:t>
      </w:r>
      <w:r>
        <w:rPr>
          <w:rFonts w:ascii="Consolas" w:hAnsi="Consolas"/>
          <w:sz w:val="20"/>
        </w:rPr>
        <w:t>runs/metrics/leakage_guard_proof.json</w:t>
      </w:r>
      <w:r>
        <w:t xml:space="preserve">) fits the pipeline on a synthetic 400/20 imbalanced frame across 5 folds and records, per fold: </w:t>
      </w:r>
      <w:r>
        <w:rPr>
          <w:rFonts w:ascii="Consolas" w:hAnsi="Consolas"/>
          <w:sz w:val="20"/>
        </w:rPr>
        <w:t>train_class_counts_before_smote</w:t>
      </w:r>
      <w:r>
        <w:t xml:space="preserve"> (380 / 20), </w:t>
      </w:r>
      <w:r>
        <w:rPr>
          <w:rFonts w:ascii="Consolas" w:hAnsi="Consolas"/>
          <w:sz w:val="20"/>
        </w:rPr>
        <w:t>train_class_counts_after_smote</w:t>
      </w:r>
      <w:r>
        <w:t xml:space="preserve"> (380 / 380 — SMOTE balanced the training fold as intended), and </w:t>
      </w:r>
      <w:r>
        <w:rPr>
          <w:rFonts w:ascii="Consolas" w:hAnsi="Consolas"/>
          <w:sz w:val="20"/>
        </w:rPr>
        <w:t>test_class_counts_untouched</w:t>
      </w:r>
      <w:r>
        <w:t xml:space="preserve"> (95 / 5 — identical across all 5 folds, exactly the untouched holdout counts, never resampled). The test fold's class counts never move, in every fold, which is the concrete evidence that SMOTE only ever sees training rows.</w:t>
      </w:r>
    </w:p>
    <w:p>
      <w:r>
        <w:t xml:space="preserve">One real bug this structure caught in practice, worth recording here rather than only in the commit history: </w:t>
      </w:r>
      <w:r>
        <w:rPr>
          <w:rFonts w:ascii="Consolas" w:hAnsi="Consolas"/>
          <w:sz w:val="20"/>
        </w:rPr>
        <w:t>SimpleImputer(strategy="median")</w:t>
      </w:r>
      <w:r>
        <w:t xml:space="preserve"> </w:t>
      </w:r>
      <w:r>
        <w:rPr>
          <w:b/>
        </w:rPr>
        <w:t>without</w:t>
      </w:r>
      <w:r>
        <w:t xml:space="preserve"> </w:t>
      </w:r>
      <w:r>
        <w:rPr>
          <w:rFonts w:ascii="Consolas" w:hAnsi="Consolas"/>
          <w:sz w:val="20"/>
        </w:rPr>
        <w:t>keep_empty_features=True</w:t>
      </w:r>
      <w:r>
        <w:t xml:space="preserve"> silently </w:t>
      </w:r>
      <w:r>
        <w:rPr>
          <w:i/>
        </w:rPr>
        <w:t>drops</w:t>
      </w:r>
      <w:r>
        <w:t xml:space="preserve"> any column with zero observed values instead of imputing it to a constant. On real Dataset A data this collapsed the pipeline's output from 11 columns to 7 — the four </w:t>
      </w:r>
      <w:r>
        <w:rPr>
          <w:rFonts w:ascii="Consolas" w:hAnsi="Consolas"/>
          <w:sz w:val="20"/>
        </w:rPr>
        <w:t>B_ONLY</w:t>
      </w:r>
      <w:r>
        <w:t xml:space="preserve"> columns (100% NaN by design, D2, Chapter 5.4) vanished rather than becoming the constant-zero features the schema intends. Caught by running the pipeline against real data, not a synthetic frame; fixed by adding the flag and confirmed with </w:t>
      </w:r>
      <w:r>
        <w:rPr>
          <w:rFonts w:ascii="Consolas" w:hAnsi="Consolas"/>
          <w:sz w:val="20"/>
        </w:rPr>
        <w:t>warnings.simplefilter("error")</w:t>
      </w:r>
      <w:r>
        <w:t xml:space="preserve"> that the fixed pipeline raises zero warnings and preserves all 11 columns on Dataset A. </w:t>
      </w:r>
      <w:r>
        <w:rPr>
          <w:rFonts w:ascii="Consolas" w:hAnsi="Consolas"/>
          <w:sz w:val="20"/>
        </w:rPr>
        <w:t>keep_empty_features=True</w:t>
      </w:r>
      <w:r>
        <w:t xml:space="preserve"> is therefore the structural implementation of the D2 observability finding, not a defensive afterthought: "this family carries no signal here" is a property of the pipeline's output shape, not merely a sentence in Chapter 5.</w:t>
      </w:r>
    </w:p>
    <w:p>
      <w:pPr>
        <w:pStyle w:val="Heading2"/>
      </w:pPr>
      <w:r>
        <w:t>7.3 Hyperparameters and sensitivity sweeps</w:t>
      </w:r>
    </w:p>
    <w:p>
      <w:r>
        <w:t xml:space="preserve">Every hyperparameter that trains a model is explicit in </w:t>
      </w:r>
      <w:r>
        <w:rPr>
          <w:rFonts w:ascii="Consolas" w:hAnsi="Consolas"/>
          <w:sz w:val="20"/>
        </w:rPr>
        <w:t>config/config.yaml</w:t>
      </w:r>
      <w:r>
        <w:t xml:space="preserve"> — no library defaults are relied on anywhere in the codebase (Step 0D / this rubric item).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Model</w:t>
            </w:r>
          </w:p>
        </w:tc>
        <w:tc>
          <w:tcPr>
            <w:tcW w:type="dxa" w:w="3120"/>
          </w:tcPr>
          <w:p>
            <w:pPr>
              <w:spacing w:after="40"/>
            </w:pPr>
            <w:r/>
            <w:r>
              <w:rPr>
                <w:b/>
                <w:sz w:val="18"/>
              </w:rPr>
              <w:t>Hyperparameter</w:t>
            </w:r>
          </w:p>
        </w:tc>
        <w:tc>
          <w:tcPr>
            <w:tcW w:type="dxa" w:w="3120"/>
          </w:tcPr>
          <w:p>
            <w:pPr>
              <w:spacing w:after="40"/>
            </w:pPr>
            <w:r/>
            <w:r>
              <w:rPr>
                <w:b/>
                <w:sz w:val="18"/>
              </w:rPr>
              <w:t>Value</w:t>
            </w:r>
          </w:p>
        </w:tc>
      </w:tr>
      <w:tr>
        <w:tc>
          <w:tcPr>
            <w:tcW w:type="dxa" w:w="3120"/>
          </w:tcPr>
          <w:p>
            <w:pPr>
              <w:spacing w:after="40"/>
            </w:pPr>
            <w:r/>
            <w:r>
              <w:rPr>
                <w:sz w:val="18"/>
              </w:rPr>
              <w:t>XGBoost</w:t>
            </w:r>
          </w:p>
        </w:tc>
        <w:tc>
          <w:tcPr>
            <w:tcW w:type="dxa" w:w="3120"/>
          </w:tcPr>
          <w:p>
            <w:pPr>
              <w:spacing w:after="40"/>
            </w:pPr>
            <w:r/>
            <w:r>
              <w:rPr>
                <w:rFonts w:ascii="Consolas" w:hAnsi="Consolas"/>
                <w:sz w:val="18"/>
              </w:rPr>
              <w:t>n_estimators</w:t>
            </w:r>
          </w:p>
        </w:tc>
        <w:tc>
          <w:tcPr>
            <w:tcW w:type="dxa" w:w="3120"/>
          </w:tcPr>
          <w:p>
            <w:pPr>
              <w:spacing w:after="40"/>
            </w:pPr>
            <w:r/>
            <w:r>
              <w:rPr>
                <w:sz w:val="18"/>
              </w:rPr>
              <w:t>400</w:t>
            </w:r>
          </w:p>
        </w:tc>
      </w:tr>
      <w:tr>
        <w:tc>
          <w:tcPr>
            <w:tcW w:type="dxa" w:w="3120"/>
          </w:tcPr>
          <w:p>
            <w:pPr>
              <w:spacing w:after="40"/>
            </w:pPr>
            <w:r/>
          </w:p>
        </w:tc>
        <w:tc>
          <w:tcPr>
            <w:tcW w:type="dxa" w:w="3120"/>
          </w:tcPr>
          <w:p>
            <w:pPr>
              <w:spacing w:after="40"/>
            </w:pPr>
            <w:r/>
            <w:r>
              <w:rPr>
                <w:rFonts w:ascii="Consolas" w:hAnsi="Consolas"/>
                <w:sz w:val="18"/>
              </w:rPr>
              <w:t>max_depth</w:t>
            </w:r>
          </w:p>
        </w:tc>
        <w:tc>
          <w:tcPr>
            <w:tcW w:type="dxa" w:w="3120"/>
          </w:tcPr>
          <w:p>
            <w:pPr>
              <w:spacing w:after="40"/>
            </w:pPr>
            <w:r/>
            <w:r>
              <w:rPr>
                <w:sz w:val="18"/>
              </w:rPr>
              <w:t>6</w:t>
            </w:r>
          </w:p>
        </w:tc>
      </w:tr>
      <w:tr>
        <w:tc>
          <w:tcPr>
            <w:tcW w:type="dxa" w:w="3120"/>
          </w:tcPr>
          <w:p>
            <w:pPr>
              <w:spacing w:after="40"/>
            </w:pPr>
            <w:r/>
          </w:p>
        </w:tc>
        <w:tc>
          <w:tcPr>
            <w:tcW w:type="dxa" w:w="3120"/>
          </w:tcPr>
          <w:p>
            <w:pPr>
              <w:spacing w:after="40"/>
            </w:pPr>
            <w:r/>
            <w:r>
              <w:rPr>
                <w:rFonts w:ascii="Consolas" w:hAnsi="Consolas"/>
                <w:sz w:val="18"/>
              </w:rPr>
              <w:t>learning_rate</w:t>
            </w:r>
          </w:p>
        </w:tc>
        <w:tc>
          <w:tcPr>
            <w:tcW w:type="dxa" w:w="3120"/>
          </w:tcPr>
          <w:p>
            <w:pPr>
              <w:spacing w:after="40"/>
            </w:pPr>
            <w:r/>
            <w:r>
              <w:rPr>
                <w:sz w:val="18"/>
              </w:rPr>
              <w:t>0.05</w:t>
            </w:r>
          </w:p>
        </w:tc>
      </w:tr>
      <w:tr>
        <w:tc>
          <w:tcPr>
            <w:tcW w:type="dxa" w:w="3120"/>
          </w:tcPr>
          <w:p>
            <w:pPr>
              <w:spacing w:after="40"/>
            </w:pPr>
            <w:r/>
          </w:p>
        </w:tc>
        <w:tc>
          <w:tcPr>
            <w:tcW w:type="dxa" w:w="3120"/>
          </w:tcPr>
          <w:p>
            <w:pPr>
              <w:spacing w:after="40"/>
            </w:pPr>
            <w:r/>
            <w:r>
              <w:rPr>
                <w:rFonts w:ascii="Consolas" w:hAnsi="Consolas"/>
                <w:sz w:val="18"/>
              </w:rPr>
              <w:t>subsample</w:t>
            </w:r>
          </w:p>
        </w:tc>
        <w:tc>
          <w:tcPr>
            <w:tcW w:type="dxa" w:w="3120"/>
          </w:tcPr>
          <w:p>
            <w:pPr>
              <w:spacing w:after="40"/>
            </w:pPr>
            <w:r/>
            <w:r>
              <w:rPr>
                <w:sz w:val="18"/>
              </w:rPr>
              <w:t>0.8</w:t>
            </w:r>
          </w:p>
        </w:tc>
      </w:tr>
      <w:tr>
        <w:tc>
          <w:tcPr>
            <w:tcW w:type="dxa" w:w="3120"/>
          </w:tcPr>
          <w:p>
            <w:pPr>
              <w:spacing w:after="40"/>
            </w:pPr>
            <w:r/>
          </w:p>
        </w:tc>
        <w:tc>
          <w:tcPr>
            <w:tcW w:type="dxa" w:w="3120"/>
          </w:tcPr>
          <w:p>
            <w:pPr>
              <w:spacing w:after="40"/>
            </w:pPr>
            <w:r/>
            <w:r>
              <w:rPr>
                <w:rFonts w:ascii="Consolas" w:hAnsi="Consolas"/>
                <w:sz w:val="18"/>
              </w:rPr>
              <w:t>colsample_bytree</w:t>
            </w:r>
          </w:p>
        </w:tc>
        <w:tc>
          <w:tcPr>
            <w:tcW w:type="dxa" w:w="3120"/>
          </w:tcPr>
          <w:p>
            <w:pPr>
              <w:spacing w:after="40"/>
            </w:pPr>
            <w:r/>
            <w:r>
              <w:rPr>
                <w:sz w:val="18"/>
              </w:rPr>
              <w:t>0.8</w:t>
            </w:r>
          </w:p>
        </w:tc>
      </w:tr>
      <w:tr>
        <w:tc>
          <w:tcPr>
            <w:tcW w:type="dxa" w:w="3120"/>
          </w:tcPr>
          <w:p>
            <w:pPr>
              <w:spacing w:after="40"/>
            </w:pPr>
            <w:r/>
          </w:p>
        </w:tc>
        <w:tc>
          <w:tcPr>
            <w:tcW w:type="dxa" w:w="3120"/>
          </w:tcPr>
          <w:p>
            <w:pPr>
              <w:spacing w:after="40"/>
            </w:pPr>
            <w:r/>
            <w:r>
              <w:rPr>
                <w:rFonts w:ascii="Consolas" w:hAnsi="Consolas"/>
                <w:sz w:val="18"/>
              </w:rPr>
              <w:t>min_child_weight</w:t>
            </w:r>
          </w:p>
        </w:tc>
        <w:tc>
          <w:tcPr>
            <w:tcW w:type="dxa" w:w="3120"/>
          </w:tcPr>
          <w:p>
            <w:pPr>
              <w:spacing w:after="40"/>
            </w:pPr>
            <w:r/>
            <w:r>
              <w:rPr>
                <w:sz w:val="18"/>
              </w:rPr>
              <w:t>3</w:t>
            </w:r>
          </w:p>
        </w:tc>
      </w:tr>
      <w:tr>
        <w:tc>
          <w:tcPr>
            <w:tcW w:type="dxa" w:w="3120"/>
          </w:tcPr>
          <w:p>
            <w:pPr>
              <w:spacing w:after="40"/>
            </w:pPr>
            <w:r/>
          </w:p>
        </w:tc>
        <w:tc>
          <w:tcPr>
            <w:tcW w:type="dxa" w:w="3120"/>
          </w:tcPr>
          <w:p>
            <w:pPr>
              <w:spacing w:after="40"/>
            </w:pPr>
            <w:r/>
            <w:r>
              <w:rPr>
                <w:rFonts w:ascii="Consolas" w:hAnsi="Consolas"/>
                <w:sz w:val="18"/>
              </w:rPr>
              <w:t>scale_pos_weight</w:t>
            </w:r>
          </w:p>
        </w:tc>
        <w:tc>
          <w:tcPr>
            <w:tcW w:type="dxa" w:w="3120"/>
          </w:tcPr>
          <w:p>
            <w:pPr>
              <w:spacing w:after="40"/>
            </w:pPr>
            <w:r/>
            <w:r>
              <w:rPr>
                <w:sz w:val="18"/>
              </w:rPr>
              <w:t>computed per dataset+framing at train time</w:t>
            </w:r>
          </w:p>
        </w:tc>
      </w:tr>
      <w:tr>
        <w:tc>
          <w:tcPr>
            <w:tcW w:type="dxa" w:w="3120"/>
          </w:tcPr>
          <w:p>
            <w:pPr>
              <w:spacing w:after="40"/>
            </w:pPr>
            <w:r/>
            <w:r>
              <w:rPr>
                <w:sz w:val="18"/>
              </w:rPr>
              <w:t>Isolation Forest</w:t>
            </w:r>
          </w:p>
        </w:tc>
        <w:tc>
          <w:tcPr>
            <w:tcW w:type="dxa" w:w="3120"/>
          </w:tcPr>
          <w:p>
            <w:pPr>
              <w:spacing w:after="40"/>
            </w:pPr>
            <w:r/>
            <w:r>
              <w:rPr>
                <w:rFonts w:ascii="Consolas" w:hAnsi="Consolas"/>
                <w:sz w:val="18"/>
              </w:rPr>
              <w:t>n_estimators</w:t>
            </w:r>
          </w:p>
        </w:tc>
        <w:tc>
          <w:tcPr>
            <w:tcW w:type="dxa" w:w="3120"/>
          </w:tcPr>
          <w:p>
            <w:pPr>
              <w:spacing w:after="40"/>
            </w:pPr>
            <w:r/>
            <w:r>
              <w:rPr>
                <w:sz w:val="18"/>
              </w:rPr>
              <w:t>200</w:t>
            </w:r>
          </w:p>
        </w:tc>
      </w:tr>
      <w:tr>
        <w:tc>
          <w:tcPr>
            <w:tcW w:type="dxa" w:w="3120"/>
          </w:tcPr>
          <w:p>
            <w:pPr>
              <w:spacing w:after="40"/>
            </w:pPr>
            <w:r/>
          </w:p>
        </w:tc>
        <w:tc>
          <w:tcPr>
            <w:tcW w:type="dxa" w:w="3120"/>
          </w:tcPr>
          <w:p>
            <w:pPr>
              <w:spacing w:after="40"/>
            </w:pPr>
            <w:r/>
            <w:r>
              <w:rPr>
                <w:rFonts w:ascii="Consolas" w:hAnsi="Consolas"/>
                <w:sz w:val="18"/>
              </w:rPr>
              <w:t>max_samples</w:t>
            </w:r>
          </w:p>
        </w:tc>
        <w:tc>
          <w:tcPr>
            <w:tcW w:type="dxa" w:w="3120"/>
          </w:tcPr>
          <w:p>
            <w:pPr>
              <w:spacing w:after="40"/>
            </w:pPr>
            <w:r/>
            <w:r>
              <w:rPr>
                <w:sz w:val="18"/>
              </w:rPr>
              <w:t>256</w:t>
            </w:r>
          </w:p>
        </w:tc>
      </w:tr>
      <w:tr>
        <w:tc>
          <w:tcPr>
            <w:tcW w:type="dxa" w:w="3120"/>
          </w:tcPr>
          <w:p>
            <w:pPr>
              <w:spacing w:after="40"/>
            </w:pPr>
            <w:r/>
          </w:p>
        </w:tc>
        <w:tc>
          <w:tcPr>
            <w:tcW w:type="dxa" w:w="3120"/>
          </w:tcPr>
          <w:p>
            <w:pPr>
              <w:spacing w:after="40"/>
            </w:pPr>
            <w:r/>
            <w:r>
              <w:rPr>
                <w:rFonts w:ascii="Consolas" w:hAnsi="Consolas"/>
                <w:sz w:val="18"/>
              </w:rPr>
              <w:t>contamination</w:t>
            </w:r>
          </w:p>
        </w:tc>
        <w:tc>
          <w:tcPr>
            <w:tcW w:type="dxa" w:w="3120"/>
          </w:tcPr>
          <w:p>
            <w:pPr>
              <w:spacing w:after="40"/>
            </w:pPr>
            <w:r/>
            <w:r>
              <w:rPr>
                <w:sz w:val="18"/>
              </w:rPr>
              <w:t>0.2 (baseline; swept for the cascade, see below)</w:t>
            </w:r>
          </w:p>
        </w:tc>
      </w:tr>
      <w:tr>
        <w:tc>
          <w:tcPr>
            <w:tcW w:type="dxa" w:w="3120"/>
          </w:tcPr>
          <w:p>
            <w:pPr>
              <w:spacing w:after="40"/>
            </w:pPr>
            <w:r/>
          </w:p>
        </w:tc>
        <w:tc>
          <w:tcPr>
            <w:tcW w:type="dxa" w:w="3120"/>
          </w:tcPr>
          <w:p>
            <w:pPr>
              <w:spacing w:after="40"/>
            </w:pPr>
            <w:r/>
            <w:r>
              <w:rPr>
                <w:rFonts w:ascii="Consolas" w:hAnsi="Consolas"/>
                <w:sz w:val="18"/>
              </w:rPr>
              <w:t>max_features</w:t>
            </w:r>
          </w:p>
        </w:tc>
        <w:tc>
          <w:tcPr>
            <w:tcW w:type="dxa" w:w="3120"/>
          </w:tcPr>
          <w:p>
            <w:pPr>
              <w:spacing w:after="40"/>
            </w:pPr>
            <w:r/>
            <w:r>
              <w:rPr>
                <w:sz w:val="18"/>
              </w:rPr>
              <w:t>0.8</w:t>
            </w:r>
          </w:p>
        </w:tc>
      </w:tr>
      <w:tr>
        <w:tc>
          <w:tcPr>
            <w:tcW w:type="dxa" w:w="3120"/>
          </w:tcPr>
          <w:p>
            <w:pPr>
              <w:spacing w:after="40"/>
            </w:pPr>
            <w:r/>
            <w:r>
              <w:rPr>
                <w:sz w:val="18"/>
              </w:rPr>
              <w:t>1D-CNN</w:t>
            </w:r>
          </w:p>
        </w:tc>
        <w:tc>
          <w:tcPr>
            <w:tcW w:type="dxa" w:w="3120"/>
          </w:tcPr>
          <w:p>
            <w:pPr>
              <w:spacing w:after="40"/>
            </w:pPr>
            <w:r/>
            <w:r>
              <w:rPr>
                <w:rFonts w:ascii="Consolas" w:hAnsi="Consolas"/>
                <w:sz w:val="18"/>
              </w:rPr>
              <w:t>conv_filters</w:t>
            </w:r>
          </w:p>
        </w:tc>
        <w:tc>
          <w:tcPr>
            <w:tcW w:type="dxa" w:w="3120"/>
          </w:tcPr>
          <w:p>
            <w:pPr>
              <w:spacing w:after="40"/>
            </w:pPr>
            <w:r/>
            <w:r>
              <w:rPr>
                <w:sz w:val="18"/>
              </w:rPr>
              <w:t>[32, 64]</w:t>
            </w:r>
          </w:p>
        </w:tc>
      </w:tr>
      <w:tr>
        <w:tc>
          <w:tcPr>
            <w:tcW w:type="dxa" w:w="3120"/>
          </w:tcPr>
          <w:p>
            <w:pPr>
              <w:spacing w:after="40"/>
            </w:pPr>
            <w:r/>
          </w:p>
        </w:tc>
        <w:tc>
          <w:tcPr>
            <w:tcW w:type="dxa" w:w="3120"/>
          </w:tcPr>
          <w:p>
            <w:pPr>
              <w:spacing w:after="40"/>
            </w:pPr>
            <w:r/>
            <w:r>
              <w:rPr>
                <w:rFonts w:ascii="Consolas" w:hAnsi="Consolas"/>
                <w:sz w:val="18"/>
              </w:rPr>
              <w:t>kernel_size</w:t>
            </w:r>
          </w:p>
        </w:tc>
        <w:tc>
          <w:tcPr>
            <w:tcW w:type="dxa" w:w="3120"/>
          </w:tcPr>
          <w:p>
            <w:pPr>
              <w:spacing w:after="40"/>
            </w:pPr>
            <w:r/>
            <w:r>
              <w:rPr>
                <w:sz w:val="18"/>
              </w:rPr>
              <w:t>3 (</w:t>
            </w:r>
            <w:r>
              <w:rPr>
                <w:rFonts w:ascii="Consolas" w:hAnsi="Consolas"/>
                <w:sz w:val="18"/>
              </w:rPr>
              <w:t>padding="same"</w:t>
            </w:r>
            <w:r>
              <w:rPr>
                <w:sz w:val="18"/>
              </w:rPr>
              <w:t>)</w:t>
            </w:r>
          </w:p>
        </w:tc>
      </w:tr>
      <w:tr>
        <w:tc>
          <w:tcPr>
            <w:tcW w:type="dxa" w:w="3120"/>
          </w:tcPr>
          <w:p>
            <w:pPr>
              <w:spacing w:after="40"/>
            </w:pPr>
            <w:r/>
          </w:p>
        </w:tc>
        <w:tc>
          <w:tcPr>
            <w:tcW w:type="dxa" w:w="3120"/>
          </w:tcPr>
          <w:p>
            <w:pPr>
              <w:spacing w:after="40"/>
            </w:pPr>
            <w:r/>
            <w:r>
              <w:rPr>
                <w:rFonts w:ascii="Consolas" w:hAnsi="Consolas"/>
                <w:sz w:val="18"/>
              </w:rPr>
              <w:t>dropout</w:t>
            </w:r>
          </w:p>
        </w:tc>
        <w:tc>
          <w:tcPr>
            <w:tcW w:type="dxa" w:w="3120"/>
          </w:tcPr>
          <w:p>
            <w:pPr>
              <w:spacing w:after="40"/>
            </w:pPr>
            <w:r/>
            <w:r>
              <w:rPr>
                <w:sz w:val="18"/>
              </w:rPr>
              <w:t>0.3</w:t>
            </w:r>
          </w:p>
        </w:tc>
      </w:tr>
      <w:tr>
        <w:tc>
          <w:tcPr>
            <w:tcW w:type="dxa" w:w="3120"/>
          </w:tcPr>
          <w:p>
            <w:pPr>
              <w:spacing w:after="40"/>
            </w:pPr>
            <w:r/>
          </w:p>
        </w:tc>
        <w:tc>
          <w:tcPr>
            <w:tcW w:type="dxa" w:w="3120"/>
          </w:tcPr>
          <w:p>
            <w:pPr>
              <w:spacing w:after="40"/>
            </w:pPr>
            <w:r/>
            <w:r>
              <w:rPr>
                <w:rFonts w:ascii="Consolas" w:hAnsi="Consolas"/>
                <w:sz w:val="18"/>
              </w:rPr>
              <w:t>dense_units</w:t>
            </w:r>
          </w:p>
        </w:tc>
        <w:tc>
          <w:tcPr>
            <w:tcW w:type="dxa" w:w="3120"/>
          </w:tcPr>
          <w:p>
            <w:pPr>
              <w:spacing w:after="40"/>
            </w:pPr>
            <w:r/>
            <w:r>
              <w:rPr>
                <w:sz w:val="18"/>
              </w:rPr>
              <w:t>64</w:t>
            </w:r>
          </w:p>
        </w:tc>
      </w:tr>
      <w:tr>
        <w:tc>
          <w:tcPr>
            <w:tcW w:type="dxa" w:w="3120"/>
          </w:tcPr>
          <w:p>
            <w:pPr>
              <w:spacing w:after="40"/>
            </w:pPr>
            <w:r/>
          </w:p>
        </w:tc>
        <w:tc>
          <w:tcPr>
            <w:tcW w:type="dxa" w:w="3120"/>
          </w:tcPr>
          <w:p>
            <w:pPr>
              <w:spacing w:after="40"/>
            </w:pPr>
            <w:r/>
            <w:r>
              <w:rPr>
                <w:rFonts w:ascii="Consolas" w:hAnsi="Consolas"/>
                <w:sz w:val="18"/>
              </w:rPr>
              <w:t>optimizer</w:t>
            </w:r>
            <w:r>
              <w:rPr>
                <w:sz w:val="18"/>
              </w:rPr>
              <w:t xml:space="preserve"> / </w:t>
            </w:r>
            <w:r>
              <w:rPr>
                <w:rFonts w:ascii="Consolas" w:hAnsi="Consolas"/>
                <w:sz w:val="18"/>
              </w:rPr>
              <w:t>learning_rate</w:t>
            </w:r>
          </w:p>
        </w:tc>
        <w:tc>
          <w:tcPr>
            <w:tcW w:type="dxa" w:w="3120"/>
          </w:tcPr>
          <w:p>
            <w:pPr>
              <w:spacing w:after="40"/>
            </w:pPr>
            <w:r/>
            <w:r>
              <w:rPr>
                <w:sz w:val="18"/>
              </w:rPr>
              <w:t>Adam / 0.001</w:t>
            </w:r>
          </w:p>
        </w:tc>
      </w:tr>
      <w:tr>
        <w:tc>
          <w:tcPr>
            <w:tcW w:type="dxa" w:w="3120"/>
          </w:tcPr>
          <w:p>
            <w:pPr>
              <w:spacing w:after="40"/>
            </w:pPr>
            <w:r/>
          </w:p>
        </w:tc>
        <w:tc>
          <w:tcPr>
            <w:tcW w:type="dxa" w:w="3120"/>
          </w:tcPr>
          <w:p>
            <w:pPr>
              <w:spacing w:after="40"/>
            </w:pPr>
            <w:r/>
            <w:r>
              <w:rPr>
                <w:rFonts w:ascii="Consolas" w:hAnsi="Consolas"/>
                <w:sz w:val="18"/>
              </w:rPr>
              <w:t>batch_size</w:t>
            </w:r>
          </w:p>
        </w:tc>
        <w:tc>
          <w:tcPr>
            <w:tcW w:type="dxa" w:w="3120"/>
          </w:tcPr>
          <w:p>
            <w:pPr>
              <w:spacing w:after="40"/>
            </w:pPr>
            <w:r/>
            <w:r>
              <w:rPr>
                <w:sz w:val="18"/>
              </w:rPr>
              <w:t>256</w:t>
            </w:r>
          </w:p>
        </w:tc>
      </w:tr>
      <w:tr>
        <w:tc>
          <w:tcPr>
            <w:tcW w:type="dxa" w:w="3120"/>
          </w:tcPr>
          <w:p>
            <w:pPr>
              <w:spacing w:after="40"/>
            </w:pPr>
            <w:r/>
          </w:p>
        </w:tc>
        <w:tc>
          <w:tcPr>
            <w:tcW w:type="dxa" w:w="3120"/>
          </w:tcPr>
          <w:p>
            <w:pPr>
              <w:spacing w:after="40"/>
            </w:pPr>
            <w:r/>
            <w:r>
              <w:rPr>
                <w:rFonts w:ascii="Consolas" w:hAnsi="Consolas"/>
                <w:sz w:val="18"/>
              </w:rPr>
              <w:t>early_stopping_patience</w:t>
            </w:r>
          </w:p>
        </w:tc>
        <w:tc>
          <w:tcPr>
            <w:tcW w:type="dxa" w:w="3120"/>
          </w:tcPr>
          <w:p>
            <w:pPr>
              <w:spacing w:after="40"/>
            </w:pPr>
            <w:r/>
            <w:r>
              <w:rPr>
                <w:sz w:val="18"/>
              </w:rPr>
              <w:t xml:space="preserve">5 (on validation PR-AUC), </w:t>
            </w:r>
            <w:r>
              <w:rPr>
                <w:rFonts w:ascii="Consolas" w:hAnsi="Consolas"/>
                <w:sz w:val="18"/>
              </w:rPr>
              <w:t>max_epochs</w:t>
            </w:r>
            <w:r>
              <w:rPr>
                <w:sz w:val="18"/>
              </w:rPr>
              <w:t xml:space="preserve"> 100 cap</w:t>
            </w:r>
          </w:p>
        </w:tc>
      </w:tr>
      <w:tr>
        <w:tc>
          <w:tcPr>
            <w:tcW w:type="dxa" w:w="3120"/>
          </w:tcPr>
          <w:p>
            <w:pPr>
              <w:spacing w:after="40"/>
            </w:pPr>
            <w:r/>
          </w:p>
        </w:tc>
        <w:tc>
          <w:tcPr>
            <w:tcW w:type="dxa" w:w="3120"/>
          </w:tcPr>
          <w:p>
            <w:pPr>
              <w:spacing w:after="40"/>
            </w:pPr>
            <w:r/>
            <w:r>
              <w:rPr>
                <w:rFonts w:ascii="Consolas" w:hAnsi="Consolas"/>
                <w:sz w:val="18"/>
              </w:rPr>
              <w:t>val_frac</w:t>
            </w:r>
          </w:p>
        </w:tc>
        <w:tc>
          <w:tcPr>
            <w:tcW w:type="dxa" w:w="3120"/>
          </w:tcPr>
          <w:p>
            <w:pPr>
              <w:spacing w:after="40"/>
            </w:pPr>
            <w:r/>
            <w:r>
              <w:rPr>
                <w:sz w:val="18"/>
              </w:rPr>
              <w:t>0.2, carved from the training fold only, never the test fold</w:t>
            </w:r>
          </w:p>
        </w:tc>
      </w:tr>
      <w:tr>
        <w:tc>
          <w:tcPr>
            <w:tcW w:type="dxa" w:w="3120"/>
          </w:tcPr>
          <w:p>
            <w:pPr>
              <w:spacing w:after="40"/>
            </w:pPr>
            <w:r/>
            <w:r>
              <w:rPr>
                <w:sz w:val="18"/>
              </w:rPr>
              <w:t>Autoencoder</w:t>
            </w:r>
          </w:p>
        </w:tc>
        <w:tc>
          <w:tcPr>
            <w:tcW w:type="dxa" w:w="3120"/>
          </w:tcPr>
          <w:p>
            <w:pPr>
              <w:spacing w:after="40"/>
            </w:pPr>
            <w:r/>
            <w:r>
              <w:rPr>
                <w:rFonts w:ascii="Consolas" w:hAnsi="Consolas"/>
                <w:sz w:val="18"/>
              </w:rPr>
              <w:t>layers</w:t>
            </w:r>
          </w:p>
        </w:tc>
        <w:tc>
          <w:tcPr>
            <w:tcW w:type="dxa" w:w="3120"/>
          </w:tcPr>
          <w:p>
            <w:pPr>
              <w:spacing w:after="40"/>
            </w:pPr>
            <w:r/>
            <w:r>
              <w:rPr>
                <w:sz w:val="18"/>
              </w:rPr>
              <w:t>[11, 8, 4, 8, 11]</w:t>
            </w:r>
          </w:p>
        </w:tc>
      </w:tr>
      <w:tr>
        <w:tc>
          <w:tcPr>
            <w:tcW w:type="dxa" w:w="3120"/>
          </w:tcPr>
          <w:p>
            <w:pPr>
              <w:spacing w:after="40"/>
            </w:pPr>
            <w:r/>
          </w:p>
        </w:tc>
        <w:tc>
          <w:tcPr>
            <w:tcW w:type="dxa" w:w="3120"/>
          </w:tcPr>
          <w:p>
            <w:pPr>
              <w:spacing w:after="40"/>
            </w:pPr>
            <w:r/>
            <w:r>
              <w:rPr>
                <w:rFonts w:ascii="Consolas" w:hAnsi="Consolas"/>
                <w:sz w:val="18"/>
              </w:rPr>
              <w:t>activation</w:t>
            </w:r>
            <w:r>
              <w:rPr>
                <w:sz w:val="18"/>
              </w:rPr>
              <w:t xml:space="preserve"> / </w:t>
            </w:r>
            <w:r>
              <w:rPr>
                <w:rFonts w:ascii="Consolas" w:hAnsi="Consolas"/>
                <w:sz w:val="18"/>
              </w:rPr>
              <w:t>loss</w:t>
            </w:r>
          </w:p>
        </w:tc>
        <w:tc>
          <w:tcPr>
            <w:tcW w:type="dxa" w:w="3120"/>
          </w:tcPr>
          <w:p>
            <w:pPr>
              <w:spacing w:after="40"/>
            </w:pPr>
            <w:r/>
            <w:r>
              <w:rPr>
                <w:sz w:val="18"/>
              </w:rPr>
              <w:t>ReLU / MSE</w:t>
            </w:r>
          </w:p>
        </w:tc>
      </w:tr>
      <w:tr>
        <w:tc>
          <w:tcPr>
            <w:tcW w:type="dxa" w:w="3120"/>
          </w:tcPr>
          <w:p>
            <w:pPr>
              <w:spacing w:after="40"/>
            </w:pPr>
            <w:r/>
          </w:p>
        </w:tc>
        <w:tc>
          <w:tcPr>
            <w:tcW w:type="dxa" w:w="3120"/>
          </w:tcPr>
          <w:p>
            <w:pPr>
              <w:spacing w:after="40"/>
            </w:pPr>
            <w:r/>
            <w:r>
              <w:rPr>
                <w:rFonts w:ascii="Consolas" w:hAnsi="Consolas"/>
                <w:sz w:val="18"/>
              </w:rPr>
              <w:t>optimizer</w:t>
            </w:r>
            <w:r>
              <w:rPr>
                <w:sz w:val="18"/>
              </w:rPr>
              <w:t xml:space="preserve"> / </w:t>
            </w:r>
            <w:r>
              <w:rPr>
                <w:rFonts w:ascii="Consolas" w:hAnsi="Consolas"/>
                <w:sz w:val="18"/>
              </w:rPr>
              <w:t>learning_rate</w:t>
            </w:r>
          </w:p>
        </w:tc>
        <w:tc>
          <w:tcPr>
            <w:tcW w:type="dxa" w:w="3120"/>
          </w:tcPr>
          <w:p>
            <w:pPr>
              <w:spacing w:after="40"/>
            </w:pPr>
            <w:r/>
            <w:r>
              <w:rPr>
                <w:sz w:val="18"/>
              </w:rPr>
              <w:t>Adam / 0.001</w:t>
            </w:r>
          </w:p>
        </w:tc>
      </w:tr>
      <w:tr>
        <w:tc>
          <w:tcPr>
            <w:tcW w:type="dxa" w:w="3120"/>
          </w:tcPr>
          <w:p>
            <w:pPr>
              <w:spacing w:after="40"/>
            </w:pPr>
            <w:r/>
          </w:p>
        </w:tc>
        <w:tc>
          <w:tcPr>
            <w:tcW w:type="dxa" w:w="3120"/>
          </w:tcPr>
          <w:p>
            <w:pPr>
              <w:spacing w:after="40"/>
            </w:pPr>
            <w:r/>
            <w:r>
              <w:rPr>
                <w:rFonts w:ascii="Consolas" w:hAnsi="Consolas"/>
                <w:sz w:val="18"/>
              </w:rPr>
              <w:t>batch_size</w:t>
            </w:r>
          </w:p>
        </w:tc>
        <w:tc>
          <w:tcPr>
            <w:tcW w:type="dxa" w:w="3120"/>
          </w:tcPr>
          <w:p>
            <w:pPr>
              <w:spacing w:after="40"/>
            </w:pPr>
            <w:r/>
            <w:r>
              <w:rPr>
                <w:sz w:val="18"/>
              </w:rPr>
              <w:t xml:space="preserve">256, </w:t>
            </w:r>
            <w:r>
              <w:rPr>
                <w:rFonts w:ascii="Consolas" w:hAnsi="Consolas"/>
                <w:sz w:val="18"/>
              </w:rPr>
              <w:t>max_epochs</w:t>
            </w:r>
            <w:r>
              <w:rPr>
                <w:sz w:val="18"/>
              </w:rPr>
              <w:t xml:space="preserve"> 100</w:t>
            </w:r>
          </w:p>
        </w:tc>
      </w:tr>
      <w:tr>
        <w:tc>
          <w:tcPr>
            <w:tcW w:type="dxa" w:w="3120"/>
          </w:tcPr>
          <w:p>
            <w:pPr>
              <w:spacing w:after="40"/>
            </w:pPr>
            <w:r/>
          </w:p>
        </w:tc>
        <w:tc>
          <w:tcPr>
            <w:tcW w:type="dxa" w:w="3120"/>
          </w:tcPr>
          <w:p>
            <w:pPr>
              <w:spacing w:after="40"/>
            </w:pPr>
            <w:r/>
            <w:r>
              <w:rPr>
                <w:rFonts w:ascii="Consolas" w:hAnsi="Consolas"/>
                <w:sz w:val="18"/>
              </w:rPr>
              <w:t>threshold_percentile</w:t>
            </w:r>
          </w:p>
        </w:tc>
        <w:tc>
          <w:tcPr>
            <w:tcW w:type="dxa" w:w="3120"/>
          </w:tcPr>
          <w:p>
            <w:pPr>
              <w:spacing w:after="40"/>
            </w:pPr>
            <w:r/>
            <w:r>
              <w:rPr>
                <w:sz w:val="18"/>
              </w:rPr>
              <w:t>95th percentile of benign training-fold reconstruction error</w:t>
            </w:r>
          </w:p>
        </w:tc>
      </w:tr>
    </w:tbl>
    <w:p>
      <w:pPr>
        <w:spacing w:after="80"/>
      </w:pPr>
    </w:p>
    <w:p>
      <w:r>
        <w:t xml:space="preserve">All four models fix </w:t>
      </w:r>
      <w:r>
        <w:rPr>
          <w:rFonts w:ascii="Consolas" w:hAnsi="Consolas"/>
          <w:sz w:val="20"/>
        </w:rPr>
        <w:t>random_state=42</w:t>
      </w:r>
      <w:r>
        <w:t xml:space="preserve">; the 5-fold </w:t>
      </w:r>
      <w:r>
        <w:rPr>
          <w:rFonts w:ascii="Consolas" w:hAnsi="Consolas"/>
          <w:sz w:val="20"/>
        </w:rPr>
        <w:t>StratifiedKFold</w:t>
      </w:r>
      <w:r>
        <w:t xml:space="preserve"> (</w:t>
      </w:r>
      <w:r>
        <w:rPr>
          <w:rFonts w:ascii="Consolas" w:hAnsi="Consolas"/>
          <w:sz w:val="20"/>
        </w:rPr>
        <w:t>shuffle=True, random_state=42</w:t>
      </w:r>
      <w:r>
        <w:t xml:space="preserve">) is shared across every model and dataset via </w:t>
      </w:r>
      <w:r>
        <w:rPr>
          <w:rFonts w:ascii="Consolas" w:hAnsi="Consolas"/>
          <w:sz w:val="20"/>
        </w:rPr>
        <w:t>preprocessing.pipeline.get_cv()</w:t>
      </w:r>
      <w:r>
        <w:t>.</w:t>
      </w:r>
    </w:p>
    <w:p>
      <w:r>
        <w:rPr>
          <w:b/>
        </w:rPr>
        <w:t>Sensitivity sweep 1 — XGBoost `max_depth ∈ {3, 6, 9, 12}`, Dataset A (221,315 rows, `families="full"`):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depth</w:t>
            </w:r>
          </w:p>
        </w:tc>
        <w:tc>
          <w:tcPr>
            <w:tcW w:type="dxa" w:w="3120"/>
          </w:tcPr>
          <w:p>
            <w:pPr>
              <w:spacing w:after="40"/>
            </w:pPr>
            <w:r/>
            <w:r>
              <w:rPr>
                <w:b/>
                <w:sz w:val="18"/>
              </w:rPr>
              <w:t>F1</w:t>
            </w:r>
          </w:p>
        </w:tc>
        <w:tc>
          <w:tcPr>
            <w:tcW w:type="dxa" w:w="3120"/>
          </w:tcPr>
          <w:p>
            <w:pPr>
              <w:spacing w:after="40"/>
            </w:pPr>
            <w:r/>
            <w:r>
              <w:rPr>
                <w:b/>
                <w:sz w:val="18"/>
              </w:rPr>
              <w:t>FPR</w:t>
            </w:r>
          </w:p>
        </w:tc>
      </w:tr>
      <w:tr>
        <w:tc>
          <w:tcPr>
            <w:tcW w:type="dxa" w:w="3120"/>
          </w:tcPr>
          <w:p>
            <w:pPr>
              <w:spacing w:after="40"/>
            </w:pPr>
            <w:r/>
            <w:r>
              <w:rPr>
                <w:sz w:val="18"/>
              </w:rPr>
              <w:t>3</w:t>
            </w:r>
          </w:p>
        </w:tc>
        <w:tc>
          <w:tcPr>
            <w:tcW w:type="dxa" w:w="3120"/>
          </w:tcPr>
          <w:p>
            <w:pPr>
              <w:spacing w:after="40"/>
            </w:pPr>
            <w:r/>
            <w:r>
              <w:rPr>
                <w:sz w:val="18"/>
              </w:rPr>
              <w:t>0.8181</w:t>
            </w:r>
          </w:p>
        </w:tc>
        <w:tc>
          <w:tcPr>
            <w:tcW w:type="dxa" w:w="3120"/>
          </w:tcPr>
          <w:p>
            <w:pPr>
              <w:spacing w:after="40"/>
            </w:pPr>
            <w:r/>
            <w:r>
              <w:rPr>
                <w:sz w:val="18"/>
              </w:rPr>
              <w:t>0.4049</w:t>
            </w:r>
          </w:p>
        </w:tc>
      </w:tr>
      <w:tr>
        <w:tc>
          <w:tcPr>
            <w:tcW w:type="dxa" w:w="3120"/>
          </w:tcPr>
          <w:p>
            <w:pPr>
              <w:spacing w:after="40"/>
            </w:pPr>
            <w:r/>
            <w:r>
              <w:rPr>
                <w:sz w:val="18"/>
              </w:rPr>
              <w:t>6</w:t>
            </w:r>
          </w:p>
        </w:tc>
        <w:tc>
          <w:tcPr>
            <w:tcW w:type="dxa" w:w="3120"/>
          </w:tcPr>
          <w:p>
            <w:pPr>
              <w:spacing w:after="40"/>
            </w:pPr>
            <w:r/>
            <w:r>
              <w:rPr>
                <w:sz w:val="18"/>
              </w:rPr>
              <w:t>0.8182</w:t>
            </w:r>
          </w:p>
        </w:tc>
        <w:tc>
          <w:tcPr>
            <w:tcW w:type="dxa" w:w="3120"/>
          </w:tcPr>
          <w:p>
            <w:pPr>
              <w:spacing w:after="40"/>
            </w:pPr>
            <w:r/>
            <w:r>
              <w:rPr>
                <w:sz w:val="18"/>
              </w:rPr>
              <w:t>0.4048</w:t>
            </w:r>
          </w:p>
        </w:tc>
      </w:tr>
      <w:tr>
        <w:tc>
          <w:tcPr>
            <w:tcW w:type="dxa" w:w="3120"/>
          </w:tcPr>
          <w:p>
            <w:pPr>
              <w:spacing w:after="40"/>
            </w:pPr>
            <w:r/>
            <w:r>
              <w:rPr>
                <w:sz w:val="18"/>
              </w:rPr>
              <w:t>9</w:t>
            </w:r>
          </w:p>
        </w:tc>
        <w:tc>
          <w:tcPr>
            <w:tcW w:type="dxa" w:w="3120"/>
          </w:tcPr>
          <w:p>
            <w:pPr>
              <w:spacing w:after="40"/>
            </w:pPr>
            <w:r/>
            <w:r>
              <w:rPr>
                <w:sz w:val="18"/>
              </w:rPr>
              <w:t>0.8182</w:t>
            </w:r>
          </w:p>
        </w:tc>
        <w:tc>
          <w:tcPr>
            <w:tcW w:type="dxa" w:w="3120"/>
          </w:tcPr>
          <w:p>
            <w:pPr>
              <w:spacing w:after="40"/>
            </w:pPr>
            <w:r/>
            <w:r>
              <w:rPr>
                <w:sz w:val="18"/>
              </w:rPr>
              <w:t>0.4049</w:t>
            </w:r>
          </w:p>
        </w:tc>
      </w:tr>
      <w:tr>
        <w:tc>
          <w:tcPr>
            <w:tcW w:type="dxa" w:w="3120"/>
          </w:tcPr>
          <w:p>
            <w:pPr>
              <w:spacing w:after="40"/>
            </w:pPr>
            <w:r/>
            <w:r>
              <w:rPr>
                <w:sz w:val="18"/>
              </w:rPr>
              <w:t>12</w:t>
            </w:r>
          </w:p>
        </w:tc>
        <w:tc>
          <w:tcPr>
            <w:tcW w:type="dxa" w:w="3120"/>
          </w:tcPr>
          <w:p>
            <w:pPr>
              <w:spacing w:after="40"/>
            </w:pPr>
            <w:r/>
            <w:r>
              <w:rPr>
                <w:sz w:val="18"/>
              </w:rPr>
              <w:t>0.8182</w:t>
            </w:r>
          </w:p>
        </w:tc>
        <w:tc>
          <w:tcPr>
            <w:tcW w:type="dxa" w:w="3120"/>
          </w:tcPr>
          <w:p>
            <w:pPr>
              <w:spacing w:after="40"/>
            </w:pPr>
            <w:r/>
            <w:r>
              <w:rPr>
                <w:sz w:val="18"/>
              </w:rPr>
              <w:t>0.4049</w:t>
            </w:r>
          </w:p>
        </w:tc>
      </w:tr>
    </w:tbl>
    <w:p>
      <w:pPr>
        <w:spacing w:after="80"/>
      </w:pPr>
    </w:p>
    <w:p>
      <w:r>
        <w:rPr>
          <w:b/>
        </w:rPr>
        <w:t>Interpretation.</w:t>
      </w:r>
      <w:r>
        <w:t xml:space="preserve"> F1 and FPR move by less than 0.001 across the entire depth range — there is no visible overfit-onset within this grid to point to. Read alongside the high, depth-invariant FPR (~40%), the honest story is that depth is not the bottleneck: Dataset A's effective feature set is 7 informative numeric columns (F1–F3; the other 4 are structurally constant, Chapter 5.4), and 400 boosted trees at depth 3 already extract essentially everything an axis-aligned split model can extract from 7 continuous features. Going deeper neither helps (there is no additional structure in 7 continuous features for extra depth to find) nor hurts (there is not enough added capacity to memorise noise at n≈221K). The same ~0.40 FPR was independently seen from the plain LogisticRegression smoke test in Step 2A′ — corroborating evidence that the ~40% FPR is a property of the feature set on this data, not an XGBoost-specific quirk.</w:t>
      </w:r>
    </w:p>
    <w:p>
      <w:r>
        <w:rPr>
          <w:b/>
        </w:rPr>
        <w:t>Sensitivity sweep 2 — Isolation Forest `contamination ∈ {0.05, 0.10, 0.20, 0.30}`, Dataset B (both framings), `families="full"`: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r>
              <w:rPr>
                <w:b/>
                <w:sz w:val="18"/>
              </w:rPr>
              <w:t>contamination</w:t>
            </w:r>
          </w:p>
        </w:tc>
        <w:tc>
          <w:tcPr>
            <w:tcW w:type="dxa" w:w="1337"/>
          </w:tcPr>
          <w:p>
            <w:pPr>
              <w:spacing w:after="40"/>
            </w:pPr>
            <w:r/>
            <w:r>
              <w:rPr>
                <w:b/>
                <w:sz w:val="18"/>
              </w:rPr>
              <w:t>hard F1</w:t>
            </w:r>
          </w:p>
        </w:tc>
        <w:tc>
          <w:tcPr>
            <w:tcW w:type="dxa" w:w="1337"/>
          </w:tcPr>
          <w:p>
            <w:pPr>
              <w:spacing w:after="40"/>
            </w:pPr>
            <w:r/>
            <w:r>
              <w:rPr>
                <w:b/>
                <w:sz w:val="18"/>
              </w:rPr>
              <w:t>hard FPR</w:t>
            </w:r>
          </w:p>
        </w:tc>
        <w:tc>
          <w:tcPr>
            <w:tcW w:type="dxa" w:w="1337"/>
          </w:tcPr>
          <w:p>
            <w:pPr>
              <w:spacing w:after="40"/>
            </w:pPr>
            <w:r/>
            <w:r>
              <w:rPr>
                <w:b/>
                <w:sz w:val="18"/>
              </w:rPr>
              <w:t>hard recall</w:t>
            </w:r>
          </w:p>
        </w:tc>
        <w:tc>
          <w:tcPr>
            <w:tcW w:type="dxa" w:w="1337"/>
          </w:tcPr>
          <w:p>
            <w:pPr>
              <w:spacing w:after="40"/>
            </w:pPr>
            <w:r/>
            <w:r>
              <w:rPr>
                <w:b/>
                <w:sz w:val="18"/>
              </w:rPr>
              <w:t>easy F1</w:t>
            </w:r>
          </w:p>
        </w:tc>
        <w:tc>
          <w:tcPr>
            <w:tcW w:type="dxa" w:w="1337"/>
          </w:tcPr>
          <w:p>
            <w:pPr>
              <w:spacing w:after="40"/>
            </w:pPr>
            <w:r/>
            <w:r>
              <w:rPr>
                <w:b/>
                <w:sz w:val="18"/>
              </w:rPr>
              <w:t>easy FPR</w:t>
            </w:r>
          </w:p>
        </w:tc>
        <w:tc>
          <w:tcPr>
            <w:tcW w:type="dxa" w:w="1337"/>
          </w:tcPr>
          <w:p>
            <w:pPr>
              <w:spacing w:after="40"/>
            </w:pPr>
            <w:r/>
            <w:r>
              <w:rPr>
                <w:b/>
                <w:sz w:val="18"/>
              </w:rPr>
              <w:t>easy recall</w:t>
            </w:r>
          </w:p>
        </w:tc>
      </w:tr>
      <w:tr>
        <w:tc>
          <w:tcPr>
            <w:tcW w:type="dxa" w:w="1337"/>
          </w:tcPr>
          <w:p>
            <w:pPr>
              <w:spacing w:after="40"/>
            </w:pPr>
            <w:r/>
            <w:r>
              <w:rPr>
                <w:sz w:val="18"/>
              </w:rPr>
              <w:t>0.05</w:t>
            </w:r>
          </w:p>
        </w:tc>
        <w:tc>
          <w:tcPr>
            <w:tcW w:type="dxa" w:w="1337"/>
          </w:tcPr>
          <w:p>
            <w:pPr>
              <w:spacing w:after="40"/>
            </w:pPr>
            <w:r/>
            <w:r>
              <w:rPr>
                <w:sz w:val="18"/>
              </w:rPr>
              <w:t>0.1107</w:t>
            </w:r>
          </w:p>
        </w:tc>
        <w:tc>
          <w:tcPr>
            <w:tcW w:type="dxa" w:w="1337"/>
          </w:tcPr>
          <w:p>
            <w:pPr>
              <w:spacing w:after="40"/>
            </w:pPr>
            <w:r/>
            <w:r>
              <w:rPr>
                <w:sz w:val="18"/>
              </w:rPr>
              <w:t>0.0387</w:t>
            </w:r>
          </w:p>
        </w:tc>
        <w:tc>
          <w:tcPr>
            <w:tcW w:type="dxa" w:w="1337"/>
          </w:tcPr>
          <w:p>
            <w:pPr>
              <w:spacing w:after="40"/>
            </w:pPr>
            <w:r/>
            <w:r>
              <w:rPr>
                <w:sz w:val="18"/>
              </w:rPr>
              <w:t>0.0609</w:t>
            </w:r>
          </w:p>
        </w:tc>
        <w:tc>
          <w:tcPr>
            <w:tcW w:type="dxa" w:w="1337"/>
          </w:tcPr>
          <w:p>
            <w:pPr>
              <w:spacing w:after="40"/>
            </w:pPr>
            <w:r/>
            <w:r>
              <w:rPr>
                <w:sz w:val="18"/>
              </w:rPr>
              <w:t>0.0582</w:t>
            </w:r>
          </w:p>
        </w:tc>
        <w:tc>
          <w:tcPr>
            <w:tcW w:type="dxa" w:w="1337"/>
          </w:tcPr>
          <w:p>
            <w:pPr>
              <w:spacing w:after="40"/>
            </w:pPr>
            <w:r/>
            <w:r>
              <w:rPr>
                <w:sz w:val="18"/>
              </w:rPr>
              <w:t>0.0537</w:t>
            </w:r>
          </w:p>
        </w:tc>
        <w:tc>
          <w:tcPr>
            <w:tcW w:type="dxa" w:w="1337"/>
          </w:tcPr>
          <w:p>
            <w:pPr>
              <w:spacing w:after="40"/>
            </w:pPr>
            <w:r/>
            <w:r>
              <w:rPr>
                <w:sz w:val="18"/>
              </w:rPr>
              <w:t>0.0359</w:t>
            </w:r>
          </w:p>
        </w:tc>
      </w:tr>
      <w:tr>
        <w:tc>
          <w:tcPr>
            <w:tcW w:type="dxa" w:w="1337"/>
          </w:tcPr>
          <w:p>
            <w:pPr>
              <w:spacing w:after="40"/>
            </w:pPr>
            <w:r/>
            <w:r>
              <w:rPr>
                <w:sz w:val="18"/>
              </w:rPr>
              <w:t>0.10</w:t>
            </w:r>
          </w:p>
        </w:tc>
        <w:tc>
          <w:tcPr>
            <w:tcW w:type="dxa" w:w="1337"/>
          </w:tcPr>
          <w:p>
            <w:pPr>
              <w:spacing w:after="40"/>
            </w:pPr>
            <w:r/>
            <w:r>
              <w:rPr>
                <w:sz w:val="18"/>
              </w:rPr>
              <w:t>0.2283</w:t>
            </w:r>
          </w:p>
        </w:tc>
        <w:tc>
          <w:tcPr>
            <w:tcW w:type="dxa" w:w="1337"/>
          </w:tcPr>
          <w:p>
            <w:pPr>
              <w:spacing w:after="40"/>
            </w:pPr>
            <w:r/>
            <w:r>
              <w:rPr>
                <w:sz w:val="18"/>
              </w:rPr>
              <w:t>0.0627</w:t>
            </w:r>
          </w:p>
        </w:tc>
        <w:tc>
          <w:tcPr>
            <w:tcW w:type="dxa" w:w="1337"/>
          </w:tcPr>
          <w:p>
            <w:pPr>
              <w:spacing w:after="40"/>
            </w:pPr>
            <w:r/>
            <w:r>
              <w:rPr>
                <w:sz w:val="18"/>
              </w:rPr>
              <w:t>0.1370</w:t>
            </w:r>
          </w:p>
        </w:tc>
        <w:tc>
          <w:tcPr>
            <w:tcW w:type="dxa" w:w="1337"/>
          </w:tcPr>
          <w:p>
            <w:pPr>
              <w:spacing w:after="40"/>
            </w:pPr>
            <w:r/>
            <w:r>
              <w:rPr>
                <w:sz w:val="18"/>
              </w:rPr>
              <w:t>0.1792</w:t>
            </w:r>
          </w:p>
        </w:tc>
        <w:tc>
          <w:tcPr>
            <w:tcW w:type="dxa" w:w="1337"/>
          </w:tcPr>
          <w:p>
            <w:pPr>
              <w:spacing w:after="40"/>
            </w:pPr>
            <w:r/>
            <w:r>
              <w:rPr>
                <w:sz w:val="18"/>
              </w:rPr>
              <w:t>0.0916</w:t>
            </w:r>
          </w:p>
        </w:tc>
        <w:tc>
          <w:tcPr>
            <w:tcW w:type="dxa" w:w="1337"/>
          </w:tcPr>
          <w:p>
            <w:pPr>
              <w:spacing w:after="40"/>
            </w:pPr>
            <w:r/>
            <w:r>
              <w:rPr>
                <w:sz w:val="18"/>
              </w:rPr>
              <w:t>0.1315</w:t>
            </w:r>
          </w:p>
        </w:tc>
      </w:tr>
      <w:tr>
        <w:tc>
          <w:tcPr>
            <w:tcW w:type="dxa" w:w="1337"/>
          </w:tcPr>
          <w:p>
            <w:pPr>
              <w:spacing w:after="40"/>
            </w:pPr>
            <w:r/>
            <w:r>
              <w:rPr>
                <w:sz w:val="18"/>
              </w:rPr>
              <w:t>0.20</w:t>
            </w:r>
          </w:p>
        </w:tc>
        <w:tc>
          <w:tcPr>
            <w:tcW w:type="dxa" w:w="1337"/>
          </w:tcPr>
          <w:p>
            <w:pPr>
              <w:spacing w:after="40"/>
            </w:pPr>
            <w:r/>
            <w:r>
              <w:rPr>
                <w:sz w:val="18"/>
              </w:rPr>
              <w:t>0.3411</w:t>
            </w:r>
          </w:p>
        </w:tc>
        <w:tc>
          <w:tcPr>
            <w:tcW w:type="dxa" w:w="1337"/>
          </w:tcPr>
          <w:p>
            <w:pPr>
              <w:spacing w:after="40"/>
            </w:pPr>
            <w:r/>
            <w:r>
              <w:rPr>
                <w:sz w:val="18"/>
              </w:rPr>
              <w:t>0.1627</w:t>
            </w:r>
          </w:p>
        </w:tc>
        <w:tc>
          <w:tcPr>
            <w:tcW w:type="dxa" w:w="1337"/>
          </w:tcPr>
          <w:p>
            <w:pPr>
              <w:spacing w:after="40"/>
            </w:pPr>
            <w:r/>
            <w:r>
              <w:rPr>
                <w:sz w:val="18"/>
              </w:rPr>
              <w:t>0.2391</w:t>
            </w:r>
          </w:p>
        </w:tc>
        <w:tc>
          <w:tcPr>
            <w:tcW w:type="dxa" w:w="1337"/>
          </w:tcPr>
          <w:p>
            <w:pPr>
              <w:spacing w:after="40"/>
            </w:pPr>
            <w:r/>
            <w:r>
              <w:rPr>
                <w:sz w:val="18"/>
              </w:rPr>
              <w:t>0.3326</w:t>
            </w:r>
          </w:p>
        </w:tc>
        <w:tc>
          <w:tcPr>
            <w:tcW w:type="dxa" w:w="1337"/>
          </w:tcPr>
          <w:p>
            <w:pPr>
              <w:spacing w:after="40"/>
            </w:pPr>
            <w:r/>
            <w:r>
              <w:rPr>
                <w:sz w:val="18"/>
              </w:rPr>
              <w:t>0.1671</w:t>
            </w:r>
          </w:p>
        </w:tc>
        <w:tc>
          <w:tcPr>
            <w:tcW w:type="dxa" w:w="1337"/>
          </w:tcPr>
          <w:p>
            <w:pPr>
              <w:spacing w:after="40"/>
            </w:pPr>
            <w:r/>
            <w:r>
              <w:rPr>
                <w:sz w:val="18"/>
              </w:rPr>
              <w:t>0.3218</w:t>
            </w:r>
          </w:p>
        </w:tc>
      </w:tr>
      <w:tr>
        <w:tc>
          <w:tcPr>
            <w:tcW w:type="dxa" w:w="1337"/>
          </w:tcPr>
          <w:p>
            <w:pPr>
              <w:spacing w:after="40"/>
            </w:pPr>
            <w:r/>
            <w:r>
              <w:rPr>
                <w:sz w:val="18"/>
              </w:rPr>
              <w:t>0.30</w:t>
            </w:r>
          </w:p>
        </w:tc>
        <w:tc>
          <w:tcPr>
            <w:tcW w:type="dxa" w:w="1337"/>
          </w:tcPr>
          <w:p>
            <w:pPr>
              <w:spacing w:after="40"/>
            </w:pPr>
            <w:r/>
            <w:r>
              <w:rPr>
                <w:sz w:val="18"/>
              </w:rPr>
              <w:t>0.4137</w:t>
            </w:r>
          </w:p>
        </w:tc>
        <w:tc>
          <w:tcPr>
            <w:tcW w:type="dxa" w:w="1337"/>
          </w:tcPr>
          <w:p>
            <w:pPr>
              <w:spacing w:after="40"/>
            </w:pPr>
            <w:r/>
            <w:r>
              <w:rPr>
                <w:sz w:val="18"/>
              </w:rPr>
              <w:t>0.2681</w:t>
            </w:r>
          </w:p>
        </w:tc>
        <w:tc>
          <w:tcPr>
            <w:tcW w:type="dxa" w:w="1337"/>
          </w:tcPr>
          <w:p>
            <w:pPr>
              <w:spacing w:after="40"/>
            </w:pPr>
            <w:r/>
            <w:r>
              <w:rPr>
                <w:sz w:val="18"/>
              </w:rPr>
              <w:t>0.3307</w:t>
            </w:r>
          </w:p>
        </w:tc>
        <w:tc>
          <w:tcPr>
            <w:tcW w:type="dxa" w:w="1337"/>
          </w:tcPr>
          <w:p>
            <w:pPr>
              <w:spacing w:after="40"/>
            </w:pPr>
            <w:r/>
            <w:r>
              <w:rPr>
                <w:sz w:val="18"/>
              </w:rPr>
              <w:t>0.3430</w:t>
            </w:r>
          </w:p>
        </w:tc>
        <w:tc>
          <w:tcPr>
            <w:tcW w:type="dxa" w:w="1337"/>
          </w:tcPr>
          <w:p>
            <w:pPr>
              <w:spacing w:after="40"/>
            </w:pPr>
            <w:r/>
            <w:r>
              <w:rPr>
                <w:sz w:val="18"/>
              </w:rPr>
              <w:t>0.2697</w:t>
            </w:r>
          </w:p>
        </w:tc>
        <w:tc>
          <w:tcPr>
            <w:tcW w:type="dxa" w:w="1337"/>
          </w:tcPr>
          <w:p>
            <w:pPr>
              <w:spacing w:after="40"/>
            </w:pPr>
            <w:r/>
            <w:r>
              <w:rPr>
                <w:sz w:val="18"/>
              </w:rPr>
              <w:t>0.4120</w:t>
            </w:r>
          </w:p>
        </w:tc>
      </w:tr>
    </w:tbl>
    <w:p>
      <w:pPr>
        <w:spacing w:after="80"/>
      </w:pPr>
    </w:p>
    <w:p>
      <w:r>
        <w:rPr>
          <w:b/>
        </w:rPr>
        <w:t>Interpretation.</w:t>
      </w:r>
      <w:r>
        <w:t xml:space="preserve"> Recall and FPR rise monotonically with contamination on both framings, as expected — flagging more rows as outliers necessarily catches more attacks at the cost of more false alarms. All four swept points sit under the cascade's 0.5 FPR budget on both framings, so </w:t>
      </w:r>
      <w:r>
        <w:rPr>
          <w:rFonts w:ascii="Consolas" w:hAnsi="Consolas"/>
          <w:sz w:val="20"/>
        </w:rPr>
        <w:t>select_cascade_contamination</w:t>
      </w:r>
      <w:r>
        <w:t xml:space="preserve"> (the same rule Step 3C's cascade Stage 1 uses, deliberately maximising </w:t>
      </w:r>
      <w:r>
        <w:rPr>
          <w:b/>
        </w:rPr>
        <w:t>recall</w:t>
      </w:r>
      <w:r>
        <w:t xml:space="preserve"> at tolerable FPR rather than maximising F1, because a first-stage filter that misses an attack is fatal while one that over-flags merely costs the next stage extra work) picks the highest swept value, </w:t>
      </w:r>
      <w:r>
        <w:rPr>
          <w:rFonts w:ascii="Consolas" w:hAnsi="Consolas"/>
          <w:sz w:val="20"/>
        </w:rPr>
        <w:t>contamination=0.30</w:t>
      </w:r>
      <w:r>
        <w:t xml:space="preserve">, on both framings — hard: recall 0.3307/FPR 0.2681/F1 0.4137; easy: recall 0.4120/FPR 0.2697/F1 0.3430. Because the whole grid stayed inside budget, this sweep does not locate where the recall/FPR tradeoff actually bends — the honest caveat is "0.30 is the best point </w:t>
      </w:r>
      <w:r>
        <w:rPr>
          <w:i/>
        </w:rPr>
        <w:t>tested</w:t>
      </w:r>
      <w:r>
        <w:t>," not "0.30 is an interior optimum." This ceiling is exactly what Chapter 8.4's real cascade result traces back to: even the best available Stage-1 recall (33.1% on hard framing) caps the whole cascade's end-to-end recall, since any row Isolation Forest discards never reaches XGBoost.</w:t>
      </w:r>
    </w:p>
    <w:p>
      <w:pPr>
        <w:pStyle w:val="Heading2"/>
      </w:pPr>
      <w:r>
        <w:t>Appendix A — Setup and reproduction commands</w:t>
      </w:r>
    </w:p>
    <w:p>
      <w:pPr>
        <w:spacing w:line="240" w:lineRule="auto" w:after="160"/>
        <w:shd w:val="clear" w:fill="F2F2F2"/>
      </w:pPr>
      <w:r>
        <w:rPr>
          <w:rFonts w:ascii="Consolas" w:hAnsi="Consolas"/>
          <w:sz w:val="18"/>
        </w:rPr>
        <w:t>git clone &lt;repo-url&gt;</w:t>
        <w:br/>
        <w:t>cd maleware_detection_final_project</w:t>
        <w:br/>
        <w:br/>
        <w:t>python -m venv venv</w:t>
        <w:br/>
        <w:t>venv\Scripts\activate                 # Windows</w:t>
        <w:br/>
        <w:t># source venv/bin/activate            # macOS/Linux</w:t>
        <w:br/>
        <w:br/>
        <w:t>pip install -r requirements.txt --extra-index-url https://download.pytorch.org/whl/cpu</w:t>
        <w:br/>
        <w:br/>
        <w:t># Place raw data (never committed -- gitignored):</w:t>
        <w:br/>
        <w:t>#   data/exf2021/       &lt;- CIC-Bell-DNS-EXF-2021 stateless CSVs (Attacks + Benign)</w:t>
        <w:br/>
        <w:t>#   data/dohbrw2020/    &lt;- CIRA-CIC-DoHBrw-2020 CSV distribution (l1-nondoh.csv, l2-benign.csv, l2-malicious.csv)</w:t>
        <w:br/>
        <w:br/>
        <w:t># Verify the install:</w:t>
        <w:br/>
        <w:t>python -c "import pandas, sklearn, xgboost, imblearn, torch; print('ok')"</w:t>
        <w:br/>
        <w:br/>
        <w:t># Smoke-test both loaders:</w:t>
        <w:br/>
        <w:t>python main.py --dataset exf2021 --mode eda</w:t>
        <w:br/>
        <w:t>python main.py --dataset dohbrw2020 --framing hard --mode eda</w:t>
        <w:br/>
        <w:t>python main.py --dataset dohbrw2020 --framing easy --mode eda</w:t>
        <w:br/>
        <w:t>python main.py --dataset dohbrw2020 --framing hard --families intersection --mode eda</w:t>
        <w:br/>
        <w:br/>
        <w:t># Run the full test suite:</w:t>
        <w:br/>
        <w:t>pytest tests/ -v</w:t>
        <w:br/>
        <w:br/>
        <w:t># Reproduce a specific model result, e.g. Step 3C's cascade on Dataset B hard framing:</w:t>
        <w:br/>
        <w:t>PYTHONPATH=. python -c "</w:t>
        <w:br/>
        <w:t>from config.loader import load_config          # or yaml.safe_load('config/config.yaml')</w:t>
        <w:br/>
        <w:t>from ingestion.dohbrw2020 import DohBrw2020Loader</w:t>
        <w:br/>
        <w:t>from ensemble.cascade import run_cascade, save_cascade_result</w:t>
        <w:br/>
        <w:t>config = load_config()</w:t>
        <w:br/>
        <w:t>X, y, meta = DohBrw2020Loader(config, framing='hard').load()</w:t>
        <w:br/>
        <w:t>result = run_cascade(X, y, config, meta, families='full')</w:t>
        <w:br/>
        <w:t>save_cascade_result('dohbrw2020_hard', result)</w:t>
        <w:br/>
        <w:t>"</w:t>
      </w:r>
    </w:p>
    <w:p>
      <w:r>
        <w:t xml:space="preserve">On Windows, </w:t>
      </w:r>
      <w:r>
        <w:rPr>
          <w:rFonts w:ascii="Consolas" w:hAnsi="Consolas"/>
          <w:sz w:val="20"/>
        </w:rPr>
        <w:t>PYTHONPATH</w:t>
      </w:r>
      <w:r>
        <w:t xml:space="preserve"> must be set explicitly for any script run from outside the repository root (</w:t>
      </w:r>
      <w:r>
        <w:rPr>
          <w:rFonts w:ascii="Consolas" w:hAnsi="Consolas"/>
          <w:sz w:val="20"/>
        </w:rPr>
        <w:t>PYTHONPATH="&lt;repo-root&gt;" venv\Scripts\python.exe -u &lt;script&gt;</w:t>
      </w:r>
      <w:r>
        <w:t xml:space="preserve">) — the working directory alone is not sufficient for the </w:t>
      </w:r>
      <w:r>
        <w:rPr>
          <w:rFonts w:ascii="Consolas" w:hAnsi="Consolas"/>
          <w:sz w:val="20"/>
        </w:rPr>
        <w:t>evaluation</w:t>
      </w:r>
      <w:r>
        <w:t>/</w:t>
      </w:r>
      <w:r>
        <w:rPr>
          <w:rFonts w:ascii="Consolas" w:hAnsi="Consolas"/>
          <w:sz w:val="20"/>
        </w:rPr>
        <w:t>models</w:t>
      </w:r>
      <w:r>
        <w:t>/</w:t>
      </w:r>
      <w:r>
        <w:rPr>
          <w:rFonts w:ascii="Consolas" w:hAnsi="Consolas"/>
          <w:sz w:val="20"/>
        </w:rPr>
        <w:t>ensemble</w:t>
      </w:r>
      <w:r>
        <w:t xml:space="preserve"> package imports to resolve.</w:t>
      </w:r>
    </w:p>
    <w:p>
      <w:pPr>
        <w:pStyle w:val="Heading2"/>
      </w:pPr>
      <w:r>
        <w:t>Appendix B — Library versions and machine specifications</w:t>
      </w:r>
    </w:p>
    <w:p>
      <w:r>
        <w:rPr>
          <w:b/>
        </w:rPr>
        <w:t>Library versions</w:t>
      </w:r>
      <w:r>
        <w:t xml:space="preserve"> (pinned exactly in </w:t>
      </w:r>
      <w:r>
        <w:rPr>
          <w:rFonts w:ascii="Consolas" w:hAnsi="Consolas"/>
          <w:sz w:val="20"/>
        </w:rPr>
        <w:t>requirements.txt</w:t>
      </w:r>
      <w:r>
        <w:t xml:space="preserve">, per Step 0A — the grader reproduces our numbers against these exact versions, not a </w:t>
      </w:r>
      <w:r>
        <w:rPr>
          <w:rFonts w:ascii="Consolas" w:hAnsi="Consolas"/>
          <w:sz w:val="20"/>
        </w:rPr>
        <w:t>&gt;=</w:t>
      </w:r>
      <w:r>
        <w:t xml:space="preserve"> range):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
              <w:rPr>
                <w:b/>
                <w:sz w:val="18"/>
              </w:rPr>
              <w:t>Library</w:t>
            </w:r>
          </w:p>
        </w:tc>
        <w:tc>
          <w:tcPr>
            <w:tcW w:type="dxa" w:w="4680"/>
          </w:tcPr>
          <w:p>
            <w:pPr>
              <w:spacing w:after="40"/>
            </w:pPr>
            <w:r/>
            <w:r>
              <w:rPr>
                <w:b/>
                <w:sz w:val="18"/>
              </w:rPr>
              <w:t>Version</w:t>
            </w:r>
          </w:p>
        </w:tc>
      </w:tr>
      <w:tr>
        <w:tc>
          <w:tcPr>
            <w:tcW w:type="dxa" w:w="4680"/>
          </w:tcPr>
          <w:p>
            <w:pPr>
              <w:spacing w:after="40"/>
            </w:pPr>
            <w:r/>
            <w:r>
              <w:rPr>
                <w:sz w:val="18"/>
              </w:rPr>
              <w:t>Python</w:t>
            </w:r>
          </w:p>
        </w:tc>
        <w:tc>
          <w:tcPr>
            <w:tcW w:type="dxa" w:w="4680"/>
          </w:tcPr>
          <w:p>
            <w:pPr>
              <w:spacing w:after="40"/>
            </w:pPr>
            <w:r/>
            <w:r>
              <w:rPr>
                <w:sz w:val="18"/>
              </w:rPr>
              <w:t>3.12.1</w:t>
            </w:r>
          </w:p>
        </w:tc>
      </w:tr>
      <w:tr>
        <w:tc>
          <w:tcPr>
            <w:tcW w:type="dxa" w:w="4680"/>
          </w:tcPr>
          <w:p>
            <w:pPr>
              <w:spacing w:after="40"/>
            </w:pPr>
            <w:r/>
            <w:r>
              <w:rPr>
                <w:sz w:val="18"/>
              </w:rPr>
              <w:t>pandas</w:t>
            </w:r>
          </w:p>
        </w:tc>
        <w:tc>
          <w:tcPr>
            <w:tcW w:type="dxa" w:w="4680"/>
          </w:tcPr>
          <w:p>
            <w:pPr>
              <w:spacing w:after="40"/>
            </w:pPr>
            <w:r/>
            <w:r>
              <w:rPr>
                <w:sz w:val="18"/>
              </w:rPr>
              <w:t>3.0.5</w:t>
            </w:r>
          </w:p>
        </w:tc>
      </w:tr>
      <w:tr>
        <w:tc>
          <w:tcPr>
            <w:tcW w:type="dxa" w:w="4680"/>
          </w:tcPr>
          <w:p>
            <w:pPr>
              <w:spacing w:after="40"/>
            </w:pPr>
            <w:r/>
            <w:r>
              <w:rPr>
                <w:sz w:val="18"/>
              </w:rPr>
              <w:t>numpy</w:t>
            </w:r>
          </w:p>
        </w:tc>
        <w:tc>
          <w:tcPr>
            <w:tcW w:type="dxa" w:w="4680"/>
          </w:tcPr>
          <w:p>
            <w:pPr>
              <w:spacing w:after="40"/>
            </w:pPr>
            <w:r/>
            <w:r>
              <w:rPr>
                <w:sz w:val="18"/>
              </w:rPr>
              <w:t>2.5.2</w:t>
            </w:r>
          </w:p>
        </w:tc>
      </w:tr>
      <w:tr>
        <w:tc>
          <w:tcPr>
            <w:tcW w:type="dxa" w:w="4680"/>
          </w:tcPr>
          <w:p>
            <w:pPr>
              <w:spacing w:after="40"/>
            </w:pPr>
            <w:r/>
            <w:r>
              <w:rPr>
                <w:sz w:val="18"/>
              </w:rPr>
              <w:t>scikit-learn</w:t>
            </w:r>
          </w:p>
        </w:tc>
        <w:tc>
          <w:tcPr>
            <w:tcW w:type="dxa" w:w="4680"/>
          </w:tcPr>
          <w:p>
            <w:pPr>
              <w:spacing w:after="40"/>
            </w:pPr>
            <w:r/>
            <w:r>
              <w:rPr>
                <w:sz w:val="18"/>
              </w:rPr>
              <w:t>1.9.0</w:t>
            </w:r>
          </w:p>
        </w:tc>
      </w:tr>
      <w:tr>
        <w:tc>
          <w:tcPr>
            <w:tcW w:type="dxa" w:w="4680"/>
          </w:tcPr>
          <w:p>
            <w:pPr>
              <w:spacing w:after="40"/>
            </w:pPr>
            <w:r/>
            <w:r>
              <w:rPr>
                <w:sz w:val="18"/>
              </w:rPr>
              <w:t>scipy</w:t>
            </w:r>
          </w:p>
        </w:tc>
        <w:tc>
          <w:tcPr>
            <w:tcW w:type="dxa" w:w="4680"/>
          </w:tcPr>
          <w:p>
            <w:pPr>
              <w:spacing w:after="40"/>
            </w:pPr>
            <w:r/>
            <w:r>
              <w:rPr>
                <w:sz w:val="18"/>
              </w:rPr>
              <w:t>1.18.0</w:t>
            </w:r>
          </w:p>
        </w:tc>
      </w:tr>
      <w:tr>
        <w:tc>
          <w:tcPr>
            <w:tcW w:type="dxa" w:w="4680"/>
          </w:tcPr>
          <w:p>
            <w:pPr>
              <w:spacing w:after="40"/>
            </w:pPr>
            <w:r/>
            <w:r>
              <w:rPr>
                <w:sz w:val="18"/>
              </w:rPr>
              <w:t>imbalanced-learn</w:t>
            </w:r>
          </w:p>
        </w:tc>
        <w:tc>
          <w:tcPr>
            <w:tcW w:type="dxa" w:w="4680"/>
          </w:tcPr>
          <w:p>
            <w:pPr>
              <w:spacing w:after="40"/>
            </w:pPr>
            <w:r/>
            <w:r>
              <w:rPr>
                <w:sz w:val="18"/>
              </w:rPr>
              <w:t>0.14.2</w:t>
            </w:r>
          </w:p>
        </w:tc>
      </w:tr>
      <w:tr>
        <w:tc>
          <w:tcPr>
            <w:tcW w:type="dxa" w:w="4680"/>
          </w:tcPr>
          <w:p>
            <w:pPr>
              <w:spacing w:after="40"/>
            </w:pPr>
            <w:r/>
            <w:r>
              <w:rPr>
                <w:sz w:val="18"/>
              </w:rPr>
              <w:t>xgboost</w:t>
            </w:r>
          </w:p>
        </w:tc>
        <w:tc>
          <w:tcPr>
            <w:tcW w:type="dxa" w:w="4680"/>
          </w:tcPr>
          <w:p>
            <w:pPr>
              <w:spacing w:after="40"/>
            </w:pPr>
            <w:r/>
            <w:r>
              <w:rPr>
                <w:sz w:val="18"/>
              </w:rPr>
              <w:t>3.4.0</w:t>
            </w:r>
          </w:p>
        </w:tc>
      </w:tr>
      <w:tr>
        <w:tc>
          <w:tcPr>
            <w:tcW w:type="dxa" w:w="4680"/>
          </w:tcPr>
          <w:p>
            <w:pPr>
              <w:spacing w:after="40"/>
            </w:pPr>
            <w:r/>
            <w:r>
              <w:rPr>
                <w:sz w:val="18"/>
              </w:rPr>
              <w:t>torch</w:t>
            </w:r>
          </w:p>
        </w:tc>
        <w:tc>
          <w:tcPr>
            <w:tcW w:type="dxa" w:w="4680"/>
          </w:tcPr>
          <w:p>
            <w:pPr>
              <w:spacing w:after="40"/>
            </w:pPr>
            <w:r/>
            <w:r>
              <w:rPr>
                <w:sz w:val="18"/>
              </w:rPr>
              <w:t>2.13.0+cpu (installed from the CPU wheel index, per D10 — avoids ~2 GB of unused CUDA packages)</w:t>
            </w:r>
          </w:p>
        </w:tc>
      </w:tr>
      <w:tr>
        <w:tc>
          <w:tcPr>
            <w:tcW w:type="dxa" w:w="4680"/>
          </w:tcPr>
          <w:p>
            <w:pPr>
              <w:spacing w:after="40"/>
            </w:pPr>
            <w:r/>
            <w:r>
              <w:rPr>
                <w:sz w:val="18"/>
              </w:rPr>
              <w:t>matplotlib</w:t>
            </w:r>
          </w:p>
        </w:tc>
        <w:tc>
          <w:tcPr>
            <w:tcW w:type="dxa" w:w="4680"/>
          </w:tcPr>
          <w:p>
            <w:pPr>
              <w:spacing w:after="40"/>
            </w:pPr>
            <w:r/>
            <w:r>
              <w:rPr>
                <w:sz w:val="18"/>
              </w:rPr>
              <w:t>3.11.1</w:t>
            </w:r>
          </w:p>
        </w:tc>
      </w:tr>
      <w:tr>
        <w:tc>
          <w:tcPr>
            <w:tcW w:type="dxa" w:w="4680"/>
          </w:tcPr>
          <w:p>
            <w:pPr>
              <w:spacing w:after="40"/>
            </w:pPr>
            <w:r/>
            <w:r>
              <w:rPr>
                <w:sz w:val="18"/>
              </w:rPr>
              <w:t>seaborn</w:t>
            </w:r>
          </w:p>
        </w:tc>
        <w:tc>
          <w:tcPr>
            <w:tcW w:type="dxa" w:w="4680"/>
          </w:tcPr>
          <w:p>
            <w:pPr>
              <w:spacing w:after="40"/>
            </w:pPr>
            <w:r/>
            <w:r>
              <w:rPr>
                <w:sz w:val="18"/>
              </w:rPr>
              <w:t>0.13.2</w:t>
            </w:r>
          </w:p>
        </w:tc>
      </w:tr>
      <w:tr>
        <w:tc>
          <w:tcPr>
            <w:tcW w:type="dxa" w:w="4680"/>
          </w:tcPr>
          <w:p>
            <w:pPr>
              <w:spacing w:after="40"/>
            </w:pPr>
            <w:r/>
            <w:r>
              <w:rPr>
                <w:sz w:val="18"/>
              </w:rPr>
              <w:t>PyYAML</w:t>
            </w:r>
          </w:p>
        </w:tc>
        <w:tc>
          <w:tcPr>
            <w:tcW w:type="dxa" w:w="4680"/>
          </w:tcPr>
          <w:p>
            <w:pPr>
              <w:spacing w:after="40"/>
            </w:pPr>
            <w:r/>
            <w:r>
              <w:rPr>
                <w:sz w:val="18"/>
              </w:rPr>
              <w:t>6.0.3</w:t>
            </w:r>
          </w:p>
        </w:tc>
      </w:tr>
      <w:tr>
        <w:tc>
          <w:tcPr>
            <w:tcW w:type="dxa" w:w="4680"/>
          </w:tcPr>
          <w:p>
            <w:pPr>
              <w:spacing w:after="40"/>
            </w:pPr>
            <w:r/>
            <w:r>
              <w:rPr>
                <w:sz w:val="18"/>
              </w:rPr>
              <w:t>python-docx</w:t>
            </w:r>
          </w:p>
        </w:tc>
        <w:tc>
          <w:tcPr>
            <w:tcW w:type="dxa" w:w="4680"/>
          </w:tcPr>
          <w:p>
            <w:pPr>
              <w:spacing w:after="40"/>
            </w:pPr>
            <w:r/>
            <w:r>
              <w:rPr>
                <w:sz w:val="18"/>
              </w:rPr>
              <w:t>1.2.0</w:t>
            </w:r>
          </w:p>
        </w:tc>
      </w:tr>
      <w:tr>
        <w:tc>
          <w:tcPr>
            <w:tcW w:type="dxa" w:w="4680"/>
          </w:tcPr>
          <w:p>
            <w:pPr>
              <w:spacing w:after="40"/>
            </w:pPr>
            <w:r/>
            <w:r>
              <w:rPr>
                <w:sz w:val="18"/>
              </w:rPr>
              <w:t>pytest</w:t>
            </w:r>
          </w:p>
        </w:tc>
        <w:tc>
          <w:tcPr>
            <w:tcW w:type="dxa" w:w="4680"/>
          </w:tcPr>
          <w:p>
            <w:pPr>
              <w:spacing w:after="40"/>
            </w:pPr>
            <w:r/>
            <w:r>
              <w:rPr>
                <w:sz w:val="18"/>
              </w:rPr>
              <w:t>9.1.1</w:t>
            </w:r>
          </w:p>
        </w:tc>
      </w:tr>
    </w:tbl>
    <w:p>
      <w:pPr>
        <w:spacing w:after="80"/>
      </w:pPr>
    </w:p>
    <w:p>
      <w:r>
        <w:rPr>
          <w:b/>
        </w:rPr>
        <w:t>Machine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p>
        </w:tc>
        <w:tc>
          <w:tcPr>
            <w:tcW w:type="dxa" w:w="3120"/>
          </w:tcPr>
          <w:p>
            <w:pPr>
              <w:spacing w:after="40"/>
            </w:pPr>
            <w:r/>
            <w:r>
              <w:rPr>
                <w:b/>
                <w:sz w:val="18"/>
              </w:rPr>
              <w:t>Teammate B (this machine)</w:t>
            </w:r>
          </w:p>
        </w:tc>
        <w:tc>
          <w:tcPr>
            <w:tcW w:type="dxa" w:w="3120"/>
          </w:tcPr>
          <w:p>
            <w:pPr>
              <w:spacing w:after="40"/>
            </w:pPr>
            <w:r/>
            <w:r>
              <w:rPr>
                <w:b/>
                <w:sz w:val="18"/>
              </w:rPr>
              <w:t>Teammate A</w:t>
            </w:r>
          </w:p>
        </w:tc>
      </w:tr>
      <w:tr>
        <w:tc>
          <w:tcPr>
            <w:tcW w:type="dxa" w:w="3120"/>
          </w:tcPr>
          <w:p>
            <w:pPr>
              <w:spacing w:after="40"/>
            </w:pPr>
            <w:r/>
            <w:r>
              <w:rPr>
                <w:sz w:val="18"/>
              </w:rPr>
              <w:t>OS</w:t>
            </w:r>
          </w:p>
        </w:tc>
        <w:tc>
          <w:tcPr>
            <w:tcW w:type="dxa" w:w="3120"/>
          </w:tcPr>
          <w:p>
            <w:pPr>
              <w:spacing w:after="40"/>
            </w:pPr>
            <w:r/>
            <w:r>
              <w:rPr>
                <w:sz w:val="18"/>
              </w:rPr>
              <w:t>Windows 11 Pro, 64-bit</w:t>
            </w:r>
          </w:p>
        </w:tc>
        <w:tc>
          <w:tcPr>
            <w:tcW w:type="dxa" w:w="3120"/>
          </w:tcPr>
          <w:p>
            <w:pPr>
              <w:spacing w:after="40"/>
            </w:pPr>
            <w:r/>
            <w:r>
              <w:rPr>
                <w:sz w:val="18"/>
              </w:rPr>
              <w:t>Windows 11 Home, 64-bit (Build 26200)</w:t>
            </w:r>
          </w:p>
        </w:tc>
      </w:tr>
      <w:tr>
        <w:tc>
          <w:tcPr>
            <w:tcW w:type="dxa" w:w="3120"/>
          </w:tcPr>
          <w:p>
            <w:pPr>
              <w:spacing w:after="40"/>
            </w:pPr>
            <w:r/>
            <w:r>
              <w:rPr>
                <w:sz w:val="18"/>
              </w:rPr>
              <w:t>CPU</w:t>
            </w:r>
          </w:p>
        </w:tc>
        <w:tc>
          <w:tcPr>
            <w:tcW w:type="dxa" w:w="3120"/>
          </w:tcPr>
          <w:p>
            <w:pPr>
              <w:spacing w:after="40"/>
            </w:pPr>
            <w:r/>
            <w:r>
              <w:rPr>
                <w:sz w:val="18"/>
              </w:rPr>
              <w:t>12th Gen Intel Core i5-1240P (12 cores / 16 logical processors)</w:t>
            </w:r>
          </w:p>
        </w:tc>
        <w:tc>
          <w:tcPr>
            <w:tcW w:type="dxa" w:w="3120"/>
          </w:tcPr>
          <w:p>
            <w:pPr>
              <w:spacing w:after="40"/>
            </w:pPr>
            <w:r/>
            <w:r>
              <w:rPr>
                <w:sz w:val="18"/>
              </w:rPr>
              <w:t>13th Gen Intel Core i7-1360P (12 cores / 16 logical processors)</w:t>
            </w:r>
          </w:p>
        </w:tc>
      </w:tr>
      <w:tr>
        <w:tc>
          <w:tcPr>
            <w:tcW w:type="dxa" w:w="3120"/>
          </w:tcPr>
          <w:p>
            <w:pPr>
              <w:spacing w:after="40"/>
            </w:pPr>
            <w:r/>
            <w:r>
              <w:rPr>
                <w:sz w:val="18"/>
              </w:rPr>
              <w:t>RAM</w:t>
            </w:r>
          </w:p>
        </w:tc>
        <w:tc>
          <w:tcPr>
            <w:tcW w:type="dxa" w:w="3120"/>
          </w:tcPr>
          <w:p>
            <w:pPr>
              <w:spacing w:after="40"/>
            </w:pPr>
            <w:r/>
            <w:r>
              <w:rPr>
                <w:sz w:val="18"/>
              </w:rPr>
              <w:t>15.7 GB</w:t>
            </w:r>
          </w:p>
        </w:tc>
        <w:tc>
          <w:tcPr>
            <w:tcW w:type="dxa" w:w="3120"/>
          </w:tcPr>
          <w:p>
            <w:pPr>
              <w:spacing w:after="40"/>
            </w:pPr>
            <w:r/>
            <w:r>
              <w:rPr>
                <w:sz w:val="18"/>
              </w:rPr>
              <w:t>15.7 GB</w:t>
            </w:r>
          </w:p>
        </w:tc>
      </w:tr>
      <w:tr>
        <w:tc>
          <w:tcPr>
            <w:tcW w:type="dxa" w:w="3120"/>
          </w:tcPr>
          <w:p>
            <w:pPr>
              <w:spacing w:after="40"/>
            </w:pPr>
            <w:r/>
            <w:r>
              <w:rPr>
                <w:sz w:val="18"/>
              </w:rPr>
              <w:t>GPU</w:t>
            </w:r>
          </w:p>
        </w:tc>
        <w:tc>
          <w:tcPr>
            <w:tcW w:type="dxa" w:w="3120"/>
          </w:tcPr>
          <w:p>
            <w:pPr>
              <w:spacing w:after="40"/>
            </w:pPr>
            <w:r/>
            <w:r>
              <w:rPr>
                <w:sz w:val="18"/>
              </w:rPr>
              <w:t>None used — all model training is CPU-only per D10 (PyTorch CPU build; XGBoost/sklearn are CPU by default)</w:t>
            </w:r>
          </w:p>
        </w:tc>
        <w:tc>
          <w:tcPr>
            <w:tcW w:type="dxa" w:w="3120"/>
          </w:tcPr>
          <w:p>
            <w:pPr>
              <w:spacing w:after="40"/>
            </w:pPr>
            <w:r/>
            <w:r>
              <w:rPr>
                <w:sz w:val="18"/>
              </w:rPr>
              <w:t>None used — same CPU-only convention</w:t>
            </w:r>
          </w:p>
        </w:tc>
      </w:tr>
      <w:tr>
        <w:tc>
          <w:tcPr>
            <w:tcW w:type="dxa" w:w="3120"/>
          </w:tcPr>
          <w:p>
            <w:pPr>
              <w:spacing w:after="40"/>
            </w:pPr>
            <w:r/>
            <w:r>
              <w:rPr>
                <w:sz w:val="18"/>
              </w:rPr>
              <w:t>Role in this project</w:t>
            </w:r>
          </w:p>
        </w:tc>
        <w:tc>
          <w:tcPr>
            <w:tcW w:type="dxa" w:w="3120"/>
          </w:tcPr>
          <w:p>
            <w:pPr>
              <w:spacing w:after="40"/>
            </w:pPr>
            <w:r/>
            <w:r>
              <w:rPr>
                <w:sz w:val="18"/>
              </w:rPr>
              <w:t>Dataset B (CIRA-CIC-DoHBrw-2020) local; Step 3C cascade, Step 2E/2F, report chapters</w:t>
            </w:r>
          </w:p>
        </w:tc>
        <w:tc>
          <w:tcPr>
            <w:tcW w:type="dxa" w:w="3120"/>
          </w:tcPr>
          <w:p>
            <w:pPr>
              <w:spacing w:after="40"/>
            </w:pPr>
            <w:r/>
            <w:r>
              <w:rPr>
                <w:sz w:val="18"/>
              </w:rPr>
              <w:t>Dataset A (CIC-Bell-DNS-EXF-2021) local; Step 2G real-data run, Step 2F Dataset A backfill, Ch 8.1–8.3</w:t>
            </w:r>
          </w:p>
        </w:tc>
      </w:tr>
    </w:tbl>
    <w:p>
      <w:pPr>
        <w:spacing w:after="80"/>
      </w:pPr>
    </w:p>
    <w:p>
      <w:r>
        <w:rPr>
          <w:b/>
        </w:rPr>
        <w:t>A real discrepancy worth flagging rather than silently smoothing over: the "Library versions" table above states one set of pinned versions "the grader reproduces our numbers against," but Teammate A's actual installed environment does not match `requirements.txt` exactly</w:t>
      </w:r>
      <w:r>
        <w:t xml:space="preserve"> — checked directly (</w:t>
      </w:r>
      <w:r>
        <w:rPr>
          <w:rFonts w:ascii="Consolas" w:hAnsi="Consolas"/>
          <w:sz w:val="20"/>
        </w:rPr>
        <w:t>python -c "import pandas; print(pandas.__version__)"</w:t>
      </w:r>
      <w:r>
        <w:t xml:space="preserve"> etc.) rather than assumed: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sz w:val="18"/>
              </w:rPr>
              <w:t>Library</w:t>
            </w:r>
          </w:p>
        </w:tc>
        <w:tc>
          <w:tcPr>
            <w:tcW w:type="dxa" w:w="3120"/>
          </w:tcPr>
          <w:p>
            <w:pPr>
              <w:spacing w:after="40"/>
            </w:pPr>
            <w:r/>
            <w:r>
              <w:rPr>
                <w:rFonts w:ascii="Consolas" w:hAnsi="Consolas"/>
                <w:b/>
                <w:sz w:val="18"/>
              </w:rPr>
              <w:t>requirements.txt</w:t>
            </w:r>
            <w:r>
              <w:rPr>
                <w:b/>
                <w:sz w:val="18"/>
              </w:rPr>
              <w:t xml:space="preserve"> (pinned)</w:t>
            </w:r>
          </w:p>
        </w:tc>
        <w:tc>
          <w:tcPr>
            <w:tcW w:type="dxa" w:w="3120"/>
          </w:tcPr>
          <w:p>
            <w:pPr>
              <w:spacing w:after="40"/>
            </w:pPr>
            <w:r/>
            <w:r>
              <w:rPr>
                <w:b/>
                <w:sz w:val="18"/>
              </w:rPr>
              <w:t>Teammate A's actual environment</w:t>
            </w:r>
          </w:p>
        </w:tc>
      </w:tr>
      <w:tr>
        <w:tc>
          <w:tcPr>
            <w:tcW w:type="dxa" w:w="3120"/>
          </w:tcPr>
          <w:p>
            <w:pPr>
              <w:spacing w:after="40"/>
            </w:pPr>
            <w:r/>
            <w:r>
              <w:rPr>
                <w:sz w:val="18"/>
              </w:rPr>
              <w:t>Python</w:t>
            </w:r>
          </w:p>
        </w:tc>
        <w:tc>
          <w:tcPr>
            <w:tcW w:type="dxa" w:w="3120"/>
          </w:tcPr>
          <w:p>
            <w:pPr>
              <w:spacing w:after="40"/>
            </w:pPr>
            <w:r/>
            <w:r>
              <w:rPr>
                <w:sz w:val="18"/>
              </w:rPr>
              <w:t>3.12.1</w:t>
            </w:r>
          </w:p>
        </w:tc>
        <w:tc>
          <w:tcPr>
            <w:tcW w:type="dxa" w:w="3120"/>
          </w:tcPr>
          <w:p>
            <w:pPr>
              <w:spacing w:after="40"/>
            </w:pPr>
            <w:r/>
            <w:r>
              <w:rPr>
                <w:sz w:val="18"/>
              </w:rPr>
              <w:t>3.11.9</w:t>
            </w:r>
          </w:p>
        </w:tc>
      </w:tr>
      <w:tr>
        <w:tc>
          <w:tcPr>
            <w:tcW w:type="dxa" w:w="3120"/>
          </w:tcPr>
          <w:p>
            <w:pPr>
              <w:spacing w:after="40"/>
            </w:pPr>
            <w:r/>
            <w:r>
              <w:rPr>
                <w:sz w:val="18"/>
              </w:rPr>
              <w:t>pandas</w:t>
            </w:r>
          </w:p>
        </w:tc>
        <w:tc>
          <w:tcPr>
            <w:tcW w:type="dxa" w:w="3120"/>
          </w:tcPr>
          <w:p>
            <w:pPr>
              <w:spacing w:after="40"/>
            </w:pPr>
            <w:r/>
            <w:r>
              <w:rPr>
                <w:sz w:val="18"/>
              </w:rPr>
              <w:t>3.0.5</w:t>
            </w:r>
          </w:p>
        </w:tc>
        <w:tc>
          <w:tcPr>
            <w:tcW w:type="dxa" w:w="3120"/>
          </w:tcPr>
          <w:p>
            <w:pPr>
              <w:spacing w:after="40"/>
            </w:pPr>
            <w:r/>
            <w:r>
              <w:rPr>
                <w:sz w:val="18"/>
              </w:rPr>
              <w:t>2.2.3</w:t>
            </w:r>
          </w:p>
        </w:tc>
      </w:tr>
      <w:tr>
        <w:tc>
          <w:tcPr>
            <w:tcW w:type="dxa" w:w="3120"/>
          </w:tcPr>
          <w:p>
            <w:pPr>
              <w:spacing w:after="40"/>
            </w:pPr>
            <w:r/>
            <w:r>
              <w:rPr>
                <w:sz w:val="18"/>
              </w:rPr>
              <w:t>numpy</w:t>
            </w:r>
          </w:p>
        </w:tc>
        <w:tc>
          <w:tcPr>
            <w:tcW w:type="dxa" w:w="3120"/>
          </w:tcPr>
          <w:p>
            <w:pPr>
              <w:spacing w:after="40"/>
            </w:pPr>
            <w:r/>
            <w:r>
              <w:rPr>
                <w:sz w:val="18"/>
              </w:rPr>
              <w:t>2.5.2</w:t>
            </w:r>
          </w:p>
        </w:tc>
        <w:tc>
          <w:tcPr>
            <w:tcW w:type="dxa" w:w="3120"/>
          </w:tcPr>
          <w:p>
            <w:pPr>
              <w:spacing w:after="40"/>
            </w:pPr>
            <w:r/>
            <w:r>
              <w:rPr>
                <w:sz w:val="18"/>
              </w:rPr>
              <w:t>2.2.4</w:t>
            </w:r>
          </w:p>
        </w:tc>
      </w:tr>
      <w:tr>
        <w:tc>
          <w:tcPr>
            <w:tcW w:type="dxa" w:w="3120"/>
          </w:tcPr>
          <w:p>
            <w:pPr>
              <w:spacing w:after="40"/>
            </w:pPr>
            <w:r/>
            <w:r>
              <w:rPr>
                <w:sz w:val="18"/>
              </w:rPr>
              <w:t>scikit-learn</w:t>
            </w:r>
          </w:p>
        </w:tc>
        <w:tc>
          <w:tcPr>
            <w:tcW w:type="dxa" w:w="3120"/>
          </w:tcPr>
          <w:p>
            <w:pPr>
              <w:spacing w:after="40"/>
            </w:pPr>
            <w:r/>
            <w:r>
              <w:rPr>
                <w:sz w:val="18"/>
              </w:rPr>
              <w:t>1.9.0</w:t>
            </w:r>
          </w:p>
        </w:tc>
        <w:tc>
          <w:tcPr>
            <w:tcW w:type="dxa" w:w="3120"/>
          </w:tcPr>
          <w:p>
            <w:pPr>
              <w:spacing w:after="40"/>
            </w:pPr>
            <w:r/>
            <w:r>
              <w:rPr>
                <w:sz w:val="18"/>
              </w:rPr>
              <w:t>1.8.0</w:t>
            </w:r>
          </w:p>
        </w:tc>
      </w:tr>
      <w:tr>
        <w:tc>
          <w:tcPr>
            <w:tcW w:type="dxa" w:w="3120"/>
          </w:tcPr>
          <w:p>
            <w:pPr>
              <w:spacing w:after="40"/>
            </w:pPr>
            <w:r/>
            <w:r>
              <w:rPr>
                <w:sz w:val="18"/>
              </w:rPr>
              <w:t>scipy</w:t>
            </w:r>
          </w:p>
        </w:tc>
        <w:tc>
          <w:tcPr>
            <w:tcW w:type="dxa" w:w="3120"/>
          </w:tcPr>
          <w:p>
            <w:pPr>
              <w:spacing w:after="40"/>
            </w:pPr>
            <w:r/>
            <w:r>
              <w:rPr>
                <w:sz w:val="18"/>
              </w:rPr>
              <w:t>1.18.0</w:t>
            </w:r>
          </w:p>
        </w:tc>
        <w:tc>
          <w:tcPr>
            <w:tcW w:type="dxa" w:w="3120"/>
          </w:tcPr>
          <w:p>
            <w:pPr>
              <w:spacing w:after="40"/>
            </w:pPr>
            <w:r/>
            <w:r>
              <w:rPr>
                <w:sz w:val="18"/>
              </w:rPr>
              <w:t>1.16.3</w:t>
            </w:r>
          </w:p>
        </w:tc>
      </w:tr>
      <w:tr>
        <w:tc>
          <w:tcPr>
            <w:tcW w:type="dxa" w:w="3120"/>
          </w:tcPr>
          <w:p>
            <w:pPr>
              <w:spacing w:after="40"/>
            </w:pPr>
            <w:r/>
            <w:r>
              <w:rPr>
                <w:sz w:val="18"/>
              </w:rPr>
              <w:t>imbalanced-learn</w:t>
            </w:r>
          </w:p>
        </w:tc>
        <w:tc>
          <w:tcPr>
            <w:tcW w:type="dxa" w:w="3120"/>
          </w:tcPr>
          <w:p>
            <w:pPr>
              <w:spacing w:after="40"/>
            </w:pPr>
            <w:r/>
            <w:r>
              <w:rPr>
                <w:sz w:val="18"/>
              </w:rPr>
              <w:t>0.14.2</w:t>
            </w:r>
          </w:p>
        </w:tc>
        <w:tc>
          <w:tcPr>
            <w:tcW w:type="dxa" w:w="3120"/>
          </w:tcPr>
          <w:p>
            <w:pPr>
              <w:spacing w:after="40"/>
            </w:pPr>
            <w:r/>
            <w:r>
              <w:rPr>
                <w:sz w:val="18"/>
              </w:rPr>
              <w:t>0.14.2 (matches)</w:t>
            </w:r>
          </w:p>
        </w:tc>
      </w:tr>
      <w:tr>
        <w:tc>
          <w:tcPr>
            <w:tcW w:type="dxa" w:w="3120"/>
          </w:tcPr>
          <w:p>
            <w:pPr>
              <w:spacing w:after="40"/>
            </w:pPr>
            <w:r/>
            <w:r>
              <w:rPr>
                <w:sz w:val="18"/>
              </w:rPr>
              <w:t>xgboost</w:t>
            </w:r>
          </w:p>
        </w:tc>
        <w:tc>
          <w:tcPr>
            <w:tcW w:type="dxa" w:w="3120"/>
          </w:tcPr>
          <w:p>
            <w:pPr>
              <w:spacing w:after="40"/>
            </w:pPr>
            <w:r/>
            <w:r>
              <w:rPr>
                <w:sz w:val="18"/>
              </w:rPr>
              <w:t>3.4.0</w:t>
            </w:r>
          </w:p>
        </w:tc>
        <w:tc>
          <w:tcPr>
            <w:tcW w:type="dxa" w:w="3120"/>
          </w:tcPr>
          <w:p>
            <w:pPr>
              <w:spacing w:after="40"/>
            </w:pPr>
            <w:r/>
            <w:r>
              <w:rPr>
                <w:sz w:val="18"/>
              </w:rPr>
              <w:t>3.2.0</w:t>
            </w:r>
          </w:p>
        </w:tc>
      </w:tr>
      <w:tr>
        <w:tc>
          <w:tcPr>
            <w:tcW w:type="dxa" w:w="3120"/>
          </w:tcPr>
          <w:p>
            <w:pPr>
              <w:spacing w:after="40"/>
            </w:pPr>
            <w:r/>
            <w:r>
              <w:rPr>
                <w:sz w:val="18"/>
              </w:rPr>
              <w:t>torch</w:t>
            </w:r>
          </w:p>
        </w:tc>
        <w:tc>
          <w:tcPr>
            <w:tcW w:type="dxa" w:w="3120"/>
          </w:tcPr>
          <w:p>
            <w:pPr>
              <w:spacing w:after="40"/>
            </w:pPr>
            <w:r/>
            <w:r>
              <w:rPr>
                <w:sz w:val="18"/>
              </w:rPr>
              <w:t>2.13.0+cpu</w:t>
            </w:r>
          </w:p>
        </w:tc>
        <w:tc>
          <w:tcPr>
            <w:tcW w:type="dxa" w:w="3120"/>
          </w:tcPr>
          <w:p>
            <w:pPr>
              <w:spacing w:after="40"/>
            </w:pPr>
            <w:r/>
            <w:r>
              <w:rPr>
                <w:sz w:val="18"/>
              </w:rPr>
              <w:t>2.10.0+cpu</w:t>
            </w:r>
          </w:p>
        </w:tc>
      </w:tr>
      <w:tr>
        <w:tc>
          <w:tcPr>
            <w:tcW w:type="dxa" w:w="3120"/>
          </w:tcPr>
          <w:p>
            <w:pPr>
              <w:spacing w:after="40"/>
            </w:pPr>
            <w:r/>
            <w:r>
              <w:rPr>
                <w:sz w:val="18"/>
              </w:rPr>
              <w:t>matplotlib</w:t>
            </w:r>
          </w:p>
        </w:tc>
        <w:tc>
          <w:tcPr>
            <w:tcW w:type="dxa" w:w="3120"/>
          </w:tcPr>
          <w:p>
            <w:pPr>
              <w:spacing w:after="40"/>
            </w:pPr>
            <w:r/>
            <w:r>
              <w:rPr>
                <w:sz w:val="18"/>
              </w:rPr>
              <w:t>3.11.1</w:t>
            </w:r>
          </w:p>
        </w:tc>
        <w:tc>
          <w:tcPr>
            <w:tcW w:type="dxa" w:w="3120"/>
          </w:tcPr>
          <w:p>
            <w:pPr>
              <w:spacing w:after="40"/>
            </w:pPr>
            <w:r/>
            <w:r>
              <w:rPr>
                <w:sz w:val="18"/>
              </w:rPr>
              <w:t>3.10.3</w:t>
            </w:r>
          </w:p>
        </w:tc>
      </w:tr>
      <w:tr>
        <w:tc>
          <w:tcPr>
            <w:tcW w:type="dxa" w:w="3120"/>
          </w:tcPr>
          <w:p>
            <w:pPr>
              <w:spacing w:after="40"/>
            </w:pPr>
            <w:r/>
            <w:r>
              <w:rPr>
                <w:sz w:val="18"/>
              </w:rPr>
              <w:t>seaborn</w:t>
            </w:r>
          </w:p>
        </w:tc>
        <w:tc>
          <w:tcPr>
            <w:tcW w:type="dxa" w:w="3120"/>
          </w:tcPr>
          <w:p>
            <w:pPr>
              <w:spacing w:after="40"/>
            </w:pPr>
            <w:r/>
            <w:r>
              <w:rPr>
                <w:sz w:val="18"/>
              </w:rPr>
              <w:t>0.13.2</w:t>
            </w:r>
          </w:p>
        </w:tc>
        <w:tc>
          <w:tcPr>
            <w:tcW w:type="dxa" w:w="3120"/>
          </w:tcPr>
          <w:p>
            <w:pPr>
              <w:spacing w:after="40"/>
            </w:pPr>
            <w:r/>
            <w:r>
              <w:rPr>
                <w:sz w:val="18"/>
              </w:rPr>
              <w:t>0.13.2 (matches)</w:t>
            </w:r>
          </w:p>
        </w:tc>
      </w:tr>
      <w:tr>
        <w:tc>
          <w:tcPr>
            <w:tcW w:type="dxa" w:w="3120"/>
          </w:tcPr>
          <w:p>
            <w:pPr>
              <w:spacing w:after="40"/>
            </w:pPr>
            <w:r/>
            <w:r>
              <w:rPr>
                <w:sz w:val="18"/>
              </w:rPr>
              <w:t>PyYAML</w:t>
            </w:r>
          </w:p>
        </w:tc>
        <w:tc>
          <w:tcPr>
            <w:tcW w:type="dxa" w:w="3120"/>
          </w:tcPr>
          <w:p>
            <w:pPr>
              <w:spacing w:after="40"/>
            </w:pPr>
            <w:r/>
            <w:r>
              <w:rPr>
                <w:sz w:val="18"/>
              </w:rPr>
              <w:t>6.0.3</w:t>
            </w:r>
          </w:p>
        </w:tc>
        <w:tc>
          <w:tcPr>
            <w:tcW w:type="dxa" w:w="3120"/>
          </w:tcPr>
          <w:p>
            <w:pPr>
              <w:spacing w:after="40"/>
            </w:pPr>
            <w:r/>
            <w:r>
              <w:rPr>
                <w:sz w:val="18"/>
              </w:rPr>
              <w:t>6.0.3 (matches)</w:t>
            </w:r>
          </w:p>
        </w:tc>
      </w:tr>
      <w:tr>
        <w:tc>
          <w:tcPr>
            <w:tcW w:type="dxa" w:w="3120"/>
          </w:tcPr>
          <w:p>
            <w:pPr>
              <w:spacing w:after="40"/>
            </w:pPr>
            <w:r/>
            <w:r>
              <w:rPr>
                <w:sz w:val="18"/>
              </w:rPr>
              <w:t>pytest</w:t>
            </w:r>
          </w:p>
        </w:tc>
        <w:tc>
          <w:tcPr>
            <w:tcW w:type="dxa" w:w="3120"/>
          </w:tcPr>
          <w:p>
            <w:pPr>
              <w:spacing w:after="40"/>
            </w:pPr>
            <w:r/>
            <w:r>
              <w:rPr>
                <w:sz w:val="18"/>
              </w:rPr>
              <w:t>9.1.1</w:t>
            </w:r>
          </w:p>
        </w:tc>
        <w:tc>
          <w:tcPr>
            <w:tcW w:type="dxa" w:w="3120"/>
          </w:tcPr>
          <w:p>
            <w:pPr>
              <w:spacing w:after="40"/>
            </w:pPr>
            <w:r/>
            <w:r>
              <w:rPr>
                <w:sz w:val="18"/>
              </w:rPr>
              <w:t>8.4.2</w:t>
            </w:r>
          </w:p>
        </w:tc>
      </w:tr>
    </w:tbl>
    <w:p>
      <w:pPr>
        <w:spacing w:after="80"/>
      </w:pPr>
    </w:p>
    <w:p>
      <w:r>
        <w:t xml:space="preserve">Every result in this report from Teammate A's machine (Step 1A/2D/2E's Dataset A half, Step 2F's Dataset A backfill, Step 2G's real cross-dataset run, Step 3A/3B forensics) was produced under the versions in the right-hand column, not the pinned ones — </w:t>
      </w:r>
      <w:r>
        <w:rPr>
          <w:rFonts w:ascii="Consolas" w:hAnsi="Consolas"/>
          <w:sz w:val="20"/>
        </w:rPr>
        <w:t>requirements.txt</w:t>
      </w:r>
      <w:r>
        <w:t xml:space="preserve"> appears to have been pinned from Teammate B's environment at some point after Teammate A's venv was first set up (Step 0A), and the two were never re-synced. Reported honestly here rather than either (a) claiming exact-version reproducibility that did not actually hold, or (b) risking a late dependency upgrade this close to the deadline purely to make the table match — a major-version bump on pandas (2→3) or numpy this late carries real regression risk for zero report-quality benefit, since every real number in this document was already produced, verified, and tested under the versions actually listed above.</w:t>
      </w:r>
    </w:p>
    <w:p>
      <w:r>
        <w:br w:type="page"/>
      </w:r>
    </w:p>
    <w:p>
      <w:pPr>
        <w:pStyle w:val="Heading1"/>
      </w:pPr>
      <w:r>
        <w:t>Chapter 8.1 — Sample-Level Forensic Error Analysis</w:t>
      </w:r>
    </w:p>
    <w:p>
      <w:pPr>
        <w:ind w:left="432"/>
      </w:pPr>
      <w:r>
        <w:rPr>
          <w:i/>
        </w:rPr>
      </w:r>
      <w:r>
        <w:rPr>
          <w:i/>
        </w:rPr>
        <w:t xml:space="preserve">Status (15 Aug 2026): </w:t>
      </w:r>
      <w:r>
        <w:rPr>
          <w:b/>
          <w:i/>
        </w:rPr>
        <w:t>All four models complete on Dataset A</w:t>
      </w:r>
      <w:r>
        <w:rPr>
          <w:i/>
        </w:rPr>
        <w:t>, all real, all out-of-fold (XGBoost and</w:t>
      </w:r>
    </w:p>
    <w:p>
      <w:pPr>
        <w:ind w:left="432"/>
      </w:pPr>
      <w:r>
        <w:rPr>
          <w:i/>
        </w:rPr>
      </w:r>
      <w:r>
        <w:rPr>
          <w:i/>
        </w:rPr>
        <w:t>Isolation Forest from 14 Aug; CNN and Autoencoder added today, replacing the LogReg stand-in that</w:t>
      </w:r>
    </w:p>
    <w:p>
      <w:pPr>
        <w:ind w:left="432"/>
      </w:pPr>
      <w:r>
        <w:rPr>
          <w:i/>
        </w:rPr>
      </w:r>
      <w:r>
        <w:rPr>
          <w:i/>
        </w:rPr>
        <w:t>previously filled the CNN's slot in the cross-model comparison — dropped now that real numbers exist,</w:t>
      </w:r>
    </w:p>
    <w:p>
      <w:pPr>
        <w:ind w:left="432"/>
      </w:pPr>
      <w:r>
        <w:rPr>
          <w:i/>
        </w:rPr>
      </w:r>
      <w:r>
        <w:rPr>
          <w:i/>
        </w:rPr>
        <w:t>per the standing rule not to keep a stand-in alongside the real result it was substituting for). Dataset</w:t>
      </w:r>
    </w:p>
    <w:p>
      <w:pPr>
        <w:ind w:left="432"/>
      </w:pPr>
      <w:r>
        <w:rPr>
          <w:i/>
        </w:rPr>
      </w:r>
      <w:r>
        <w:rPr>
          <w:i/>
        </w:rPr>
        <w:t xml:space="preserve">B summary metrics are from Teammate B's backfills. </w:t>
      </w:r>
      <w:r>
        <w:rPr>
          <w:rFonts w:ascii="Consolas" w:hAnsi="Consolas"/>
          <w:i/>
          <w:sz w:val="20"/>
        </w:rPr>
        <w:t>evaluation/error_analysis.py</w:t>
      </w:r>
      <w:r>
        <w:rPr>
          <w:i/>
        </w:rPr>
        <w:t>'s Step 3A harness has</w:t>
      </w:r>
    </w:p>
    <w:p>
      <w:pPr>
        <w:ind w:left="432"/>
      </w:pPr>
      <w:r>
        <w:rPr>
          <w:i/>
        </w:rPr>
      </w:r>
      <w:r>
        <w:rPr>
          <w:i/>
        </w:rPr>
        <w:t>now run against all four architectures with zero code changes — confirming it really is model-agnostic</w:t>
      </w:r>
    </w:p>
    <w:p>
      <w:pPr>
        <w:ind w:left="432"/>
      </w:pPr>
      <w:r>
        <w:rPr>
          <w:i/>
        </w:rPr>
      </w:r>
      <w:r>
        <w:rPr>
          <w:i/>
        </w:rPr>
        <w:t>by construction, not just convenient for the two models it happened to be built against first.</w:t>
      </w:r>
    </w:p>
    <w:p>
      <w:pPr>
        <w:pStyle w:val="Heading2"/>
      </w:pPr>
      <w:r>
        <w:t>8.1.1 Confusion matrices</w:t>
      </w:r>
    </w:p>
    <w:p>
      <w:r>
        <w:rPr>
          <w:b/>
        </w:rPr>
        <w:t>Dataset A — exact counts, all four models</w:t>
      </w:r>
      <w:r>
        <w:t xml:space="preserve"> (real out-of-fold predictions, 5-fold CV, 221,315 rows):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40"/>
            </w:pPr>
            <w:r/>
            <w:r>
              <w:rPr>
                <w:b/>
                <w:sz w:val="18"/>
              </w:rPr>
              <w:t>model</w:t>
            </w:r>
          </w:p>
        </w:tc>
        <w:tc>
          <w:tcPr>
            <w:tcW w:type="dxa" w:w="1170"/>
          </w:tcPr>
          <w:p>
            <w:pPr>
              <w:spacing w:after="40"/>
            </w:pPr>
            <w:r/>
            <w:r>
              <w:rPr>
                <w:b/>
                <w:sz w:val="18"/>
              </w:rPr>
              <w:t>TN</w:t>
            </w:r>
          </w:p>
        </w:tc>
        <w:tc>
          <w:tcPr>
            <w:tcW w:type="dxa" w:w="1170"/>
          </w:tcPr>
          <w:p>
            <w:pPr>
              <w:spacing w:after="40"/>
            </w:pPr>
            <w:r/>
            <w:r>
              <w:rPr>
                <w:b/>
                <w:sz w:val="18"/>
              </w:rPr>
              <w:t>FP</w:t>
            </w:r>
          </w:p>
        </w:tc>
        <w:tc>
          <w:tcPr>
            <w:tcW w:type="dxa" w:w="1170"/>
          </w:tcPr>
          <w:p>
            <w:pPr>
              <w:spacing w:after="40"/>
            </w:pPr>
            <w:r/>
            <w:r>
              <w:rPr>
                <w:b/>
                <w:sz w:val="18"/>
              </w:rPr>
              <w:t>FN</w:t>
            </w:r>
          </w:p>
        </w:tc>
        <w:tc>
          <w:tcPr>
            <w:tcW w:type="dxa" w:w="1170"/>
          </w:tcPr>
          <w:p>
            <w:pPr>
              <w:spacing w:after="40"/>
            </w:pPr>
            <w:r/>
            <w:r>
              <w:rPr>
                <w:b/>
                <w:sz w:val="18"/>
              </w:rPr>
              <w:t>TP</w:t>
            </w:r>
          </w:p>
        </w:tc>
        <w:tc>
          <w:tcPr>
            <w:tcW w:type="dxa" w:w="1170"/>
          </w:tcPr>
          <w:p>
            <w:pPr>
              <w:spacing w:after="40"/>
            </w:pPr>
            <w:r/>
            <w:r>
              <w:rPr>
                <w:b/>
                <w:sz w:val="18"/>
              </w:rPr>
              <w:t>recall</w:t>
            </w:r>
          </w:p>
        </w:tc>
        <w:tc>
          <w:tcPr>
            <w:tcW w:type="dxa" w:w="1170"/>
          </w:tcPr>
          <w:p>
            <w:pPr>
              <w:spacing w:after="40"/>
            </w:pPr>
            <w:r/>
            <w:r>
              <w:rPr>
                <w:b/>
                <w:sz w:val="18"/>
              </w:rPr>
              <w:t>FPR</w:t>
            </w:r>
          </w:p>
        </w:tc>
        <w:tc>
          <w:tcPr>
            <w:tcW w:type="dxa" w:w="1170"/>
          </w:tcPr>
          <w:p>
            <w:pPr>
              <w:spacing w:after="40"/>
            </w:pPr>
            <w:r/>
            <w:r>
              <w:rPr>
                <w:b/>
                <w:sz w:val="18"/>
              </w:rPr>
              <w:t>F1</w:t>
            </w:r>
          </w:p>
        </w:tc>
      </w:tr>
      <w:tr>
        <w:tc>
          <w:tcPr>
            <w:tcW w:type="dxa" w:w="1170"/>
          </w:tcPr>
          <w:p>
            <w:pPr>
              <w:spacing w:after="40"/>
            </w:pPr>
            <w:r/>
            <w:r>
              <w:rPr>
                <w:sz w:val="18"/>
              </w:rPr>
              <w:t>XGBoost (t=0.50, Step 2D/3B baseline)</w:t>
            </w:r>
          </w:p>
        </w:tc>
        <w:tc>
          <w:tcPr>
            <w:tcW w:type="dxa" w:w="1170"/>
          </w:tcPr>
          <w:p>
            <w:pPr>
              <w:spacing w:after="40"/>
            </w:pPr>
            <w:r/>
            <w:r>
              <w:rPr>
                <w:sz w:val="18"/>
              </w:rPr>
              <w:t>68,868</w:t>
            </w:r>
          </w:p>
        </w:tc>
        <w:tc>
          <w:tcPr>
            <w:tcW w:type="dxa" w:w="1170"/>
          </w:tcPr>
          <w:p>
            <w:pPr>
              <w:spacing w:after="40"/>
            </w:pPr>
            <w:r/>
            <w:r>
              <w:rPr>
                <w:sz w:val="18"/>
              </w:rPr>
              <w:t>46,846</w:t>
            </w:r>
          </w:p>
        </w:tc>
        <w:tc>
          <w:tcPr>
            <w:tcW w:type="dxa" w:w="1170"/>
          </w:tcPr>
          <w:p>
            <w:pPr>
              <w:spacing w:after="40"/>
            </w:pPr>
            <w:r/>
            <w:r>
              <w:rPr>
                <w:sz w:val="18"/>
              </w:rPr>
              <w:t>58</w:t>
            </w:r>
          </w:p>
        </w:tc>
        <w:tc>
          <w:tcPr>
            <w:tcW w:type="dxa" w:w="1170"/>
          </w:tcPr>
          <w:p>
            <w:pPr>
              <w:spacing w:after="40"/>
            </w:pPr>
            <w:r/>
            <w:r>
              <w:rPr>
                <w:sz w:val="18"/>
              </w:rPr>
              <w:t>105,543</w:t>
            </w:r>
          </w:p>
        </w:tc>
        <w:tc>
          <w:tcPr>
            <w:tcW w:type="dxa" w:w="1170"/>
          </w:tcPr>
          <w:p>
            <w:pPr>
              <w:spacing w:after="40"/>
            </w:pPr>
            <w:r/>
            <w:r>
              <w:rPr>
                <w:sz w:val="18"/>
              </w:rPr>
              <w:t>99.95%</w:t>
            </w:r>
          </w:p>
        </w:tc>
        <w:tc>
          <w:tcPr>
            <w:tcW w:type="dxa" w:w="1170"/>
          </w:tcPr>
          <w:p>
            <w:pPr>
              <w:spacing w:after="40"/>
            </w:pPr>
            <w:r/>
            <w:r>
              <w:rPr>
                <w:sz w:val="18"/>
              </w:rPr>
              <w:t>40.48%</w:t>
            </w:r>
          </w:p>
        </w:tc>
        <w:tc>
          <w:tcPr>
            <w:tcW w:type="dxa" w:w="1170"/>
          </w:tcPr>
          <w:p>
            <w:pPr>
              <w:spacing w:after="40"/>
            </w:pPr>
            <w:r/>
            <w:r>
              <w:rPr>
                <w:sz w:val="18"/>
              </w:rPr>
              <w:t>81.82%</w:t>
            </w:r>
          </w:p>
        </w:tc>
      </w:tr>
      <w:tr>
        <w:tc>
          <w:tcPr>
            <w:tcW w:type="dxa" w:w="1170"/>
          </w:tcPr>
          <w:p>
            <w:pPr>
              <w:spacing w:after="40"/>
            </w:pPr>
            <w:r/>
            <w:r>
              <w:rPr>
                <w:sz w:val="18"/>
              </w:rPr>
              <w:t>XGBoost (t=0.70, Step 3B optimised)</w:t>
            </w:r>
          </w:p>
        </w:tc>
        <w:tc>
          <w:tcPr>
            <w:tcW w:type="dxa" w:w="1170"/>
          </w:tcPr>
          <w:p>
            <w:pPr>
              <w:spacing w:after="40"/>
            </w:pPr>
            <w:r/>
            <w:r>
              <w:rPr>
                <w:sz w:val="18"/>
              </w:rPr>
              <w:t>69,747</w:t>
            </w:r>
          </w:p>
        </w:tc>
        <w:tc>
          <w:tcPr>
            <w:tcW w:type="dxa" w:w="1170"/>
          </w:tcPr>
          <w:p>
            <w:pPr>
              <w:spacing w:after="40"/>
            </w:pPr>
            <w:r/>
            <w:r>
              <w:rPr>
                <w:sz w:val="18"/>
              </w:rPr>
              <w:t>45,967</w:t>
            </w:r>
          </w:p>
        </w:tc>
        <w:tc>
          <w:tcPr>
            <w:tcW w:type="dxa" w:w="1170"/>
          </w:tcPr>
          <w:p>
            <w:pPr>
              <w:spacing w:after="40"/>
            </w:pPr>
            <w:r/>
            <w:r>
              <w:rPr>
                <w:sz w:val="18"/>
              </w:rPr>
              <w:t>2,081</w:t>
            </w:r>
          </w:p>
        </w:tc>
        <w:tc>
          <w:tcPr>
            <w:tcW w:type="dxa" w:w="1170"/>
          </w:tcPr>
          <w:p>
            <w:pPr>
              <w:spacing w:after="40"/>
            </w:pPr>
            <w:r/>
            <w:r>
              <w:rPr>
                <w:sz w:val="18"/>
              </w:rPr>
              <w:t>103,520</w:t>
            </w:r>
          </w:p>
        </w:tc>
        <w:tc>
          <w:tcPr>
            <w:tcW w:type="dxa" w:w="1170"/>
          </w:tcPr>
          <w:p>
            <w:pPr>
              <w:spacing w:after="40"/>
            </w:pPr>
            <w:r/>
            <w:r>
              <w:rPr>
                <w:sz w:val="18"/>
              </w:rPr>
              <w:t>98.03%</w:t>
            </w:r>
          </w:p>
        </w:tc>
        <w:tc>
          <w:tcPr>
            <w:tcW w:type="dxa" w:w="1170"/>
          </w:tcPr>
          <w:p>
            <w:pPr>
              <w:spacing w:after="40"/>
            </w:pPr>
            <w:r/>
            <w:r>
              <w:rPr>
                <w:sz w:val="18"/>
              </w:rPr>
              <w:t>39.72%</w:t>
            </w:r>
          </w:p>
        </w:tc>
        <w:tc>
          <w:tcPr>
            <w:tcW w:type="dxa" w:w="1170"/>
          </w:tcPr>
          <w:p>
            <w:pPr>
              <w:spacing w:after="40"/>
            </w:pPr>
            <w:r/>
            <w:r>
              <w:rPr>
                <w:sz w:val="18"/>
              </w:rPr>
              <w:t>81.16%</w:t>
            </w:r>
          </w:p>
        </w:tc>
      </w:tr>
      <w:tr>
        <w:tc>
          <w:tcPr>
            <w:tcW w:type="dxa" w:w="1170"/>
          </w:tcPr>
          <w:p>
            <w:pPr>
              <w:spacing w:after="40"/>
            </w:pPr>
            <w:r/>
            <w:r>
              <w:rPr>
                <w:sz w:val="18"/>
              </w:rPr>
              <w:t>CNN</w:t>
            </w:r>
          </w:p>
        </w:tc>
        <w:tc>
          <w:tcPr>
            <w:tcW w:type="dxa" w:w="1170"/>
          </w:tcPr>
          <w:p>
            <w:pPr>
              <w:spacing w:after="40"/>
            </w:pPr>
            <w:r/>
            <w:r>
              <w:rPr>
                <w:sz w:val="18"/>
              </w:rPr>
              <w:t>68,896</w:t>
            </w:r>
          </w:p>
        </w:tc>
        <w:tc>
          <w:tcPr>
            <w:tcW w:type="dxa" w:w="1170"/>
          </w:tcPr>
          <w:p>
            <w:pPr>
              <w:spacing w:after="40"/>
            </w:pPr>
            <w:r/>
            <w:r>
              <w:rPr>
                <w:sz w:val="18"/>
              </w:rPr>
              <w:t>46,818</w:t>
            </w:r>
          </w:p>
        </w:tc>
        <w:tc>
          <w:tcPr>
            <w:tcW w:type="dxa" w:w="1170"/>
          </w:tcPr>
          <w:p>
            <w:pPr>
              <w:spacing w:after="40"/>
            </w:pPr>
            <w:r/>
            <w:r>
              <w:rPr>
                <w:sz w:val="18"/>
              </w:rPr>
              <w:t>188</w:t>
            </w:r>
          </w:p>
        </w:tc>
        <w:tc>
          <w:tcPr>
            <w:tcW w:type="dxa" w:w="1170"/>
          </w:tcPr>
          <w:p>
            <w:pPr>
              <w:spacing w:after="40"/>
            </w:pPr>
            <w:r/>
            <w:r>
              <w:rPr>
                <w:sz w:val="18"/>
              </w:rPr>
              <w:t>105,413</w:t>
            </w:r>
          </w:p>
        </w:tc>
        <w:tc>
          <w:tcPr>
            <w:tcW w:type="dxa" w:w="1170"/>
          </w:tcPr>
          <w:p>
            <w:pPr>
              <w:spacing w:after="40"/>
            </w:pPr>
            <w:r/>
            <w:r>
              <w:rPr>
                <w:sz w:val="18"/>
              </w:rPr>
              <w:t>99.82%</w:t>
            </w:r>
          </w:p>
        </w:tc>
        <w:tc>
          <w:tcPr>
            <w:tcW w:type="dxa" w:w="1170"/>
          </w:tcPr>
          <w:p>
            <w:pPr>
              <w:spacing w:after="40"/>
            </w:pPr>
            <w:r/>
            <w:r>
              <w:rPr>
                <w:sz w:val="18"/>
              </w:rPr>
              <w:t>40.46%</w:t>
            </w:r>
          </w:p>
        </w:tc>
        <w:tc>
          <w:tcPr>
            <w:tcW w:type="dxa" w:w="1170"/>
          </w:tcPr>
          <w:p>
            <w:pPr>
              <w:spacing w:after="40"/>
            </w:pPr>
            <w:r/>
            <w:r>
              <w:rPr>
                <w:sz w:val="18"/>
              </w:rPr>
              <w:t>81.77%</w:t>
            </w:r>
          </w:p>
        </w:tc>
      </w:tr>
      <w:tr>
        <w:tc>
          <w:tcPr>
            <w:tcW w:type="dxa" w:w="1170"/>
          </w:tcPr>
          <w:p>
            <w:pPr>
              <w:spacing w:after="40"/>
            </w:pPr>
            <w:r/>
            <w:r>
              <w:rPr>
                <w:sz w:val="18"/>
              </w:rPr>
              <w:t>Isolation Forest (contamination=0.20, locked config)</w:t>
            </w:r>
          </w:p>
        </w:tc>
        <w:tc>
          <w:tcPr>
            <w:tcW w:type="dxa" w:w="1170"/>
          </w:tcPr>
          <w:p>
            <w:pPr>
              <w:spacing w:after="40"/>
            </w:pPr>
            <w:r/>
            <w:r>
              <w:rPr>
                <w:sz w:val="18"/>
              </w:rPr>
              <w:t>79,354</w:t>
            </w:r>
          </w:p>
        </w:tc>
        <w:tc>
          <w:tcPr>
            <w:tcW w:type="dxa" w:w="1170"/>
          </w:tcPr>
          <w:p>
            <w:pPr>
              <w:spacing w:after="40"/>
            </w:pPr>
            <w:r/>
            <w:r>
              <w:rPr>
                <w:sz w:val="18"/>
              </w:rPr>
              <w:t>36,360</w:t>
            </w:r>
          </w:p>
        </w:tc>
        <w:tc>
          <w:tcPr>
            <w:tcW w:type="dxa" w:w="1170"/>
          </w:tcPr>
          <w:p>
            <w:pPr>
              <w:spacing w:after="40"/>
            </w:pPr>
            <w:r/>
            <w:r>
              <w:rPr>
                <w:sz w:val="18"/>
              </w:rPr>
              <w:t>97,738</w:t>
            </w:r>
          </w:p>
        </w:tc>
        <w:tc>
          <w:tcPr>
            <w:tcW w:type="dxa" w:w="1170"/>
          </w:tcPr>
          <w:p>
            <w:pPr>
              <w:spacing w:after="40"/>
            </w:pPr>
            <w:r/>
            <w:r>
              <w:rPr>
                <w:sz w:val="18"/>
              </w:rPr>
              <w:t>7,863</w:t>
            </w:r>
          </w:p>
        </w:tc>
        <w:tc>
          <w:tcPr>
            <w:tcW w:type="dxa" w:w="1170"/>
          </w:tcPr>
          <w:p>
            <w:pPr>
              <w:spacing w:after="40"/>
            </w:pPr>
            <w:r/>
            <w:r>
              <w:rPr>
                <w:sz w:val="18"/>
              </w:rPr>
              <w:t>7.45%</w:t>
            </w:r>
          </w:p>
        </w:tc>
        <w:tc>
          <w:tcPr>
            <w:tcW w:type="dxa" w:w="1170"/>
          </w:tcPr>
          <w:p>
            <w:pPr>
              <w:spacing w:after="40"/>
            </w:pPr>
            <w:r/>
            <w:r>
              <w:rPr>
                <w:sz w:val="18"/>
              </w:rPr>
              <w:t>31.42%</w:t>
            </w:r>
          </w:p>
        </w:tc>
        <w:tc>
          <w:tcPr>
            <w:tcW w:type="dxa" w:w="1170"/>
          </w:tcPr>
          <w:p>
            <w:pPr>
              <w:spacing w:after="40"/>
            </w:pPr>
            <w:r/>
            <w:r>
              <w:rPr>
                <w:sz w:val="18"/>
              </w:rPr>
              <w:t>10.50%</w:t>
            </w:r>
          </w:p>
        </w:tc>
      </w:tr>
      <w:tr>
        <w:tc>
          <w:tcPr>
            <w:tcW w:type="dxa" w:w="1170"/>
          </w:tcPr>
          <w:p>
            <w:pPr>
              <w:spacing w:after="40"/>
            </w:pPr>
            <w:r/>
            <w:r>
              <w:rPr>
                <w:sz w:val="18"/>
              </w:rPr>
              <w:t>Autoencoder (benign-only fit, 95th-pct threshold)</w:t>
            </w:r>
          </w:p>
        </w:tc>
        <w:tc>
          <w:tcPr>
            <w:tcW w:type="dxa" w:w="1170"/>
          </w:tcPr>
          <w:p>
            <w:pPr>
              <w:spacing w:after="40"/>
            </w:pPr>
            <w:r/>
            <w:r>
              <w:rPr>
                <w:sz w:val="18"/>
              </w:rPr>
              <w:t>110,007</w:t>
            </w:r>
          </w:p>
        </w:tc>
        <w:tc>
          <w:tcPr>
            <w:tcW w:type="dxa" w:w="1170"/>
          </w:tcPr>
          <w:p>
            <w:pPr>
              <w:spacing w:after="40"/>
            </w:pPr>
            <w:r/>
            <w:r>
              <w:rPr>
                <w:sz w:val="18"/>
              </w:rPr>
              <w:t>5,707</w:t>
            </w:r>
          </w:p>
        </w:tc>
        <w:tc>
          <w:tcPr>
            <w:tcW w:type="dxa" w:w="1170"/>
          </w:tcPr>
          <w:p>
            <w:pPr>
              <w:spacing w:after="40"/>
            </w:pPr>
            <w:r/>
            <w:r>
              <w:rPr>
                <w:sz w:val="18"/>
              </w:rPr>
              <w:t>103,131</w:t>
            </w:r>
          </w:p>
        </w:tc>
        <w:tc>
          <w:tcPr>
            <w:tcW w:type="dxa" w:w="1170"/>
          </w:tcPr>
          <w:p>
            <w:pPr>
              <w:spacing w:after="40"/>
            </w:pPr>
            <w:r/>
            <w:r>
              <w:rPr>
                <w:sz w:val="18"/>
              </w:rPr>
              <w:t>2,470</w:t>
            </w:r>
          </w:p>
        </w:tc>
        <w:tc>
          <w:tcPr>
            <w:tcW w:type="dxa" w:w="1170"/>
          </w:tcPr>
          <w:p>
            <w:pPr>
              <w:spacing w:after="40"/>
            </w:pPr>
            <w:r/>
            <w:r>
              <w:rPr>
                <w:sz w:val="18"/>
              </w:rPr>
              <w:t>2.34%</w:t>
            </w:r>
          </w:p>
        </w:tc>
        <w:tc>
          <w:tcPr>
            <w:tcW w:type="dxa" w:w="1170"/>
          </w:tcPr>
          <w:p>
            <w:pPr>
              <w:spacing w:after="40"/>
            </w:pPr>
            <w:r/>
            <w:r>
              <w:rPr>
                <w:sz w:val="18"/>
              </w:rPr>
              <w:t>4.93%</w:t>
            </w:r>
          </w:p>
        </w:tc>
        <w:tc>
          <w:tcPr>
            <w:tcW w:type="dxa" w:w="1170"/>
          </w:tcPr>
          <w:p>
            <w:pPr>
              <w:spacing w:after="40"/>
            </w:pPr>
            <w:r/>
            <w:r>
              <w:rPr>
                <w:sz w:val="18"/>
              </w:rPr>
              <w:t>4.34%</w:t>
            </w:r>
          </w:p>
        </w:tc>
      </w:tr>
    </w:tbl>
    <w:p>
      <w:pPr>
        <w:spacing w:after="80"/>
      </w:pPr>
    </w:p>
    <w:p>
      <w:r>
        <w:rPr>
          <w:b/>
        </w:rPr>
        <w:t>The two supervised models (XGBoost, CNN) land almost on top of each other</w:t>
      </w:r>
      <w:r>
        <w:t xml:space="preserve"> — F1 within 0.05 points, recall both &gt;99.8%, FPR both ~40.5% — despite being structurally unrelated architectures (gradient-boosted trees vs. convolution). </w:t>
      </w:r>
      <w:r>
        <w:rPr>
          <w:b/>
        </w:rPr>
        <w:t>The two unsupervised models (Isolation Forest, Autoencoder) both fail badly, in the same direction:</w:t>
      </w:r>
      <w:r>
        <w:t xml:space="preserve"> both have recall under 8%, and the Autoencoder is worse than Isolation Forest on every axis except FPR (which is low only because it flags almost nothing as positive at all — a low FPR next to a 2.34% recall is not a favourable trade, it means the model is close to a constant-negative classifier).</w:t>
      </w:r>
    </w:p>
    <w:p>
      <w:r>
        <w:rPr>
          <w:b/>
        </w:rPr>
        <w:t>Dataset B — reported metrics</w:t>
      </w:r>
      <w:r>
        <w:t xml:space="preserve"> (Teammate B's backfills; exact integer confusion matrices not in hand for XGBoost, only the aggregated precision/recall/FPR/F1 — noted here as metrics, not reconstructed into counts, to avoid presenting a derived number as an original one):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r>
              <w:rPr>
                <w:b/>
                <w:sz w:val="18"/>
              </w:rPr>
              <w:t>model</w:t>
            </w:r>
          </w:p>
        </w:tc>
        <w:tc>
          <w:tcPr>
            <w:tcW w:type="dxa" w:w="1337"/>
          </w:tcPr>
          <w:p>
            <w:pPr>
              <w:spacing w:after="40"/>
            </w:pPr>
            <w:r/>
            <w:r>
              <w:rPr>
                <w:b/>
                <w:sz w:val="18"/>
              </w:rPr>
              <w:t>framing</w:t>
            </w:r>
          </w:p>
        </w:tc>
        <w:tc>
          <w:tcPr>
            <w:tcW w:type="dxa" w:w="1337"/>
          </w:tcPr>
          <w:p>
            <w:pPr>
              <w:spacing w:after="40"/>
            </w:pPr>
            <w:r/>
            <w:r>
              <w:rPr>
                <w:b/>
                <w:sz w:val="18"/>
              </w:rPr>
              <w:t>precision</w:t>
            </w:r>
          </w:p>
        </w:tc>
        <w:tc>
          <w:tcPr>
            <w:tcW w:type="dxa" w:w="1337"/>
          </w:tcPr>
          <w:p>
            <w:pPr>
              <w:spacing w:after="40"/>
            </w:pPr>
            <w:r/>
            <w:r>
              <w:rPr>
                <w:b/>
                <w:sz w:val="18"/>
              </w:rPr>
              <w:t>recall</w:t>
            </w:r>
          </w:p>
        </w:tc>
        <w:tc>
          <w:tcPr>
            <w:tcW w:type="dxa" w:w="1337"/>
          </w:tcPr>
          <w:p>
            <w:pPr>
              <w:spacing w:after="40"/>
            </w:pPr>
            <w:r/>
            <w:r>
              <w:rPr>
                <w:b/>
                <w:sz w:val="18"/>
              </w:rPr>
              <w:t>FPR</w:t>
            </w:r>
          </w:p>
        </w:tc>
        <w:tc>
          <w:tcPr>
            <w:tcW w:type="dxa" w:w="1337"/>
          </w:tcPr>
          <w:p>
            <w:pPr>
              <w:spacing w:after="40"/>
            </w:pPr>
            <w:r/>
            <w:r>
              <w:rPr>
                <w:b/>
                <w:sz w:val="18"/>
              </w:rPr>
              <w:t>F1</w:t>
            </w:r>
          </w:p>
        </w:tc>
        <w:tc>
          <w:tcPr>
            <w:tcW w:type="dxa" w:w="1337"/>
          </w:tcPr>
          <w:p>
            <w:pPr>
              <w:spacing w:after="40"/>
            </w:pPr>
            <w:r/>
            <w:r>
              <w:rPr>
                <w:b/>
                <w:sz w:val="18"/>
              </w:rPr>
              <w:t>ROC-AUC</w:t>
            </w:r>
          </w:p>
        </w:tc>
      </w:tr>
      <w:tr>
        <w:tc>
          <w:tcPr>
            <w:tcW w:type="dxa" w:w="1337"/>
          </w:tcPr>
          <w:p>
            <w:pPr>
              <w:spacing w:after="40"/>
            </w:pPr>
            <w:r/>
            <w:r>
              <w:rPr>
                <w:sz w:val="18"/>
              </w:rPr>
              <w:t>XGBoost</w:t>
            </w:r>
          </w:p>
        </w:tc>
        <w:tc>
          <w:tcPr>
            <w:tcW w:type="dxa" w:w="1337"/>
          </w:tcPr>
          <w:p>
            <w:pPr>
              <w:spacing w:after="40"/>
            </w:pPr>
            <w:r/>
            <w:r>
              <w:rPr>
                <w:sz w:val="18"/>
              </w:rPr>
              <w:t>hard</w:t>
            </w:r>
          </w:p>
        </w:tc>
        <w:tc>
          <w:tcPr>
            <w:tcW w:type="dxa" w:w="1337"/>
          </w:tcPr>
          <w:p>
            <w:pPr>
              <w:spacing w:after="40"/>
            </w:pPr>
            <w:r/>
            <w:r>
              <w:rPr>
                <w:sz w:val="18"/>
              </w:rPr>
              <w:t>—</w:t>
            </w:r>
          </w:p>
        </w:tc>
        <w:tc>
          <w:tcPr>
            <w:tcW w:type="dxa" w:w="1337"/>
          </w:tcPr>
          <w:p>
            <w:pPr>
              <w:spacing w:after="40"/>
            </w:pPr>
            <w:r/>
            <w:r>
              <w:rPr>
                <w:sz w:val="18"/>
              </w:rPr>
              <w:t>—</w:t>
            </w:r>
          </w:p>
        </w:tc>
        <w:tc>
          <w:tcPr>
            <w:tcW w:type="dxa" w:w="1337"/>
          </w:tcPr>
          <w:p>
            <w:pPr>
              <w:spacing w:after="40"/>
            </w:pPr>
            <w:r/>
            <w:r>
              <w:rPr>
                <w:sz w:val="18"/>
              </w:rPr>
              <w:t>—</w:t>
            </w:r>
          </w:p>
        </w:tc>
        <w:tc>
          <w:tcPr>
            <w:tcW w:type="dxa" w:w="1337"/>
          </w:tcPr>
          <w:p>
            <w:pPr>
              <w:spacing w:after="40"/>
            </w:pPr>
            <w:r/>
            <w:r>
              <w:rPr>
                <w:sz w:val="18"/>
              </w:rPr>
              <w:t>≈0.9999</w:t>
            </w:r>
          </w:p>
        </w:tc>
        <w:tc>
          <w:tcPr>
            <w:tcW w:type="dxa" w:w="1337"/>
          </w:tcPr>
          <w:p>
            <w:pPr>
              <w:spacing w:after="40"/>
            </w:pPr>
            <w:r/>
            <w:r>
              <w:rPr>
                <w:sz w:val="18"/>
              </w:rPr>
              <w:t>—</w:t>
            </w:r>
          </w:p>
        </w:tc>
      </w:tr>
      <w:tr>
        <w:tc>
          <w:tcPr>
            <w:tcW w:type="dxa" w:w="1337"/>
          </w:tcPr>
          <w:p>
            <w:pPr>
              <w:spacing w:after="40"/>
            </w:pPr>
            <w:r/>
            <w:r>
              <w:rPr>
                <w:sz w:val="18"/>
              </w:rPr>
              <w:t>CNN</w:t>
            </w:r>
          </w:p>
        </w:tc>
        <w:tc>
          <w:tcPr>
            <w:tcW w:type="dxa" w:w="1337"/>
          </w:tcPr>
          <w:p>
            <w:pPr>
              <w:spacing w:after="40"/>
            </w:pPr>
            <w:r/>
            <w:r>
              <w:rPr>
                <w:sz w:val="18"/>
              </w:rPr>
              <w:t>hard</w:t>
            </w:r>
          </w:p>
        </w:tc>
        <w:tc>
          <w:tcPr>
            <w:tcW w:type="dxa" w:w="1337"/>
          </w:tcPr>
          <w:p>
            <w:pPr>
              <w:spacing w:after="40"/>
            </w:pPr>
            <w:r/>
            <w:r>
              <w:rPr>
                <w:sz w:val="18"/>
              </w:rPr>
              <w:t>0.9956</w:t>
            </w:r>
          </w:p>
        </w:tc>
        <w:tc>
          <w:tcPr>
            <w:tcW w:type="dxa" w:w="1337"/>
          </w:tcPr>
          <w:p>
            <w:pPr>
              <w:spacing w:after="40"/>
            </w:pPr>
            <w:r/>
            <w:r>
              <w:rPr>
                <w:sz w:val="18"/>
              </w:rPr>
              <w:t>0.9920</w:t>
            </w:r>
          </w:p>
        </w:tc>
        <w:tc>
          <w:tcPr>
            <w:tcW w:type="dxa" w:w="1337"/>
          </w:tcPr>
          <w:p>
            <w:pPr>
              <w:spacing w:after="40"/>
            </w:pPr>
            <w:r/>
            <w:r>
              <w:rPr>
                <w:sz w:val="18"/>
              </w:rPr>
              <w:t>0.0044</w:t>
            </w:r>
          </w:p>
        </w:tc>
        <w:tc>
          <w:tcPr>
            <w:tcW w:type="dxa" w:w="1337"/>
          </w:tcPr>
          <w:p>
            <w:pPr>
              <w:spacing w:after="40"/>
            </w:pPr>
            <w:r/>
            <w:r>
              <w:rPr>
                <w:sz w:val="18"/>
              </w:rPr>
              <w:t>0.9938</w:t>
            </w:r>
          </w:p>
        </w:tc>
        <w:tc>
          <w:tcPr>
            <w:tcW w:type="dxa" w:w="1337"/>
          </w:tcPr>
          <w:p>
            <w:pPr>
              <w:spacing w:after="40"/>
            </w:pPr>
            <w:r/>
            <w:r>
              <w:rPr>
                <w:sz w:val="18"/>
              </w:rPr>
              <w:t>0.9995</w:t>
            </w:r>
          </w:p>
        </w:tc>
      </w:tr>
      <w:tr>
        <w:tc>
          <w:tcPr>
            <w:tcW w:type="dxa" w:w="1337"/>
          </w:tcPr>
          <w:p>
            <w:pPr>
              <w:spacing w:after="40"/>
            </w:pPr>
            <w:r/>
            <w:r>
              <w:rPr>
                <w:sz w:val="18"/>
              </w:rPr>
              <w:t>Isolation Forest</w:t>
            </w:r>
          </w:p>
        </w:tc>
        <w:tc>
          <w:tcPr>
            <w:tcW w:type="dxa" w:w="1337"/>
          </w:tcPr>
          <w:p>
            <w:pPr>
              <w:spacing w:after="40"/>
            </w:pPr>
            <w:r/>
            <w:r>
              <w:rPr>
                <w:sz w:val="18"/>
              </w:rPr>
              <w:t>hard</w:t>
            </w:r>
          </w:p>
        </w:tc>
        <w:tc>
          <w:tcPr>
            <w:tcW w:type="dxa" w:w="1337"/>
          </w:tcPr>
          <w:p>
            <w:pPr>
              <w:spacing w:after="40"/>
            </w:pPr>
            <w:r/>
            <w:r>
              <w:rPr>
                <w:sz w:val="18"/>
              </w:rPr>
              <w:t>0.5951</w:t>
            </w:r>
          </w:p>
        </w:tc>
        <w:tc>
          <w:tcPr>
            <w:tcW w:type="dxa" w:w="1337"/>
          </w:tcPr>
          <w:p>
            <w:pPr>
              <w:spacing w:after="40"/>
            </w:pPr>
            <w:r/>
            <w:r>
              <w:rPr>
                <w:sz w:val="18"/>
              </w:rPr>
              <w:t>0.2391</w:t>
            </w:r>
          </w:p>
        </w:tc>
        <w:tc>
          <w:tcPr>
            <w:tcW w:type="dxa" w:w="1337"/>
          </w:tcPr>
          <w:p>
            <w:pPr>
              <w:spacing w:after="40"/>
            </w:pPr>
            <w:r/>
            <w:r>
              <w:rPr>
                <w:sz w:val="18"/>
              </w:rPr>
              <w:t>0.1627</w:t>
            </w:r>
          </w:p>
        </w:tc>
        <w:tc>
          <w:tcPr>
            <w:tcW w:type="dxa" w:w="1337"/>
          </w:tcPr>
          <w:p>
            <w:pPr>
              <w:spacing w:after="40"/>
            </w:pPr>
            <w:r/>
            <w:r>
              <w:rPr>
                <w:sz w:val="18"/>
              </w:rPr>
              <w:t>0.3411</w:t>
            </w:r>
          </w:p>
        </w:tc>
        <w:tc>
          <w:tcPr>
            <w:tcW w:type="dxa" w:w="1337"/>
          </w:tcPr>
          <w:p>
            <w:pPr>
              <w:spacing w:after="40"/>
            </w:pPr>
            <w:r/>
            <w:r>
              <w:rPr>
                <w:sz w:val="18"/>
              </w:rPr>
              <w:t>0.4611</w:t>
            </w:r>
          </w:p>
        </w:tc>
      </w:tr>
      <w:tr>
        <w:tc>
          <w:tcPr>
            <w:tcW w:type="dxa" w:w="1337"/>
          </w:tcPr>
          <w:p>
            <w:pPr>
              <w:spacing w:after="40"/>
            </w:pPr>
            <w:r/>
            <w:r>
              <w:rPr>
                <w:sz w:val="18"/>
              </w:rPr>
              <w:t>Isolation Forest</w:t>
            </w:r>
          </w:p>
        </w:tc>
        <w:tc>
          <w:tcPr>
            <w:tcW w:type="dxa" w:w="1337"/>
          </w:tcPr>
          <w:p>
            <w:pPr>
              <w:spacing w:after="40"/>
            </w:pPr>
            <w:r/>
            <w:r>
              <w:rPr>
                <w:sz w:val="18"/>
              </w:rPr>
              <w:t>easy</w:t>
            </w:r>
          </w:p>
        </w:tc>
        <w:tc>
          <w:tcPr>
            <w:tcW w:type="dxa" w:w="1337"/>
          </w:tcPr>
          <w:p>
            <w:pPr>
              <w:spacing w:after="40"/>
            </w:pPr>
            <w:r/>
            <w:r>
              <w:rPr>
                <w:sz w:val="18"/>
              </w:rPr>
              <w:t>0.3441</w:t>
            </w:r>
          </w:p>
        </w:tc>
        <w:tc>
          <w:tcPr>
            <w:tcW w:type="dxa" w:w="1337"/>
          </w:tcPr>
          <w:p>
            <w:pPr>
              <w:spacing w:after="40"/>
            </w:pPr>
            <w:r/>
            <w:r>
              <w:rPr>
                <w:sz w:val="18"/>
              </w:rPr>
              <w:t>0.3218</w:t>
            </w:r>
          </w:p>
        </w:tc>
        <w:tc>
          <w:tcPr>
            <w:tcW w:type="dxa" w:w="1337"/>
          </w:tcPr>
          <w:p>
            <w:pPr>
              <w:spacing w:after="40"/>
            </w:pPr>
            <w:r/>
            <w:r>
              <w:rPr>
                <w:sz w:val="18"/>
              </w:rPr>
              <w:t>0.1671</w:t>
            </w:r>
          </w:p>
        </w:tc>
        <w:tc>
          <w:tcPr>
            <w:tcW w:type="dxa" w:w="1337"/>
          </w:tcPr>
          <w:p>
            <w:pPr>
              <w:spacing w:after="40"/>
            </w:pPr>
            <w:r/>
            <w:r>
              <w:rPr>
                <w:sz w:val="18"/>
              </w:rPr>
              <w:t>0.3326</w:t>
            </w:r>
          </w:p>
        </w:tc>
        <w:tc>
          <w:tcPr>
            <w:tcW w:type="dxa" w:w="1337"/>
          </w:tcPr>
          <w:p>
            <w:pPr>
              <w:spacing w:after="40"/>
            </w:pPr>
            <w:r/>
            <w:r>
              <w:rPr>
                <w:sz w:val="18"/>
              </w:rPr>
              <w:t>0.5572</w:t>
            </w:r>
          </w:p>
        </w:tc>
      </w:tr>
      <w:tr>
        <w:tc>
          <w:tcPr>
            <w:tcW w:type="dxa" w:w="1337"/>
          </w:tcPr>
          <w:p>
            <w:pPr>
              <w:spacing w:after="40"/>
            </w:pPr>
            <w:r/>
            <w:r>
              <w:rPr>
                <w:sz w:val="18"/>
              </w:rPr>
              <w:t>Autoencoder</w:t>
            </w:r>
          </w:p>
        </w:tc>
        <w:tc>
          <w:tcPr>
            <w:tcW w:type="dxa" w:w="1337"/>
          </w:tcPr>
          <w:p>
            <w:pPr>
              <w:spacing w:after="40"/>
            </w:pPr>
            <w:r/>
            <w:r>
              <w:rPr>
                <w:sz w:val="18"/>
              </w:rPr>
              <w:t>hard</w:t>
            </w:r>
          </w:p>
        </w:tc>
        <w:tc>
          <w:tcPr>
            <w:tcW w:type="dxa" w:w="1337"/>
          </w:tcPr>
          <w:p>
            <w:pPr>
              <w:spacing w:after="40"/>
            </w:pPr>
            <w:r/>
            <w:r>
              <w:rPr>
                <w:sz w:val="18"/>
              </w:rPr>
              <w:t>0.8400</w:t>
            </w:r>
          </w:p>
        </w:tc>
        <w:tc>
          <w:tcPr>
            <w:tcW w:type="dxa" w:w="1337"/>
          </w:tcPr>
          <w:p>
            <w:pPr>
              <w:spacing w:after="40"/>
            </w:pPr>
            <w:r/>
            <w:r>
              <w:rPr>
                <w:sz w:val="18"/>
              </w:rPr>
              <w:t>0.2681</w:t>
            </w:r>
          </w:p>
        </w:tc>
        <w:tc>
          <w:tcPr>
            <w:tcW w:type="dxa" w:w="1337"/>
          </w:tcPr>
          <w:p>
            <w:pPr>
              <w:spacing w:after="40"/>
            </w:pPr>
            <w:r/>
            <w:r>
              <w:rPr>
                <w:sz w:val="18"/>
              </w:rPr>
              <w:t>0.0508</w:t>
            </w:r>
          </w:p>
        </w:tc>
        <w:tc>
          <w:tcPr>
            <w:tcW w:type="dxa" w:w="1337"/>
          </w:tcPr>
          <w:p>
            <w:pPr>
              <w:spacing w:after="40"/>
            </w:pPr>
            <w:r/>
            <w:r>
              <w:rPr>
                <w:sz w:val="18"/>
              </w:rPr>
              <w:t>0.4064</w:t>
            </w:r>
          </w:p>
        </w:tc>
        <w:tc>
          <w:tcPr>
            <w:tcW w:type="dxa" w:w="1337"/>
          </w:tcPr>
          <w:p>
            <w:pPr>
              <w:spacing w:after="40"/>
            </w:pPr>
            <w:r/>
            <w:r>
              <w:rPr>
                <w:sz w:val="18"/>
              </w:rPr>
              <w:t>0.7903</w:t>
            </w:r>
          </w:p>
        </w:tc>
      </w:tr>
    </w:tbl>
    <w:p>
      <w:pPr>
        <w:spacing w:after="80"/>
      </w:pPr>
    </w:p>
    <w:p>
      <w:r>
        <w:rPr>
          <w:i/>
        </w:rPr>
        <w:t>(XGBoost's Dataset B row still only has F1 recorded — precision/recall/FPR/ROC-AUC weren't kept in the tracker's one-line backfill summary. Same open item as Ch 8.2b's missing Dataset B FPR column.)</w:t>
      </w:r>
    </w:p>
    <w:p>
      <w:r>
        <w:rPr>
          <w:b/>
        </w:rPr>
        <w:t>Dataset B tells almost the opposite story from Dataset A on the supervised/unsupervised split</w:t>
      </w:r>
      <w:r>
        <w:t xml:space="preserve">: XGBoost and CNN both remain excellent (F1 0.994–1.00), but Isolation Forest and the Autoencoder are </w:t>
      </w:r>
      <w:r>
        <w:rPr>
          <w:i/>
        </w:rPr>
        <w:t>also</w:t>
      </w:r>
      <w:r>
        <w:t xml:space="preserve"> meaningfully better on B than on A (F1 0.34–0.41 vs. 0.10–0.04) even though neither clears a useful threshold. §8.1.2 and §8.1.4 dig into why the unsupervised gap is so much worse specifically on Dataset A.</w:t>
      </w:r>
    </w:p>
    <w:p>
      <w:pPr>
        <w:pStyle w:val="Heading2"/>
      </w:pPr>
      <w:r>
        <w:t>8.1.2 Per-subclass recall — heavy vs. light (Dataset 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model</w:t>
            </w:r>
          </w:p>
        </w:tc>
        <w:tc>
          <w:tcPr>
            <w:tcW w:type="dxa" w:w="1872"/>
          </w:tcPr>
          <w:p>
            <w:pPr>
              <w:spacing w:after="40"/>
            </w:pPr>
            <w:r/>
            <w:r>
              <w:rPr>
                <w:b/>
                <w:sz w:val="18"/>
              </w:rPr>
              <w:t>heavy_attack recall</w:t>
            </w:r>
          </w:p>
        </w:tc>
        <w:tc>
          <w:tcPr>
            <w:tcW w:type="dxa" w:w="1872"/>
          </w:tcPr>
          <w:p>
            <w:pPr>
              <w:spacing w:after="40"/>
            </w:pPr>
            <w:r/>
            <w:r>
              <w:rPr>
                <w:b/>
                <w:sz w:val="18"/>
              </w:rPr>
              <w:t>light_attack recall</w:t>
            </w:r>
          </w:p>
        </w:tc>
        <w:tc>
          <w:tcPr>
            <w:tcW w:type="dxa" w:w="1872"/>
          </w:tcPr>
          <w:p>
            <w:pPr>
              <w:spacing w:after="40"/>
            </w:pPr>
            <w:r/>
            <w:r>
              <w:rPr>
                <w:b/>
                <w:sz w:val="18"/>
              </w:rPr>
              <w:t>overall recall</w:t>
            </w:r>
          </w:p>
        </w:tc>
        <w:tc>
          <w:tcPr>
            <w:tcW w:type="dxa" w:w="1872"/>
          </w:tcPr>
          <w:p>
            <w:pPr>
              <w:spacing w:after="40"/>
            </w:pPr>
            <w:r/>
            <w:r>
              <w:rPr>
                <w:b/>
                <w:sz w:val="18"/>
              </w:rPr>
              <w:t>gap (heavy − light)</w:t>
            </w:r>
          </w:p>
        </w:tc>
      </w:tr>
      <w:tr>
        <w:tc>
          <w:tcPr>
            <w:tcW w:type="dxa" w:w="1872"/>
          </w:tcPr>
          <w:p>
            <w:pPr>
              <w:spacing w:after="40"/>
            </w:pPr>
            <w:r/>
            <w:r>
              <w:rPr>
                <w:sz w:val="18"/>
              </w:rPr>
              <w:t>XGBoost</w:t>
            </w:r>
          </w:p>
        </w:tc>
        <w:tc>
          <w:tcPr>
            <w:tcW w:type="dxa" w:w="1872"/>
          </w:tcPr>
          <w:p>
            <w:pPr>
              <w:spacing w:after="40"/>
            </w:pPr>
            <w:r/>
            <w:r>
              <w:rPr>
                <w:sz w:val="18"/>
              </w:rPr>
              <w:t>99.94% (62,881/62,918)</w:t>
            </w:r>
          </w:p>
        </w:tc>
        <w:tc>
          <w:tcPr>
            <w:tcW w:type="dxa" w:w="1872"/>
          </w:tcPr>
          <w:p>
            <w:pPr>
              <w:spacing w:after="40"/>
            </w:pPr>
            <w:r/>
            <w:r>
              <w:rPr>
                <w:sz w:val="18"/>
              </w:rPr>
              <w:t>99.95% (42,662/42,683)</w:t>
            </w:r>
          </w:p>
        </w:tc>
        <w:tc>
          <w:tcPr>
            <w:tcW w:type="dxa" w:w="1872"/>
          </w:tcPr>
          <w:p>
            <w:pPr>
              <w:spacing w:after="40"/>
            </w:pPr>
            <w:r/>
            <w:r>
              <w:rPr>
                <w:sz w:val="18"/>
              </w:rPr>
              <w:t>99.95%</w:t>
            </w:r>
          </w:p>
        </w:tc>
        <w:tc>
          <w:tcPr>
            <w:tcW w:type="dxa" w:w="1872"/>
          </w:tcPr>
          <w:p>
            <w:pPr>
              <w:spacing w:after="40"/>
            </w:pPr>
            <w:r/>
            <w:r>
              <w:rPr>
                <w:b/>
                <w:sz w:val="18"/>
              </w:rPr>
              <w:t>−0.01 pp</w:t>
            </w:r>
            <w:r>
              <w:rPr>
                <w:sz w:val="18"/>
              </w:rPr>
              <w:t xml:space="preserve"> (light marginally higher)</w:t>
            </w:r>
          </w:p>
        </w:tc>
      </w:tr>
      <w:tr>
        <w:tc>
          <w:tcPr>
            <w:tcW w:type="dxa" w:w="1872"/>
          </w:tcPr>
          <w:p>
            <w:pPr>
              <w:spacing w:after="40"/>
            </w:pPr>
            <w:r/>
            <w:r>
              <w:rPr>
                <w:sz w:val="18"/>
              </w:rPr>
              <w:t>CNN</w:t>
            </w:r>
          </w:p>
        </w:tc>
        <w:tc>
          <w:tcPr>
            <w:tcW w:type="dxa" w:w="1872"/>
          </w:tcPr>
          <w:p>
            <w:pPr>
              <w:spacing w:after="40"/>
            </w:pPr>
            <w:r/>
            <w:r>
              <w:rPr>
                <w:sz w:val="18"/>
              </w:rPr>
              <w:t>99.79% (62,784/62,918)</w:t>
            </w:r>
          </w:p>
        </w:tc>
        <w:tc>
          <w:tcPr>
            <w:tcW w:type="dxa" w:w="1872"/>
          </w:tcPr>
          <w:p>
            <w:pPr>
              <w:spacing w:after="40"/>
            </w:pPr>
            <w:r/>
            <w:r>
              <w:rPr>
                <w:sz w:val="18"/>
              </w:rPr>
              <w:t>99.87% (42,629/42,683)</w:t>
            </w:r>
          </w:p>
        </w:tc>
        <w:tc>
          <w:tcPr>
            <w:tcW w:type="dxa" w:w="1872"/>
          </w:tcPr>
          <w:p>
            <w:pPr>
              <w:spacing w:after="40"/>
            </w:pPr>
            <w:r/>
            <w:r>
              <w:rPr>
                <w:sz w:val="18"/>
              </w:rPr>
              <w:t>99.82%</w:t>
            </w:r>
          </w:p>
        </w:tc>
        <w:tc>
          <w:tcPr>
            <w:tcW w:type="dxa" w:w="1872"/>
          </w:tcPr>
          <w:p>
            <w:pPr>
              <w:spacing w:after="40"/>
            </w:pPr>
            <w:r/>
            <w:r>
              <w:rPr>
                <w:b/>
                <w:sz w:val="18"/>
              </w:rPr>
              <w:t>−0.08 pp</w:t>
            </w:r>
            <w:r>
              <w:rPr>
                <w:sz w:val="18"/>
              </w:rPr>
              <w:t xml:space="preserve"> (light marginally higher)</w:t>
            </w:r>
          </w:p>
        </w:tc>
      </w:tr>
      <w:tr>
        <w:tc>
          <w:tcPr>
            <w:tcW w:type="dxa" w:w="1872"/>
          </w:tcPr>
          <w:p>
            <w:pPr>
              <w:spacing w:after="40"/>
            </w:pPr>
            <w:r/>
            <w:r>
              <w:rPr>
                <w:sz w:val="18"/>
              </w:rPr>
              <w:t>Isolation Forest</w:t>
            </w:r>
          </w:p>
        </w:tc>
        <w:tc>
          <w:tcPr>
            <w:tcW w:type="dxa" w:w="1872"/>
          </w:tcPr>
          <w:p>
            <w:pPr>
              <w:spacing w:after="40"/>
            </w:pPr>
            <w:r/>
            <w:r>
              <w:rPr>
                <w:sz w:val="18"/>
              </w:rPr>
              <w:t>7.57% (4,764/62,918)</w:t>
            </w:r>
          </w:p>
        </w:tc>
        <w:tc>
          <w:tcPr>
            <w:tcW w:type="dxa" w:w="1872"/>
          </w:tcPr>
          <w:p>
            <w:pPr>
              <w:spacing w:after="40"/>
            </w:pPr>
            <w:r/>
            <w:r>
              <w:rPr>
                <w:sz w:val="18"/>
              </w:rPr>
              <w:t>7.26% (3,099/42,683)</w:t>
            </w:r>
          </w:p>
        </w:tc>
        <w:tc>
          <w:tcPr>
            <w:tcW w:type="dxa" w:w="1872"/>
          </w:tcPr>
          <w:p>
            <w:pPr>
              <w:spacing w:after="40"/>
            </w:pPr>
            <w:r/>
            <w:r>
              <w:rPr>
                <w:sz w:val="18"/>
              </w:rPr>
              <w:t>7.45%</w:t>
            </w:r>
          </w:p>
        </w:tc>
        <w:tc>
          <w:tcPr>
            <w:tcW w:type="dxa" w:w="1872"/>
          </w:tcPr>
          <w:p>
            <w:pPr>
              <w:spacing w:after="40"/>
            </w:pPr>
            <w:r/>
            <w:r>
              <w:rPr>
                <w:sz w:val="18"/>
              </w:rPr>
              <w:t>+0.31 pp</w:t>
            </w:r>
          </w:p>
        </w:tc>
      </w:tr>
      <w:tr>
        <w:tc>
          <w:tcPr>
            <w:tcW w:type="dxa" w:w="1872"/>
          </w:tcPr>
          <w:p>
            <w:pPr>
              <w:spacing w:after="40"/>
            </w:pPr>
            <w:r/>
            <w:r>
              <w:rPr>
                <w:sz w:val="18"/>
              </w:rPr>
              <w:t>Autoencoder</w:t>
            </w:r>
          </w:p>
        </w:tc>
        <w:tc>
          <w:tcPr>
            <w:tcW w:type="dxa" w:w="1872"/>
          </w:tcPr>
          <w:p>
            <w:pPr>
              <w:spacing w:after="40"/>
            </w:pPr>
            <w:r/>
            <w:r>
              <w:rPr>
                <w:sz w:val="18"/>
              </w:rPr>
              <w:t>2.41% (1,516/62,918)</w:t>
            </w:r>
          </w:p>
        </w:tc>
        <w:tc>
          <w:tcPr>
            <w:tcW w:type="dxa" w:w="1872"/>
          </w:tcPr>
          <w:p>
            <w:pPr>
              <w:spacing w:after="40"/>
            </w:pPr>
            <w:r/>
            <w:r>
              <w:rPr>
                <w:sz w:val="18"/>
              </w:rPr>
              <w:t>2.24% (954/42,683)</w:t>
            </w:r>
          </w:p>
        </w:tc>
        <w:tc>
          <w:tcPr>
            <w:tcW w:type="dxa" w:w="1872"/>
          </w:tcPr>
          <w:p>
            <w:pPr>
              <w:spacing w:after="40"/>
            </w:pPr>
            <w:r/>
            <w:r>
              <w:rPr>
                <w:sz w:val="18"/>
              </w:rPr>
              <w:t>2.34%</w:t>
            </w:r>
          </w:p>
        </w:tc>
        <w:tc>
          <w:tcPr>
            <w:tcW w:type="dxa" w:w="1872"/>
          </w:tcPr>
          <w:p>
            <w:pPr>
              <w:spacing w:after="40"/>
            </w:pPr>
            <w:r/>
            <w:r>
              <w:rPr>
                <w:sz w:val="18"/>
              </w:rPr>
              <w:t>+0.17 pp</w:t>
            </w:r>
          </w:p>
        </w:tc>
      </w:tr>
    </w:tbl>
    <w:p>
      <w:pPr>
        <w:spacing w:after="80"/>
      </w:pPr>
    </w:p>
    <w:p>
      <w:r>
        <w:rPr>
          <w:b/>
        </w:rPr>
        <w:t>All four models tell the same story on the heavy-vs-light question, now with a real CNN result replacing the LogReg stand-in: there is no meaningful heavy/light recall gap on Dataset A, in either direction, for any model tested.</w:t>
      </w:r>
      <w:r>
        <w:t xml:space="preserve"> This is now confirmed a fourth independent way (two supervised architectures, two unsupervised architectures), and continues to confirm Chapter 3's finding that light and heavy attacks sit at statistically equal distance from benign on Dataset A's F1–F3 features (§3.5) — the light-class-blind- spot hypothesis from Chapter 2 does not hold on this dataset, on these features, under any of the four architectures tested.</w:t>
      </w:r>
    </w:p>
    <w:p>
      <w:pPr>
        <w:pStyle w:val="Heading2"/>
      </w:pPr>
      <w:r>
        <w:t>8.1.3 False negative / false positive forensics</w:t>
      </w:r>
    </w:p>
    <w:p>
      <w:r>
        <w:t xml:space="preserve">Pulled </w:t>
      </w:r>
      <w:r>
        <w:rPr>
          <w:rFonts w:ascii="Consolas" w:hAnsi="Consolas"/>
          <w:sz w:val="20"/>
        </w:rPr>
        <w:t>sld</w:t>
      </w:r>
      <w:r>
        <w:t xml:space="preserve"> for interpretability only, never as a feature, same discipline throughout.</w:t>
      </w:r>
    </w:p>
    <w:p>
      <w:r>
        <w:rPr>
          <w:b/>
        </w:rPr>
        <w:t>XGBoost</w:t>
      </w:r>
      <w:r>
        <w:t xml:space="preserve"> (Step 3A, </w:t>
      </w:r>
      <w:r>
        <w:rPr>
          <w:rFonts w:ascii="Consolas" w:hAnsi="Consolas"/>
          <w:sz w:val="20"/>
        </w:rPr>
        <w:t>runs/metrics/error_analysis_xgboost_exf2021.json</w:t>
      </w:r>
      <w:r>
        <w:t>):</w:t>
      </w:r>
    </w:p>
    <w:p>
      <w:pPr>
        <w:pStyle w:val="ListBullet"/>
      </w:pPr>
      <w:r>
        <w:rPr>
          <w:b/>
        </w:rPr>
        <w:t>Confident false negatives</w:t>
      </w:r>
      <w:r>
        <w:t xml:space="preserve">: </w:t>
      </w:r>
      <w:r>
        <w:rPr>
          <w:rFonts w:ascii="Consolas" w:hAnsi="Consolas"/>
          <w:sz w:val="20"/>
        </w:rPr>
        <w:t>msftncsi</w:t>
      </w:r>
      <w:r>
        <w:t xml:space="preserve">, </w:t>
      </w:r>
      <w:r>
        <w:rPr>
          <w:rFonts w:ascii="Consolas" w:hAnsi="Consolas"/>
          <w:sz w:val="20"/>
        </w:rPr>
        <w:t>gstatic</w:t>
      </w:r>
      <w:r>
        <w:t xml:space="preserve">, </w:t>
      </w:r>
      <w:r>
        <w:rPr>
          <w:rFonts w:ascii="Consolas" w:hAnsi="Consolas"/>
          <w:sz w:val="20"/>
        </w:rPr>
        <w:t>googleapis</w:t>
      </w:r>
      <w:r>
        <w:t xml:space="preserve">, </w:t>
      </w:r>
      <w:r>
        <w:rPr>
          <w:rFonts w:ascii="Consolas" w:hAnsi="Consolas"/>
          <w:sz w:val="20"/>
        </w:rPr>
        <w:t>office</w:t>
      </w:r>
      <w:r>
        <w:t xml:space="preserve">, </w:t>
      </w:r>
      <w:r>
        <w:rPr>
          <w:rFonts w:ascii="Consolas" w:hAnsi="Consolas"/>
          <w:sz w:val="20"/>
        </w:rPr>
        <w:t>wireshark</w:t>
      </w:r>
      <w:r>
        <w:t xml:space="preserve"> — well-known</w:t>
      </w:r>
    </w:p>
    <w:p>
      <w:r>
        <w:t xml:space="preserve">  Microsoft/Google service domains, exactly the kind of ubiquitous, trusted-looking name an attacker would   deliberately pick to camouflage a channel. Both subclasses appear here.</w:t>
      </w:r>
    </w:p>
    <w:p>
      <w:pPr>
        <w:pStyle w:val="ListBullet"/>
      </w:pPr>
      <w:r>
        <w:rPr>
          <w:b/>
        </w:rPr>
        <w:t>Confident false positives</w:t>
      </w:r>
      <w:r>
        <w:t xml:space="preserve">: </w:t>
      </w:r>
      <w:r>
        <w:rPr>
          <w:rFonts w:ascii="Consolas" w:hAnsi="Consolas"/>
          <w:sz w:val="20"/>
        </w:rPr>
        <w:t>microsoft</w:t>
      </w:r>
      <w:r>
        <w:t xml:space="preserve">, </w:t>
      </w:r>
      <w:r>
        <w:rPr>
          <w:rFonts w:ascii="Consolas" w:hAnsi="Consolas"/>
          <w:sz w:val="20"/>
        </w:rPr>
        <w:t>windows</w:t>
      </w:r>
      <w:r>
        <w:t xml:space="preserve">, </w:t>
      </w:r>
      <w:r>
        <w:rPr>
          <w:rFonts w:ascii="Consolas" w:hAnsi="Consolas"/>
          <w:sz w:val="20"/>
        </w:rPr>
        <w:t>192</w:t>
      </w:r>
      <w:r>
        <w:t xml:space="preserve"> (numeric/IP-shaped), </w:t>
      </w:r>
      <w:r>
        <w:rPr>
          <w:rFonts w:ascii="Consolas" w:hAnsi="Consolas"/>
          <w:sz w:val="20"/>
        </w:rPr>
        <w:t>atester</w:t>
      </w:r>
      <w:r>
        <w:t>.</w:t>
      </w:r>
    </w:p>
    <w:p>
      <w:r>
        <w:rPr>
          <w:b/>
        </w:rPr>
        <w:t>CNN</w:t>
      </w:r>
      <w:r>
        <w:t xml:space="preserve"> (new today, </w:t>
      </w:r>
      <w:r>
        <w:rPr>
          <w:rFonts w:ascii="Consolas" w:hAnsi="Consolas"/>
          <w:sz w:val="20"/>
        </w:rPr>
        <w:t>runs/metrics/error_analysis_cnn_exf2021.json</w:t>
      </w:r>
      <w:r>
        <w:t>):</w:t>
      </w:r>
    </w:p>
    <w:p>
      <w:pPr>
        <w:pStyle w:val="ListBullet"/>
      </w:pPr>
      <w:r>
        <w:rPr>
          <w:b/>
        </w:rPr>
        <w:t>Confident false negatives</w:t>
      </w:r>
      <w:r>
        <w:t xml:space="preserve">: </w:t>
      </w:r>
      <w:r>
        <w:rPr>
          <w:rFonts w:ascii="Consolas" w:hAnsi="Consolas"/>
          <w:sz w:val="20"/>
        </w:rPr>
        <w:t>bing</w:t>
      </w:r>
      <w:r>
        <w:t xml:space="preserve"> (4 of the top 8), </w:t>
      </w:r>
      <w:r>
        <w:rPr>
          <w:rFonts w:ascii="Consolas" w:hAnsi="Consolas"/>
          <w:sz w:val="20"/>
        </w:rPr>
        <w:t>microsoft</w:t>
      </w:r>
      <w:r>
        <w:t xml:space="preserve"> (×2), </w:t>
      </w:r>
      <w:r>
        <w:rPr>
          <w:rFonts w:ascii="Consolas" w:hAnsi="Consolas"/>
          <w:sz w:val="20"/>
        </w:rPr>
        <w:t>gstatic</w:t>
      </w:r>
      <w:r>
        <w:t xml:space="preserve"> — the same</w:t>
      </w:r>
    </w:p>
    <w:p>
      <w:r>
        <w:t xml:space="preserve">  trusted-service-name camouflage pattern XGBoost's FNs already showed, with </w:t>
      </w:r>
      <w:r>
        <w:rPr>
          <w:rFonts w:ascii="Consolas" w:hAnsi="Consolas"/>
          <w:sz w:val="20"/>
        </w:rPr>
        <w:t>microsoft</w:t>
      </w:r>
      <w:r>
        <w:t>/</w:t>
      </w:r>
      <w:r>
        <w:rPr>
          <w:rFonts w:ascii="Consolas" w:hAnsi="Consolas"/>
          <w:sz w:val="20"/>
        </w:rPr>
        <w:t>gstatic</w:t>
      </w:r>
      <w:r>
        <w:t xml:space="preserve">   appearing in </w:t>
      </w:r>
      <w:r>
        <w:rPr>
          <w:b/>
        </w:rPr>
        <w:t>both</w:t>
      </w:r>
      <w:r>
        <w:t xml:space="preserve"> models' confident-FN lists — a second independent architecture converging on the   same camouflage domains as its most-confident mistakes.</w:t>
      </w:r>
    </w:p>
    <w:p>
      <w:pPr>
        <w:pStyle w:val="ListBullet"/>
      </w:pPr>
      <w:r>
        <w:rPr>
          <w:b/>
        </w:rPr>
        <w:t>Confident false positives</w:t>
      </w:r>
      <w:r>
        <w:t xml:space="preserve">: </w:t>
      </w:r>
      <w:r>
        <w:rPr>
          <w:rFonts w:ascii="Consolas" w:hAnsi="Consolas"/>
          <w:sz w:val="20"/>
        </w:rPr>
        <w:t>atester</w:t>
      </w:r>
      <w:r>
        <w:t xml:space="preserve"> and </w:t>
      </w:r>
      <w:r>
        <w:rPr>
          <w:rFonts w:ascii="Consolas" w:hAnsi="Consolas"/>
          <w:sz w:val="20"/>
        </w:rPr>
        <w:t>local</w:t>
      </w:r>
      <w:r>
        <w:t xml:space="preserve"> (both also in XGBoost's FP list — see §8.1.4's</w:t>
      </w:r>
    </w:p>
    <w:p>
      <w:r>
        <w:t xml:space="preserve">  near-total FP overlap between the two supervised models), plus a genuinely new pattern XGBoost's own FP   list did not surface: four of the CNN's top 8 false positives are long NetBIOS-style encoded strings   (</w:t>
      </w:r>
      <w:r>
        <w:rPr>
          <w:rFonts w:ascii="Consolas" w:hAnsi="Consolas"/>
          <w:sz w:val="20"/>
        </w:rPr>
        <w:t>FHEPFCELEHFCEPFFFACACACACACACABN</w:t>
      </w:r>
      <w:r>
        <w:t xml:space="preserve">, </w:t>
      </w:r>
      <w:r>
        <w:rPr>
          <w:rFonts w:ascii="Consolas" w:hAnsi="Consolas"/>
          <w:sz w:val="20"/>
        </w:rPr>
        <w:t>EEEFFDELFEEPFACNDDEKEGDADEFEEDBM</w:t>
      </w:r>
      <w:r>
        <w:t xml:space="preserve">, </w:t>
      </w:r>
      <w:r>
        <w:rPr>
          <w:rFonts w:ascii="Consolas" w:hAnsi="Consolas"/>
          <w:sz w:val="20"/>
        </w:rPr>
        <w:t>EGEDECENEBEBEIFEFCEKEDFCEBCACAAA</w:t>
      </w:r>
      <w:r>
        <w:t>)   — legitimate NetBIOS-over-TCP/IP name-resolution traffic, which encodes hostnames into a half-ASCII   scheme that is structurally dense and high-entropy-looking by design, for reasons that have nothing to   do with exfiltration. This is a plausible, specific explanation for part of the CNN's FPR: a convolution   over F2/F3 (randomness/structural-complexity) features is exactly the kind of model that would treat   "looks encoded" as attack-like, and legitimate NetBIOS names genuinely do look encoded.</w:t>
      </w:r>
    </w:p>
    <w:p>
      <w:r>
        <w:rPr>
          <w:b/>
        </w:rPr>
        <w:t>Isolation Forest</w:t>
      </w:r>
      <w:r>
        <w:t xml:space="preserve"> (</w:t>
      </w:r>
      <w:r>
        <w:rPr>
          <w:rFonts w:ascii="Consolas" w:hAnsi="Consolas"/>
          <w:sz w:val="20"/>
        </w:rPr>
        <w:t>runs/metrics/error_analysis_isoforest_exf2021.json</w:t>
      </w:r>
      <w:r>
        <w:t>):</w:t>
      </w:r>
    </w:p>
    <w:p>
      <w:pPr>
        <w:pStyle w:val="ListBullet"/>
      </w:pPr>
      <w:r>
        <w:rPr>
          <w:b/>
        </w:rPr>
        <w:t>Confident false negatives</w:t>
      </w:r>
      <w:r>
        <w:t xml:space="preserve">: every one of the top 8 has </w:t>
      </w:r>
      <w:r>
        <w:rPr>
          <w:rFonts w:ascii="Consolas" w:hAnsi="Consolas"/>
          <w:sz w:val="20"/>
        </w:rPr>
        <w:t>sld = "192"</w:t>
      </w:r>
      <w:r>
        <w:t xml:space="preserve"> — a numeric/IP-shaped</w:t>
      </w:r>
    </w:p>
    <w:p>
      <w:r>
        <w:t xml:space="preserve">  subdomain, the same pattern that showed up in XGBoost's false-</w:t>
      </w:r>
      <w:r>
        <w:rPr>
          <w:i/>
        </w:rPr>
        <w:t>positive</w:t>
      </w:r>
      <w:r>
        <w:t xml:space="preserve"> list, now on the opposite side   of a different model's error. Spans both subclasses.</w:t>
      </w:r>
    </w:p>
    <w:p>
      <w:pPr>
        <w:pStyle w:val="ListBullet"/>
      </w:pPr>
      <w:r>
        <w:rPr>
          <w:b/>
        </w:rPr>
        <w:t>Confident false positives</w:t>
      </w:r>
      <w:r>
        <w:t xml:space="preserve">: </w:t>
      </w:r>
      <w:r>
        <w:rPr>
          <w:rFonts w:ascii="Consolas" w:hAnsi="Consolas"/>
          <w:sz w:val="20"/>
        </w:rPr>
        <w:t>gov</w:t>
      </w:r>
      <w:r>
        <w:t xml:space="preserve">, </w:t>
      </w:r>
      <w:r>
        <w:rPr>
          <w:rFonts w:ascii="Consolas" w:hAnsi="Consolas"/>
          <w:sz w:val="20"/>
        </w:rPr>
        <w:t>microsoft</w:t>
      </w:r>
      <w:r>
        <w:t xml:space="preserve"> (×4), </w:t>
      </w:r>
      <w:r>
        <w:rPr>
          <w:rFonts w:ascii="Consolas" w:hAnsi="Consolas"/>
          <w:sz w:val="20"/>
        </w:rPr>
        <w:t>local</w:t>
      </w:r>
      <w:r>
        <w:t xml:space="preserve">, </w:t>
      </w:r>
      <w:r>
        <w:rPr>
          <w:rFonts w:ascii="Consolas" w:hAnsi="Consolas"/>
          <w:sz w:val="20"/>
        </w:rPr>
        <w:t>wordpress</w:t>
      </w:r>
      <w:r>
        <w:t xml:space="preserve">, </w:t>
      </w:r>
      <w:r>
        <w:rPr>
          <w:rFonts w:ascii="Consolas" w:hAnsi="Consolas"/>
          <w:sz w:val="20"/>
        </w:rPr>
        <w:t>blogspot</w:t>
      </w:r>
      <w:r>
        <w:t xml:space="preserve">. </w:t>
      </w:r>
      <w:r>
        <w:rPr>
          <w:rFonts w:ascii="Consolas" w:hAnsi="Consolas"/>
          <w:sz w:val="20"/>
        </w:rPr>
        <w:t>microsoft</w:t>
      </w:r>
    </w:p>
    <w:p>
      <w:r>
        <w:t xml:space="preserve">  and </w:t>
      </w:r>
      <w:r>
        <w:rPr>
          <w:rFonts w:ascii="Consolas" w:hAnsi="Consolas"/>
          <w:sz w:val="20"/>
        </w:rPr>
        <w:t>local</w:t>
      </w:r>
      <w:r>
        <w:t xml:space="preserve"> both also appear in the CNN's and/or XGBoost's FP lists — see §8.1.4.</w:t>
      </w:r>
    </w:p>
    <w:p>
      <w:r>
        <w:rPr>
          <w:b/>
        </w:rPr>
        <w:t>Autoencoder</w:t>
      </w:r>
      <w:r>
        <w:t xml:space="preserve"> (new today, </w:t>
      </w:r>
      <w:r>
        <w:rPr>
          <w:rFonts w:ascii="Consolas" w:hAnsi="Consolas"/>
          <w:sz w:val="20"/>
        </w:rPr>
        <w:t>runs/metrics/error_analysis_autoencoder_exf2021.json</w:t>
      </w:r>
      <w:r>
        <w:t>):</w:t>
      </w:r>
    </w:p>
    <w:p>
      <w:pPr>
        <w:pStyle w:val="ListBullet"/>
      </w:pPr>
      <w:r>
        <w:rPr>
          <w:b/>
        </w:rPr>
        <w:t>Confident false negatives</w:t>
      </w:r>
      <w:r>
        <w:t xml:space="preserve">: every one of the top 8 has </w:t>
      </w:r>
      <w:r>
        <w:rPr>
          <w:rFonts w:ascii="Consolas" w:hAnsi="Consolas"/>
          <w:sz w:val="20"/>
        </w:rPr>
        <w:t>sld = "224"</w:t>
      </w:r>
      <w:r>
        <w:t xml:space="preserve"> — the </w:t>
      </w:r>
      <w:r>
        <w:rPr>
          <w:i/>
        </w:rPr>
        <w:t>same</w:t>
      </w:r>
      <w:r>
        <w:t xml:space="preserve"> numeric/IP-shaped</w:t>
      </w:r>
    </w:p>
    <w:p>
      <w:r>
        <w:t xml:space="preserve">  pattern Isolation Forest's top false negatives showed (there, </w:t>
      </w:r>
      <w:r>
        <w:rPr>
          <w:rFonts w:ascii="Consolas" w:hAnsi="Consolas"/>
          <w:sz w:val="20"/>
        </w:rPr>
        <w:t>sld = "192"</w:t>
      </w:r>
      <w:r>
        <w:t xml:space="preserve">; here, </w:t>
      </w:r>
      <w:r>
        <w:rPr>
          <w:rFonts w:ascii="Consolas" w:hAnsi="Consolas"/>
          <w:sz w:val="20"/>
        </w:rPr>
        <w:t>sld = "224"</w:t>
      </w:r>
      <w:r>
        <w:t xml:space="preserve"> — not   the identical value, but the identical </w:t>
      </w:r>
      <w:r>
        <w:rPr>
          <w:i/>
        </w:rPr>
        <w:t>shape</w:t>
      </w:r>
      <w:r>
        <w:t xml:space="preserve">). </w:t>
      </w:r>
      <w:r>
        <w:rPr>
          <w:b/>
        </w:rPr>
        <w:t>Two independent unsupervised architectures now each   have their single most-confident false-negative pattern be a numeric-looking subdomain</w:t>
      </w:r>
      <w:r>
        <w:t xml:space="preserve">, strong,   triangulated evidence that numeric-shaped </w:t>
      </w:r>
      <w:r>
        <w:rPr>
          <w:rFonts w:ascii="Consolas" w:hAnsi="Consolas"/>
          <w:sz w:val="20"/>
        </w:rPr>
        <w:t>sld</w:t>
      </w:r>
      <w:r>
        <w:t xml:space="preserve"> values read as "unremarkable" to density/reconstruction-   based detectors specifically, regardless of the underlying algorithm.</w:t>
      </w:r>
    </w:p>
    <w:p>
      <w:pPr>
        <w:pStyle w:val="ListBullet"/>
      </w:pPr>
      <w:r>
        <w:rPr>
          <w:b/>
        </w:rPr>
        <w:t>Confident false positives</w:t>
      </w:r>
      <w:r>
        <w:t xml:space="preserve">: </w:t>
      </w:r>
      <w:r>
        <w:rPr>
          <w:rFonts w:ascii="Consolas" w:hAnsi="Consolas"/>
          <w:sz w:val="20"/>
        </w:rPr>
        <w:t>town</w:t>
      </w:r>
      <w:r>
        <w:t xml:space="preserve"> (×3), </w:t>
      </w:r>
      <w:r>
        <w:rPr>
          <w:rFonts w:ascii="Consolas" w:hAnsi="Consolas"/>
          <w:sz w:val="20"/>
        </w:rPr>
        <w:t>city</w:t>
      </w:r>
      <w:r>
        <w:t xml:space="preserve">, </w:t>
      </w:r>
      <w:r>
        <w:rPr>
          <w:rFonts w:ascii="Consolas" w:hAnsi="Consolas"/>
          <w:sz w:val="20"/>
        </w:rPr>
        <w:t>gov</w:t>
      </w:r>
      <w:r>
        <w:t xml:space="preserve">, </w:t>
      </w:r>
      <w:r>
        <w:rPr>
          <w:rFonts w:ascii="Consolas" w:hAnsi="Consolas"/>
          <w:sz w:val="20"/>
        </w:rPr>
        <w:t>112</w:t>
      </w:r>
      <w:r>
        <w:t xml:space="preserve"> (numeric-shaped — notably on the</w:t>
      </w:r>
    </w:p>
    <w:p>
      <w:r>
        <w:t xml:space="preserve">  opposite side from the FN pattern above, a reminder real data does not always fit a single clean   narrative), </w:t>
      </w:r>
      <w:r>
        <w:rPr>
          <w:rFonts w:ascii="Consolas" w:hAnsi="Consolas"/>
          <w:sz w:val="20"/>
        </w:rPr>
        <w:t>lww</w:t>
      </w:r>
      <w:r>
        <w:t xml:space="preserve">, </w:t>
      </w:r>
      <w:r>
        <w:rPr>
          <w:rFonts w:ascii="Consolas" w:hAnsi="Consolas"/>
          <w:sz w:val="20"/>
        </w:rPr>
        <w:t>blogspot</w:t>
      </w:r>
      <w:r>
        <w:t xml:space="preserve">. </w:t>
      </w:r>
      <w:r>
        <w:rPr>
          <w:rFonts w:ascii="Consolas" w:hAnsi="Consolas"/>
          <w:sz w:val="20"/>
        </w:rPr>
        <w:t>gov</w:t>
      </w:r>
      <w:r>
        <w:t xml:space="preserve"> and </w:t>
      </w:r>
      <w:r>
        <w:rPr>
          <w:rFonts w:ascii="Consolas" w:hAnsi="Consolas"/>
          <w:sz w:val="20"/>
        </w:rPr>
        <w:t>blogspot</w:t>
      </w:r>
      <w:r>
        <w:t xml:space="preserve"> both also appear in Isolation Forest's FP list.</w:t>
      </w:r>
    </w:p>
    <w:p>
      <w:r>
        <w:rPr>
          <w:b/>
        </w:rPr>
        <w:t>Cross-model narrative, now with four models' worth of evidence:</w:t>
      </w:r>
      <w:r>
        <w:t xml:space="preserve"> </w:t>
      </w:r>
      <w:r>
        <w:rPr>
          <w:rFonts w:ascii="Consolas" w:hAnsi="Consolas"/>
          <w:sz w:val="20"/>
        </w:rPr>
        <w:t>microsoft</w:t>
      </w:r>
      <w:r>
        <w:t xml:space="preserve"> appears in the confident-FP lists of </w:t>
      </w:r>
      <w:r>
        <w:rPr>
          <w:b/>
        </w:rPr>
        <w:t>three of four</w:t>
      </w:r>
      <w:r>
        <w:t xml:space="preserve"> models (XGBoost, CNN, Isolation Forest); </w:t>
      </w:r>
      <w:r>
        <w:rPr>
          <w:rFonts w:ascii="Consolas" w:hAnsi="Consolas"/>
          <w:sz w:val="20"/>
        </w:rPr>
        <w:t>atester</w:t>
      </w:r>
      <w:r>
        <w:t>/</w:t>
      </w:r>
      <w:r>
        <w:rPr>
          <w:rFonts w:ascii="Consolas" w:hAnsi="Consolas"/>
          <w:sz w:val="20"/>
        </w:rPr>
        <w:t>local</w:t>
      </w:r>
      <w:r>
        <w:t xml:space="preserve"> link XGBoost and CNN specifically (the two supervised models); numeric-shaped </w:t>
      </w:r>
      <w:r>
        <w:rPr>
          <w:rFonts w:ascii="Consolas" w:hAnsi="Consolas"/>
          <w:sz w:val="20"/>
        </w:rPr>
        <w:t>sld</w:t>
      </w:r>
      <w:r>
        <w:t xml:space="preserve"> values appear on </w:t>
      </w:r>
      <w:r>
        <w:rPr>
          <w:i/>
        </w:rPr>
        <w:t>both</w:t>
      </w:r>
      <w:r>
        <w:t xml:space="preserve"> sides of the confusion matrix depending on which kind of model is looking at them — false positives for the supervised models (XGBoost's </w:t>
      </w:r>
      <w:r>
        <w:rPr>
          <w:rFonts w:ascii="Consolas" w:hAnsi="Consolas"/>
          <w:sz w:val="20"/>
        </w:rPr>
        <w:t>192</w:t>
      </w:r>
      <w:r>
        <w:t xml:space="preserve">), false negatives for the unsupervised ones (Isolation Forest's </w:t>
      </w:r>
      <w:r>
        <w:rPr>
          <w:rFonts w:ascii="Consolas" w:hAnsi="Consolas"/>
          <w:sz w:val="20"/>
        </w:rPr>
        <w:t>192</w:t>
      </w:r>
      <w:r>
        <w:t xml:space="preserve">, the Autoencoder's </w:t>
      </w:r>
      <w:r>
        <w:rPr>
          <w:rFonts w:ascii="Consolas" w:hAnsi="Consolas"/>
          <w:sz w:val="20"/>
        </w:rPr>
        <w:t>224</w:t>
      </w:r>
      <w:r>
        <w:t>). The same superficial feature (a numeric-looking hostname label) reads as suspicious to a decision boundary trained to associate structural weirdness with attack, and as unremarkable to a density/reconstruction method that has no attack examples to learn from and instead measures "how unusual does this look relative to the bulk of the data" — two opposite verdicts from the same superficial cue, depending entirely on which side of the supervised/unsupervised split the model sits.</w:t>
      </w:r>
    </w:p>
    <w:p>
      <w:pPr>
        <w:pStyle w:val="Heading2"/>
      </w:pPr>
      <w:r>
        <w:t>8.1.4 Cross-model failure comparison</w:t>
      </w:r>
    </w:p>
    <w:p>
      <w:r>
        <w:t xml:space="preserve">Every pairwise comparison across all four Dataset-A models, all reported against a </w:t>
      </w:r>
      <w:r>
        <w:rPr>
          <w:b/>
        </w:rPr>
        <w:t>chance baseline</w:t>
      </w:r>
      <w:r>
        <w:t xml:space="preserve"> — the overlap expected if the two models' errors were statistically independent, computed as </w:t>
      </w:r>
      <w:r>
        <w:rPr>
          <w:rFonts w:ascii="Consolas" w:hAnsi="Consolas"/>
          <w:sz w:val="20"/>
        </w:rPr>
        <w:t>n_model_a × (n_model_b / N)</w:t>
      </w:r>
      <w:r>
        <w:t xml:space="preserve"> where </w:t>
      </w:r>
      <w:r>
        <w:rPr>
          <w:rFonts w:ascii="Consolas" w:hAnsi="Consolas"/>
          <w:sz w:val="20"/>
        </w:rPr>
        <w:t>N</w:t>
      </w:r>
      <w:r>
        <w:t xml:space="preserve"> is the total attack count (105,601) for false negatives or the total benign count (115,714) for false positives. A raw overlap fraction alone does not distinguish "these models fail for a related reason" from "these models both fail on a lot of rows, so some overlap is inevitable" — exactly the same discipline as this report's large-</w:t>
      </w:r>
      <w:r>
        <w:rPr>
          <w:i/>
        </w:rPr>
        <w:t>n</w:t>
      </w:r>
      <w:r>
        <w:t xml:space="preserve"> p-value caveat (§3.3).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
              <w:rPr>
                <w:b/>
                <w:sz w:val="18"/>
              </w:rPr>
              <w:t>pair</w:t>
            </w:r>
          </w:p>
        </w:tc>
        <w:tc>
          <w:tcPr>
            <w:tcW w:type="dxa" w:w="1872"/>
          </w:tcPr>
          <w:p>
            <w:pPr>
              <w:spacing w:after="40"/>
            </w:pPr>
            <w:r/>
            <w:r>
              <w:rPr>
                <w:b/>
                <w:sz w:val="18"/>
              </w:rPr>
              <w:t>error type</w:t>
            </w:r>
          </w:p>
        </w:tc>
        <w:tc>
          <w:tcPr>
            <w:tcW w:type="dxa" w:w="1872"/>
          </w:tcPr>
          <w:p>
            <w:pPr>
              <w:spacing w:after="40"/>
            </w:pPr>
            <w:r/>
            <w:r>
              <w:rPr>
                <w:b/>
                <w:sz w:val="18"/>
              </w:rPr>
              <w:t>actual overlap</w:t>
            </w:r>
          </w:p>
        </w:tc>
        <w:tc>
          <w:tcPr>
            <w:tcW w:type="dxa" w:w="1872"/>
          </w:tcPr>
          <w:p>
            <w:pPr>
              <w:spacing w:after="40"/>
            </w:pPr>
            <w:r/>
            <w:r>
              <w:rPr>
                <w:b/>
                <w:sz w:val="18"/>
              </w:rPr>
              <w:t>expected under independence</w:t>
            </w:r>
          </w:p>
        </w:tc>
        <w:tc>
          <w:tcPr>
            <w:tcW w:type="dxa" w:w="1872"/>
          </w:tcPr>
          <w:p>
            <w:pPr>
              <w:spacing w:after="40"/>
            </w:pPr>
            <w:r/>
            <w:r>
              <w:rPr>
                <w:b/>
                <w:sz w:val="18"/>
              </w:rPr>
              <w:t>ratio</w:t>
            </w:r>
          </w:p>
        </w:tc>
      </w:tr>
      <w:tr>
        <w:tc>
          <w:tcPr>
            <w:tcW w:type="dxa" w:w="1872"/>
          </w:tcPr>
          <w:p>
            <w:pPr>
              <w:spacing w:after="40"/>
            </w:pPr>
            <w:r/>
            <w:r>
              <w:rPr>
                <w:sz w:val="18"/>
              </w:rPr>
              <w:t>XGBoost vs. CNN</w:t>
            </w:r>
          </w:p>
        </w:tc>
        <w:tc>
          <w:tcPr>
            <w:tcW w:type="dxa" w:w="1872"/>
          </w:tcPr>
          <w:p>
            <w:pPr>
              <w:spacing w:after="40"/>
            </w:pPr>
            <w:r/>
            <w:r>
              <w:rPr>
                <w:sz w:val="18"/>
              </w:rPr>
              <w:t>false negatives</w:t>
            </w:r>
          </w:p>
        </w:tc>
        <w:tc>
          <w:tcPr>
            <w:tcW w:type="dxa" w:w="1872"/>
          </w:tcPr>
          <w:p>
            <w:pPr>
              <w:spacing w:after="40"/>
            </w:pPr>
            <w:r/>
            <w:r>
              <w:rPr>
                <w:sz w:val="18"/>
              </w:rPr>
              <w:t>42</w:t>
            </w:r>
          </w:p>
        </w:tc>
        <w:tc>
          <w:tcPr>
            <w:tcW w:type="dxa" w:w="1872"/>
          </w:tcPr>
          <w:p>
            <w:pPr>
              <w:spacing w:after="40"/>
            </w:pPr>
            <w:r/>
            <w:r>
              <w:rPr>
                <w:sz w:val="18"/>
              </w:rPr>
              <w:t>0.1</w:t>
            </w:r>
          </w:p>
        </w:tc>
        <w:tc>
          <w:tcPr>
            <w:tcW w:type="dxa" w:w="1872"/>
          </w:tcPr>
          <w:p>
            <w:pPr>
              <w:spacing w:after="40"/>
            </w:pPr>
            <w:r/>
            <w:r>
              <w:rPr>
                <w:b/>
                <w:sz w:val="18"/>
              </w:rPr>
              <w:t>407× higher</w:t>
            </w:r>
          </w:p>
        </w:tc>
      </w:tr>
      <w:tr>
        <w:tc>
          <w:tcPr>
            <w:tcW w:type="dxa" w:w="1872"/>
          </w:tcPr>
          <w:p>
            <w:pPr>
              <w:spacing w:after="40"/>
            </w:pPr>
            <w:r/>
            <w:r>
              <w:rPr>
                <w:sz w:val="18"/>
              </w:rPr>
              <w:t>XGBoost vs. CNN</w:t>
            </w:r>
          </w:p>
        </w:tc>
        <w:tc>
          <w:tcPr>
            <w:tcW w:type="dxa" w:w="1872"/>
          </w:tcPr>
          <w:p>
            <w:pPr>
              <w:spacing w:after="40"/>
            </w:pPr>
            <w:r/>
            <w:r>
              <w:rPr>
                <w:sz w:val="18"/>
              </w:rPr>
              <w:t>false positives</w:t>
            </w:r>
          </w:p>
        </w:tc>
        <w:tc>
          <w:tcPr>
            <w:tcW w:type="dxa" w:w="1872"/>
          </w:tcPr>
          <w:p>
            <w:pPr>
              <w:spacing w:after="40"/>
            </w:pPr>
            <w:r/>
            <w:r>
              <w:rPr>
                <w:sz w:val="18"/>
              </w:rPr>
              <w:t>46,775</w:t>
            </w:r>
          </w:p>
        </w:tc>
        <w:tc>
          <w:tcPr>
            <w:tcW w:type="dxa" w:w="1872"/>
          </w:tcPr>
          <w:p>
            <w:pPr>
              <w:spacing w:after="40"/>
            </w:pPr>
            <w:r/>
            <w:r>
              <w:rPr>
                <w:sz w:val="18"/>
              </w:rPr>
              <w:t>18,954</w:t>
            </w:r>
          </w:p>
        </w:tc>
        <w:tc>
          <w:tcPr>
            <w:tcW w:type="dxa" w:w="1872"/>
          </w:tcPr>
          <w:p>
            <w:pPr>
              <w:spacing w:after="40"/>
            </w:pPr>
            <w:r/>
            <w:r>
              <w:rPr>
                <w:b/>
                <w:sz w:val="18"/>
              </w:rPr>
              <w:t>2.47× higher</w:t>
            </w:r>
          </w:p>
        </w:tc>
      </w:tr>
      <w:tr>
        <w:tc>
          <w:tcPr>
            <w:tcW w:type="dxa" w:w="1872"/>
          </w:tcPr>
          <w:p>
            <w:pPr>
              <w:spacing w:after="40"/>
            </w:pPr>
            <w:r/>
            <w:r>
              <w:rPr>
                <w:sz w:val="18"/>
              </w:rPr>
              <w:t>XGBoost vs. Isolation Forest</w:t>
            </w:r>
          </w:p>
        </w:tc>
        <w:tc>
          <w:tcPr>
            <w:tcW w:type="dxa" w:w="1872"/>
          </w:tcPr>
          <w:p>
            <w:pPr>
              <w:spacing w:after="40"/>
            </w:pPr>
            <w:r/>
            <w:r>
              <w:rPr>
                <w:sz w:val="18"/>
              </w:rPr>
              <w:t>false negatives</w:t>
            </w:r>
          </w:p>
        </w:tc>
        <w:tc>
          <w:tcPr>
            <w:tcW w:type="dxa" w:w="1872"/>
          </w:tcPr>
          <w:p>
            <w:pPr>
              <w:spacing w:after="40"/>
            </w:pPr>
            <w:r/>
            <w:r>
              <w:rPr>
                <w:sz w:val="18"/>
              </w:rPr>
              <w:t>22</w:t>
            </w:r>
          </w:p>
        </w:tc>
        <w:tc>
          <w:tcPr>
            <w:tcW w:type="dxa" w:w="1872"/>
          </w:tcPr>
          <w:p>
            <w:pPr>
              <w:spacing w:after="40"/>
            </w:pPr>
            <w:r/>
            <w:r>
              <w:rPr>
                <w:sz w:val="18"/>
              </w:rPr>
              <w:t>54</w:t>
            </w:r>
          </w:p>
        </w:tc>
        <w:tc>
          <w:tcPr>
            <w:tcW w:type="dxa" w:w="1872"/>
          </w:tcPr>
          <w:p>
            <w:pPr>
              <w:spacing w:after="40"/>
            </w:pPr>
            <w:r/>
            <w:r>
              <w:rPr>
                <w:b/>
                <w:sz w:val="18"/>
              </w:rPr>
              <w:t>2.4× lower</w:t>
            </w:r>
          </w:p>
        </w:tc>
      </w:tr>
      <w:tr>
        <w:tc>
          <w:tcPr>
            <w:tcW w:type="dxa" w:w="1872"/>
          </w:tcPr>
          <w:p>
            <w:pPr>
              <w:spacing w:after="40"/>
            </w:pPr>
            <w:r/>
            <w:r>
              <w:rPr>
                <w:sz w:val="18"/>
              </w:rPr>
              <w:t>XGBoost vs. Isolation Forest</w:t>
            </w:r>
          </w:p>
        </w:tc>
        <w:tc>
          <w:tcPr>
            <w:tcW w:type="dxa" w:w="1872"/>
          </w:tcPr>
          <w:p>
            <w:pPr>
              <w:spacing w:after="40"/>
            </w:pPr>
            <w:r/>
            <w:r>
              <w:rPr>
                <w:sz w:val="18"/>
              </w:rPr>
              <w:t>false positives</w:t>
            </w:r>
          </w:p>
        </w:tc>
        <w:tc>
          <w:tcPr>
            <w:tcW w:type="dxa" w:w="1872"/>
          </w:tcPr>
          <w:p>
            <w:pPr>
              <w:spacing w:after="40"/>
            </w:pPr>
            <w:r/>
            <w:r>
              <w:rPr>
                <w:sz w:val="18"/>
              </w:rPr>
              <w:t>3,489</w:t>
            </w:r>
          </w:p>
        </w:tc>
        <w:tc>
          <w:tcPr>
            <w:tcW w:type="dxa" w:w="1872"/>
          </w:tcPr>
          <w:p>
            <w:pPr>
              <w:spacing w:after="40"/>
            </w:pPr>
            <w:r/>
            <w:r>
              <w:rPr>
                <w:sz w:val="18"/>
              </w:rPr>
              <w:t>14,720</w:t>
            </w:r>
          </w:p>
        </w:tc>
        <w:tc>
          <w:tcPr>
            <w:tcW w:type="dxa" w:w="1872"/>
          </w:tcPr>
          <w:p>
            <w:pPr>
              <w:spacing w:after="40"/>
            </w:pPr>
            <w:r/>
            <w:r>
              <w:rPr>
                <w:b/>
                <w:sz w:val="18"/>
              </w:rPr>
              <w:t>4.2× lower</w:t>
            </w:r>
          </w:p>
        </w:tc>
      </w:tr>
      <w:tr>
        <w:tc>
          <w:tcPr>
            <w:tcW w:type="dxa" w:w="1872"/>
          </w:tcPr>
          <w:p>
            <w:pPr>
              <w:spacing w:after="40"/>
            </w:pPr>
            <w:r/>
            <w:r>
              <w:rPr>
                <w:sz w:val="18"/>
              </w:rPr>
              <w:t>XGBoost vs. Autoencoder</w:t>
            </w:r>
          </w:p>
        </w:tc>
        <w:tc>
          <w:tcPr>
            <w:tcW w:type="dxa" w:w="1872"/>
          </w:tcPr>
          <w:p>
            <w:pPr>
              <w:spacing w:after="40"/>
            </w:pPr>
            <w:r/>
            <w:r>
              <w:rPr>
                <w:sz w:val="18"/>
              </w:rPr>
              <w:t>false negatives</w:t>
            </w:r>
          </w:p>
        </w:tc>
        <w:tc>
          <w:tcPr>
            <w:tcW w:type="dxa" w:w="1872"/>
          </w:tcPr>
          <w:p>
            <w:pPr>
              <w:spacing w:after="40"/>
            </w:pPr>
            <w:r/>
            <w:r>
              <w:rPr>
                <w:sz w:val="18"/>
              </w:rPr>
              <w:t>40</w:t>
            </w:r>
          </w:p>
        </w:tc>
        <w:tc>
          <w:tcPr>
            <w:tcW w:type="dxa" w:w="1872"/>
          </w:tcPr>
          <w:p>
            <w:pPr>
              <w:spacing w:after="40"/>
            </w:pPr>
            <w:r/>
            <w:r>
              <w:rPr>
                <w:sz w:val="18"/>
              </w:rPr>
              <w:t>57</w:t>
            </w:r>
          </w:p>
        </w:tc>
        <w:tc>
          <w:tcPr>
            <w:tcW w:type="dxa" w:w="1872"/>
          </w:tcPr>
          <w:p>
            <w:pPr>
              <w:spacing w:after="40"/>
            </w:pPr>
            <w:r/>
            <w:r>
              <w:rPr>
                <w:b/>
                <w:sz w:val="18"/>
              </w:rPr>
              <w:t>1.4× lower</w:t>
            </w:r>
          </w:p>
        </w:tc>
      </w:tr>
      <w:tr>
        <w:tc>
          <w:tcPr>
            <w:tcW w:type="dxa" w:w="1872"/>
          </w:tcPr>
          <w:p>
            <w:pPr>
              <w:spacing w:after="40"/>
            </w:pPr>
            <w:r/>
            <w:r>
              <w:rPr>
                <w:sz w:val="18"/>
              </w:rPr>
              <w:t>XGBoost vs. Autoencoder</w:t>
            </w:r>
          </w:p>
        </w:tc>
        <w:tc>
          <w:tcPr>
            <w:tcW w:type="dxa" w:w="1872"/>
          </w:tcPr>
          <w:p>
            <w:pPr>
              <w:spacing w:after="40"/>
            </w:pPr>
            <w:r/>
            <w:r>
              <w:rPr>
                <w:sz w:val="18"/>
              </w:rPr>
              <w:t>false positives</w:t>
            </w:r>
          </w:p>
        </w:tc>
        <w:tc>
          <w:tcPr>
            <w:tcW w:type="dxa" w:w="1872"/>
          </w:tcPr>
          <w:p>
            <w:pPr>
              <w:spacing w:after="40"/>
            </w:pPr>
            <w:r/>
            <w:r>
              <w:rPr>
                <w:sz w:val="18"/>
              </w:rPr>
              <w:t>1,128</w:t>
            </w:r>
          </w:p>
        </w:tc>
        <w:tc>
          <w:tcPr>
            <w:tcW w:type="dxa" w:w="1872"/>
          </w:tcPr>
          <w:p>
            <w:pPr>
              <w:spacing w:after="40"/>
            </w:pPr>
            <w:r/>
            <w:r>
              <w:rPr>
                <w:sz w:val="18"/>
              </w:rPr>
              <w:t>2,310</w:t>
            </w:r>
          </w:p>
        </w:tc>
        <w:tc>
          <w:tcPr>
            <w:tcW w:type="dxa" w:w="1872"/>
          </w:tcPr>
          <w:p>
            <w:pPr>
              <w:spacing w:after="40"/>
            </w:pPr>
            <w:r/>
            <w:r>
              <w:rPr>
                <w:b/>
                <w:sz w:val="18"/>
              </w:rPr>
              <w:t>2.1× lower</w:t>
            </w:r>
          </w:p>
        </w:tc>
      </w:tr>
      <w:tr>
        <w:tc>
          <w:tcPr>
            <w:tcW w:type="dxa" w:w="1872"/>
          </w:tcPr>
          <w:p>
            <w:pPr>
              <w:spacing w:after="40"/>
            </w:pPr>
            <w:r/>
            <w:r>
              <w:rPr>
                <w:sz w:val="18"/>
              </w:rPr>
              <w:t>Isolation Forest vs. CNN</w:t>
            </w:r>
          </w:p>
        </w:tc>
        <w:tc>
          <w:tcPr>
            <w:tcW w:type="dxa" w:w="1872"/>
          </w:tcPr>
          <w:p>
            <w:pPr>
              <w:spacing w:after="40"/>
            </w:pPr>
            <w:r/>
            <w:r>
              <w:rPr>
                <w:sz w:val="18"/>
              </w:rPr>
              <w:t>false negatives</w:t>
            </w:r>
          </w:p>
        </w:tc>
        <w:tc>
          <w:tcPr>
            <w:tcW w:type="dxa" w:w="1872"/>
          </w:tcPr>
          <w:p>
            <w:pPr>
              <w:spacing w:after="40"/>
            </w:pPr>
            <w:r/>
            <w:r>
              <w:rPr>
                <w:sz w:val="18"/>
              </w:rPr>
              <w:t>15</w:t>
            </w:r>
          </w:p>
        </w:tc>
        <w:tc>
          <w:tcPr>
            <w:tcW w:type="dxa" w:w="1872"/>
          </w:tcPr>
          <w:p>
            <w:pPr>
              <w:spacing w:after="40"/>
            </w:pPr>
            <w:r/>
            <w:r>
              <w:rPr>
                <w:sz w:val="18"/>
              </w:rPr>
              <w:t>174</w:t>
            </w:r>
          </w:p>
        </w:tc>
        <w:tc>
          <w:tcPr>
            <w:tcW w:type="dxa" w:w="1872"/>
          </w:tcPr>
          <w:p>
            <w:pPr>
              <w:spacing w:after="40"/>
            </w:pPr>
            <w:r/>
            <w:r>
              <w:rPr>
                <w:b/>
                <w:sz w:val="18"/>
              </w:rPr>
              <w:t>11.6× lower</w:t>
            </w:r>
          </w:p>
        </w:tc>
      </w:tr>
      <w:tr>
        <w:tc>
          <w:tcPr>
            <w:tcW w:type="dxa" w:w="1872"/>
          </w:tcPr>
          <w:p>
            <w:pPr>
              <w:spacing w:after="40"/>
            </w:pPr>
            <w:r/>
            <w:r>
              <w:rPr>
                <w:sz w:val="18"/>
              </w:rPr>
              <w:t>Isolation Forest vs. CNN</w:t>
            </w:r>
          </w:p>
        </w:tc>
        <w:tc>
          <w:tcPr>
            <w:tcW w:type="dxa" w:w="1872"/>
          </w:tcPr>
          <w:p>
            <w:pPr>
              <w:spacing w:after="40"/>
            </w:pPr>
            <w:r/>
            <w:r>
              <w:rPr>
                <w:sz w:val="18"/>
              </w:rPr>
              <w:t>false positives</w:t>
            </w:r>
          </w:p>
        </w:tc>
        <w:tc>
          <w:tcPr>
            <w:tcW w:type="dxa" w:w="1872"/>
          </w:tcPr>
          <w:p>
            <w:pPr>
              <w:spacing w:after="40"/>
            </w:pPr>
            <w:r/>
            <w:r>
              <w:rPr>
                <w:sz w:val="18"/>
              </w:rPr>
              <w:t>3,457</w:t>
            </w:r>
          </w:p>
        </w:tc>
        <w:tc>
          <w:tcPr>
            <w:tcW w:type="dxa" w:w="1872"/>
          </w:tcPr>
          <w:p>
            <w:pPr>
              <w:spacing w:after="40"/>
            </w:pPr>
            <w:r/>
            <w:r>
              <w:rPr>
                <w:sz w:val="18"/>
              </w:rPr>
              <w:t>14,711</w:t>
            </w:r>
          </w:p>
        </w:tc>
        <w:tc>
          <w:tcPr>
            <w:tcW w:type="dxa" w:w="1872"/>
          </w:tcPr>
          <w:p>
            <w:pPr>
              <w:spacing w:after="40"/>
            </w:pPr>
            <w:r/>
            <w:r>
              <w:rPr>
                <w:b/>
                <w:sz w:val="18"/>
              </w:rPr>
              <w:t>4.3× lower</w:t>
            </w:r>
          </w:p>
        </w:tc>
      </w:tr>
      <w:tr>
        <w:tc>
          <w:tcPr>
            <w:tcW w:type="dxa" w:w="1872"/>
          </w:tcPr>
          <w:p>
            <w:pPr>
              <w:spacing w:after="40"/>
            </w:pPr>
            <w:r/>
            <w:r>
              <w:rPr>
                <w:sz w:val="18"/>
              </w:rPr>
              <w:t>Isolation Forest vs. Autoencoder</w:t>
            </w:r>
          </w:p>
        </w:tc>
        <w:tc>
          <w:tcPr>
            <w:tcW w:type="dxa" w:w="1872"/>
          </w:tcPr>
          <w:p>
            <w:pPr>
              <w:spacing w:after="40"/>
            </w:pPr>
            <w:r/>
            <w:r>
              <w:rPr>
                <w:sz w:val="18"/>
              </w:rPr>
              <w:t>false negatives</w:t>
            </w:r>
          </w:p>
        </w:tc>
        <w:tc>
          <w:tcPr>
            <w:tcW w:type="dxa" w:w="1872"/>
          </w:tcPr>
          <w:p>
            <w:pPr>
              <w:spacing w:after="40"/>
            </w:pPr>
            <w:r/>
            <w:r>
              <w:rPr>
                <w:sz w:val="18"/>
              </w:rPr>
              <w:t>97,731</w:t>
            </w:r>
          </w:p>
        </w:tc>
        <w:tc>
          <w:tcPr>
            <w:tcW w:type="dxa" w:w="1872"/>
          </w:tcPr>
          <w:p>
            <w:pPr>
              <w:spacing w:after="40"/>
            </w:pPr>
            <w:r/>
            <w:r>
              <w:rPr>
                <w:sz w:val="18"/>
              </w:rPr>
              <w:t>95,452</w:t>
            </w:r>
          </w:p>
        </w:tc>
        <w:tc>
          <w:tcPr>
            <w:tcW w:type="dxa" w:w="1872"/>
          </w:tcPr>
          <w:p>
            <w:pPr>
              <w:spacing w:after="40"/>
            </w:pPr>
            <w:r/>
            <w:r>
              <w:rPr>
                <w:sz w:val="18"/>
              </w:rPr>
              <w:t>1.02× (≈ chance)</w:t>
            </w:r>
          </w:p>
        </w:tc>
      </w:tr>
      <w:tr>
        <w:tc>
          <w:tcPr>
            <w:tcW w:type="dxa" w:w="1872"/>
          </w:tcPr>
          <w:p>
            <w:pPr>
              <w:spacing w:after="40"/>
            </w:pPr>
            <w:r/>
            <w:r>
              <w:rPr>
                <w:sz w:val="18"/>
              </w:rPr>
              <w:t>Isolation Forest vs. Autoencoder</w:t>
            </w:r>
          </w:p>
        </w:tc>
        <w:tc>
          <w:tcPr>
            <w:tcW w:type="dxa" w:w="1872"/>
          </w:tcPr>
          <w:p>
            <w:pPr>
              <w:spacing w:after="40"/>
            </w:pPr>
            <w:r/>
            <w:r>
              <w:rPr>
                <w:sz w:val="18"/>
              </w:rPr>
              <w:t>false positives</w:t>
            </w:r>
          </w:p>
        </w:tc>
        <w:tc>
          <w:tcPr>
            <w:tcW w:type="dxa" w:w="1872"/>
          </w:tcPr>
          <w:p>
            <w:pPr>
              <w:spacing w:after="40"/>
            </w:pPr>
            <w:r/>
            <w:r>
              <w:rPr>
                <w:sz w:val="18"/>
              </w:rPr>
              <w:t>5,327</w:t>
            </w:r>
          </w:p>
        </w:tc>
        <w:tc>
          <w:tcPr>
            <w:tcW w:type="dxa" w:w="1872"/>
          </w:tcPr>
          <w:p>
            <w:pPr>
              <w:spacing w:after="40"/>
            </w:pPr>
            <w:r/>
            <w:r>
              <w:rPr>
                <w:sz w:val="18"/>
              </w:rPr>
              <w:t>1,793</w:t>
            </w:r>
          </w:p>
        </w:tc>
        <w:tc>
          <w:tcPr>
            <w:tcW w:type="dxa" w:w="1872"/>
          </w:tcPr>
          <w:p>
            <w:pPr>
              <w:spacing w:after="40"/>
            </w:pPr>
            <w:r/>
            <w:r>
              <w:rPr>
                <w:b/>
                <w:sz w:val="18"/>
              </w:rPr>
              <w:t>3.0× higher</w:t>
            </w:r>
          </w:p>
        </w:tc>
      </w:tr>
      <w:tr>
        <w:tc>
          <w:tcPr>
            <w:tcW w:type="dxa" w:w="1872"/>
          </w:tcPr>
          <w:p>
            <w:pPr>
              <w:spacing w:after="40"/>
            </w:pPr>
            <w:r/>
            <w:r>
              <w:rPr>
                <w:sz w:val="18"/>
              </w:rPr>
              <w:t>CNN vs. Autoencoder</w:t>
            </w:r>
          </w:p>
        </w:tc>
        <w:tc>
          <w:tcPr>
            <w:tcW w:type="dxa" w:w="1872"/>
          </w:tcPr>
          <w:p>
            <w:pPr>
              <w:spacing w:after="40"/>
            </w:pPr>
            <w:r/>
            <w:r>
              <w:rPr>
                <w:sz w:val="18"/>
              </w:rPr>
              <w:t>false negatives</w:t>
            </w:r>
          </w:p>
        </w:tc>
        <w:tc>
          <w:tcPr>
            <w:tcW w:type="dxa" w:w="1872"/>
          </w:tcPr>
          <w:p>
            <w:pPr>
              <w:spacing w:after="40"/>
            </w:pPr>
            <w:r/>
            <w:r>
              <w:rPr>
                <w:sz w:val="18"/>
              </w:rPr>
              <w:t>92</w:t>
            </w:r>
          </w:p>
        </w:tc>
        <w:tc>
          <w:tcPr>
            <w:tcW w:type="dxa" w:w="1872"/>
          </w:tcPr>
          <w:p>
            <w:pPr>
              <w:spacing w:after="40"/>
            </w:pPr>
            <w:r/>
            <w:r>
              <w:rPr>
                <w:sz w:val="18"/>
              </w:rPr>
              <w:t>184</w:t>
            </w:r>
          </w:p>
        </w:tc>
        <w:tc>
          <w:tcPr>
            <w:tcW w:type="dxa" w:w="1872"/>
          </w:tcPr>
          <w:p>
            <w:pPr>
              <w:spacing w:after="40"/>
            </w:pPr>
            <w:r/>
            <w:r>
              <w:rPr>
                <w:b/>
                <w:sz w:val="18"/>
              </w:rPr>
              <w:t>2.0× lower</w:t>
            </w:r>
          </w:p>
        </w:tc>
      </w:tr>
      <w:tr>
        <w:tc>
          <w:tcPr>
            <w:tcW w:type="dxa" w:w="1872"/>
          </w:tcPr>
          <w:p>
            <w:pPr>
              <w:spacing w:after="40"/>
            </w:pPr>
            <w:r/>
            <w:r>
              <w:rPr>
                <w:sz w:val="18"/>
              </w:rPr>
              <w:t>CNN vs. Autoencoder</w:t>
            </w:r>
          </w:p>
        </w:tc>
        <w:tc>
          <w:tcPr>
            <w:tcW w:type="dxa" w:w="1872"/>
          </w:tcPr>
          <w:p>
            <w:pPr>
              <w:spacing w:after="40"/>
            </w:pPr>
            <w:r/>
            <w:r>
              <w:rPr>
                <w:sz w:val="18"/>
              </w:rPr>
              <w:t>false positives</w:t>
            </w:r>
          </w:p>
        </w:tc>
        <w:tc>
          <w:tcPr>
            <w:tcW w:type="dxa" w:w="1872"/>
          </w:tcPr>
          <w:p>
            <w:pPr>
              <w:spacing w:after="40"/>
            </w:pPr>
            <w:r/>
            <w:r>
              <w:rPr>
                <w:sz w:val="18"/>
              </w:rPr>
              <w:t>1,109</w:t>
            </w:r>
          </w:p>
        </w:tc>
        <w:tc>
          <w:tcPr>
            <w:tcW w:type="dxa" w:w="1872"/>
          </w:tcPr>
          <w:p>
            <w:pPr>
              <w:spacing w:after="40"/>
            </w:pPr>
            <w:r/>
            <w:r>
              <w:rPr>
                <w:sz w:val="18"/>
              </w:rPr>
              <w:t>2,309</w:t>
            </w:r>
          </w:p>
        </w:tc>
        <w:tc>
          <w:tcPr>
            <w:tcW w:type="dxa" w:w="1872"/>
          </w:tcPr>
          <w:p>
            <w:pPr>
              <w:spacing w:after="40"/>
            </w:pPr>
            <w:r/>
            <w:r>
              <w:rPr>
                <w:b/>
                <w:sz w:val="18"/>
              </w:rPr>
              <w:t>2.1× lower</w:t>
            </w:r>
          </w:p>
        </w:tc>
      </w:tr>
    </w:tbl>
    <w:p>
      <w:pPr>
        <w:spacing w:after="80"/>
      </w:pPr>
    </w:p>
    <w:p>
      <w:r>
        <w:rPr>
          <w:b/>
        </w:rPr>
        <w:t>Four clear patterns emerge, each with a distinct explanation:</w:t>
      </w:r>
    </w:p>
    <w:p>
      <w:pPr>
        <w:pStyle w:val="ListNumber"/>
      </w:pPr>
      <w:r>
        <w:t>**The two supervised models (XGBoost, CNN) fail on almost exactly the same rows, far beyond what their</w:t>
      </w:r>
    </w:p>
    <w:p>
      <w:r>
        <w:t xml:space="preserve">   individually-tiny false-negative counts would predict by chance (407×).*</w:t>
      </w:r>
      <w:r>
        <w:rPr>
          <w:i/>
        </w:rPr>
        <w:t xml:space="preserve"> Their false positives also    agree well beyond chance (2.47×), matching the earlier XGBoost-vs-LogReg finding (99.2% raw FP overlap)    with a </w:t>
      </w:r>
      <w:r>
        <w:t>real* CNN result instead of a stand-in. Ensembling two models of this supervised, feature-    weighted kind will not touch the FPR problem — it lives in what the F1–F3 feature set represents on    this dataset, not in either model's individual decision boundary.</w:t>
      </w:r>
    </w:p>
    <w:p>
      <w:pPr>
        <w:pStyle w:val="ListNumber"/>
      </w:pPr>
      <w:r>
        <w:t>**Every pairing that crosses the supervised/unsupervised boundary (XGBoost/IsoForest, XGBoost/AE,</w:t>
      </w:r>
    </w:p>
    <w:p>
      <w:r>
        <w:t xml:space="preserve">   IsoForest/CNN, CNN/AE) shows overlap </w:t>
      </w:r>
      <w:r>
        <w:rPr>
          <w:i/>
        </w:rPr>
        <w:t>below</w:t>
      </w:r>
      <w:r>
        <w:t xml:space="preserve"> chance, often dramatically so*</w:t>
      </w:r>
      <w:r>
        <w:rPr>
          <w:i/>
        </w:rPr>
        <w:t xml:space="preserve"> (11.6× lower for Isolation    Forest vs. CNN). This is the clearest, most consistent evidence in this chapter that the two failure    </w:t>
      </w:r>
      <w:r>
        <w:t>sources* are structurally different: a learned decision boundary over 7 informative features misses    different rows than a density-or-reconstruction method with no attack examples to learn from at all.</w:t>
      </w:r>
    </w:p>
    <w:p>
      <w:pPr>
        <w:pStyle w:val="ListNumber"/>
      </w:pPr>
      <w:r>
        <w:t>**The two unsupervised models' false negatives sit almost exactly at the chance baseline (1.02×) —</w:t>
      </w:r>
    </w:p>
    <w:p>
      <w:r>
        <w:t xml:space="preserve">   not meaningfully correlated, once the baseline correction is applied.*</w:t>
      </w:r>
      <w:r>
        <w:rPr>
          <w:i/>
        </w:rPr>
        <w:t xml:space="preserve"> The </w:t>
      </w:r>
      <w:r>
        <w:t>raw* fraction here    (97,731 of 97,738 Isolation Forest misses are also Autoencoder misses — 99.99%) looks like near-total    agreement and would be easy to over-read as "these two models fail identically." The honest,    chance-adjusted reading is different: both models miss such a large fraction of all attacks (92.6% and    97.7% respectively) that this much raw overlap is close to what independence alone would produce. This    is the sharpest illustration in the whole report of why the chance-baseline correction matters — the    same raw number supports two very different conclusions depending on whether it is read against the    right denominator.</w:t>
      </w:r>
    </w:p>
    <w:p>
      <w:pPr>
        <w:pStyle w:val="ListNumber"/>
      </w:pPr>
      <w:r>
        <w:t>*</w:t>
      </w:r>
      <w:r>
        <w:rPr>
          <w:i/>
        </w:rPr>
        <w:t xml:space="preserve">The two unsupervised models' false </w:t>
      </w:r>
      <w:r>
        <w:t>positives*, by contrast, agree meaningfully more than chance</w:t>
      </w:r>
    </w:p>
    <w:p>
      <w:r>
        <w:t xml:space="preserve">   (3.0×)** — unlike their false negatives. Both flag a shared subset of benign rows as unusual, which is    consistent with them both ultimately relying on some notion of "distance from the bulk of the data,"    even though one measures isolation depth and the other reconstruction error.</w:t>
      </w:r>
    </w:p>
    <w:p>
      <w:r>
        <w:rPr>
          <w:b/>
        </w:rPr>
        <w:t>The catch, carried over from the original XGBoost/Isolation-Forest finding and now confirmed against two more models:</w:t>
      </w:r>
      <w:r>
        <w:t xml:space="preserve"> none of Isolation Forest's or the Autoencoder's favourable overlap statistics make either one a usable peer detector on Dataset A — their absolute recall (7.45% and 2.34%) is far too low, and even Isolation Forest's most permissive contamination sweep point (0.30) only reaches 11.88% recall (Step 2E). The right reading stays what Step 2E and the original XGBoost/Isolation-Forest comparison already concluded: these architectures' errors are usefully </w:t>
      </w:r>
      <w:r>
        <w:rPr>
          <w:i/>
        </w:rPr>
        <w:t>different</w:t>
      </w:r>
      <w:r>
        <w:t xml:space="preserve"> where they do succeed, which is exactly the first-stage-filter role Step 3C's cascade design assumes for them — and Chapter 8.4's real cascade result on Dataset B (not Dataset A) already shows the limits of that assumption when the filter's own recall is too low to carry the cascade.</w:t>
      </w:r>
    </w:p>
    <w:p>
      <w:pPr>
        <w:pStyle w:val="Heading2"/>
      </w:pPr>
      <w:r>
        <w:t>8.1.5 Step 3B before/after table</w:t>
      </w:r>
    </w:p>
    <w:p>
      <w:r>
        <w:t>Carried over from Step 3B (Dataset A, XGBoost, threshold optimisation for FPR reduction):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p>
        </w:tc>
        <w:tc>
          <w:tcPr>
            <w:tcW w:type="dxa" w:w="1337"/>
          </w:tcPr>
          <w:p>
            <w:pPr>
              <w:spacing w:after="40"/>
            </w:pPr>
            <w:r/>
            <w:r>
              <w:rPr>
                <w:b/>
                <w:sz w:val="18"/>
              </w:rPr>
              <w:t>threshold</w:t>
            </w:r>
          </w:p>
        </w:tc>
        <w:tc>
          <w:tcPr>
            <w:tcW w:type="dxa" w:w="1337"/>
          </w:tcPr>
          <w:p>
            <w:pPr>
              <w:spacing w:after="40"/>
            </w:pPr>
            <w:r/>
            <w:r>
              <w:rPr>
                <w:b/>
                <w:sz w:val="18"/>
              </w:rPr>
              <w:t>light recall</w:t>
            </w:r>
          </w:p>
        </w:tc>
        <w:tc>
          <w:tcPr>
            <w:tcW w:type="dxa" w:w="1337"/>
          </w:tcPr>
          <w:p>
            <w:pPr>
              <w:spacing w:after="40"/>
            </w:pPr>
            <w:r/>
            <w:r>
              <w:rPr>
                <w:b/>
                <w:sz w:val="18"/>
              </w:rPr>
              <w:t>heavy recall</w:t>
            </w:r>
          </w:p>
        </w:tc>
        <w:tc>
          <w:tcPr>
            <w:tcW w:type="dxa" w:w="1337"/>
          </w:tcPr>
          <w:p>
            <w:pPr>
              <w:spacing w:after="40"/>
            </w:pPr>
            <w:r/>
            <w:r>
              <w:rPr>
                <w:b/>
                <w:sz w:val="18"/>
              </w:rPr>
              <w:t>overall recall</w:t>
            </w:r>
          </w:p>
        </w:tc>
        <w:tc>
          <w:tcPr>
            <w:tcW w:type="dxa" w:w="1337"/>
          </w:tcPr>
          <w:p>
            <w:pPr>
              <w:spacing w:after="40"/>
            </w:pPr>
            <w:r/>
            <w:r>
              <w:rPr>
                <w:b/>
                <w:sz w:val="18"/>
              </w:rPr>
              <w:t>overall F1</w:t>
            </w:r>
          </w:p>
        </w:tc>
        <w:tc>
          <w:tcPr>
            <w:tcW w:type="dxa" w:w="1337"/>
          </w:tcPr>
          <w:p>
            <w:pPr>
              <w:spacing w:after="40"/>
            </w:pPr>
            <w:r/>
            <w:r>
              <w:rPr>
                <w:b/>
                <w:sz w:val="18"/>
              </w:rPr>
              <w:t>FPR</w:t>
            </w:r>
          </w:p>
        </w:tc>
      </w:tr>
      <w:tr>
        <w:tc>
          <w:tcPr>
            <w:tcW w:type="dxa" w:w="1337"/>
          </w:tcPr>
          <w:p>
            <w:pPr>
              <w:spacing w:after="40"/>
            </w:pPr>
            <w:r/>
            <w:r>
              <w:rPr>
                <w:sz w:val="18"/>
              </w:rPr>
              <w:t>Before</w:t>
            </w:r>
          </w:p>
        </w:tc>
        <w:tc>
          <w:tcPr>
            <w:tcW w:type="dxa" w:w="1337"/>
          </w:tcPr>
          <w:p>
            <w:pPr>
              <w:spacing w:after="40"/>
            </w:pPr>
            <w:r/>
            <w:r>
              <w:rPr>
                <w:sz w:val="18"/>
              </w:rPr>
              <w:t>0.50</w:t>
            </w:r>
          </w:p>
        </w:tc>
        <w:tc>
          <w:tcPr>
            <w:tcW w:type="dxa" w:w="1337"/>
          </w:tcPr>
          <w:p>
            <w:pPr>
              <w:spacing w:after="40"/>
            </w:pPr>
            <w:r/>
            <w:r>
              <w:rPr>
                <w:sz w:val="18"/>
              </w:rPr>
              <w:t>99.95%</w:t>
            </w:r>
          </w:p>
        </w:tc>
        <w:tc>
          <w:tcPr>
            <w:tcW w:type="dxa" w:w="1337"/>
          </w:tcPr>
          <w:p>
            <w:pPr>
              <w:spacing w:after="40"/>
            </w:pPr>
            <w:r/>
            <w:r>
              <w:rPr>
                <w:sz w:val="18"/>
              </w:rPr>
              <w:t>99.94%</w:t>
            </w:r>
          </w:p>
        </w:tc>
        <w:tc>
          <w:tcPr>
            <w:tcW w:type="dxa" w:w="1337"/>
          </w:tcPr>
          <w:p>
            <w:pPr>
              <w:spacing w:after="40"/>
            </w:pPr>
            <w:r/>
            <w:r>
              <w:rPr>
                <w:sz w:val="18"/>
              </w:rPr>
              <w:t>99.95%</w:t>
            </w:r>
          </w:p>
        </w:tc>
        <w:tc>
          <w:tcPr>
            <w:tcW w:type="dxa" w:w="1337"/>
          </w:tcPr>
          <w:p>
            <w:pPr>
              <w:spacing w:after="40"/>
            </w:pPr>
            <w:r/>
            <w:r>
              <w:rPr>
                <w:sz w:val="18"/>
              </w:rPr>
              <w:t>81.82%</w:t>
            </w:r>
          </w:p>
        </w:tc>
        <w:tc>
          <w:tcPr>
            <w:tcW w:type="dxa" w:w="1337"/>
          </w:tcPr>
          <w:p>
            <w:pPr>
              <w:spacing w:after="40"/>
            </w:pPr>
            <w:r/>
            <w:r>
              <w:rPr>
                <w:sz w:val="18"/>
              </w:rPr>
              <w:t>40.48%</w:t>
            </w:r>
          </w:p>
        </w:tc>
      </w:tr>
      <w:tr>
        <w:tc>
          <w:tcPr>
            <w:tcW w:type="dxa" w:w="1337"/>
          </w:tcPr>
          <w:p>
            <w:pPr>
              <w:spacing w:after="40"/>
            </w:pPr>
            <w:r/>
            <w:r>
              <w:rPr>
                <w:sz w:val="18"/>
              </w:rPr>
              <w:t>After</w:t>
            </w:r>
          </w:p>
        </w:tc>
        <w:tc>
          <w:tcPr>
            <w:tcW w:type="dxa" w:w="1337"/>
          </w:tcPr>
          <w:p>
            <w:pPr>
              <w:spacing w:after="40"/>
            </w:pPr>
            <w:r/>
            <w:r>
              <w:rPr>
                <w:sz w:val="18"/>
              </w:rPr>
              <w:t>0.70</w:t>
            </w:r>
          </w:p>
        </w:tc>
        <w:tc>
          <w:tcPr>
            <w:tcW w:type="dxa" w:w="1337"/>
          </w:tcPr>
          <w:p>
            <w:pPr>
              <w:spacing w:after="40"/>
            </w:pPr>
            <w:r/>
            <w:r>
              <w:rPr>
                <w:sz w:val="18"/>
              </w:rPr>
              <w:t>98.04%</w:t>
            </w:r>
          </w:p>
        </w:tc>
        <w:tc>
          <w:tcPr>
            <w:tcW w:type="dxa" w:w="1337"/>
          </w:tcPr>
          <w:p>
            <w:pPr>
              <w:spacing w:after="40"/>
            </w:pPr>
            <w:r/>
            <w:r>
              <w:rPr>
                <w:sz w:val="18"/>
              </w:rPr>
              <w:t>98.02%</w:t>
            </w:r>
          </w:p>
        </w:tc>
        <w:tc>
          <w:tcPr>
            <w:tcW w:type="dxa" w:w="1337"/>
          </w:tcPr>
          <w:p>
            <w:pPr>
              <w:spacing w:after="40"/>
            </w:pPr>
            <w:r/>
            <w:r>
              <w:rPr>
                <w:sz w:val="18"/>
              </w:rPr>
              <w:t>98.03%</w:t>
            </w:r>
          </w:p>
        </w:tc>
        <w:tc>
          <w:tcPr>
            <w:tcW w:type="dxa" w:w="1337"/>
          </w:tcPr>
          <w:p>
            <w:pPr>
              <w:spacing w:after="40"/>
            </w:pPr>
            <w:r/>
            <w:r>
              <w:rPr>
                <w:sz w:val="18"/>
              </w:rPr>
              <w:t>81.16%</w:t>
            </w:r>
          </w:p>
        </w:tc>
        <w:tc>
          <w:tcPr>
            <w:tcW w:type="dxa" w:w="1337"/>
          </w:tcPr>
          <w:p>
            <w:pPr>
              <w:spacing w:after="40"/>
            </w:pPr>
            <w:r/>
            <w:r>
              <w:rPr>
                <w:sz w:val="18"/>
              </w:rPr>
              <w:t>39.72%</w:t>
            </w:r>
          </w:p>
        </w:tc>
      </w:tr>
    </w:tbl>
    <w:p>
      <w:pPr>
        <w:spacing w:after="80"/>
      </w:pPr>
    </w:p>
    <w:p>
      <w:r>
        <w:t xml:space="preserve">FPR moved by well under one percentage point for a real cost in recall (2,023 additional false negatives) — the honest negative result Step 3B reported, now sitting directly alongside all four models' confusion matrices above for context: even the </w:t>
      </w:r>
      <w:r>
        <w:rPr>
          <w:i/>
        </w:rPr>
        <w:t>best</w:t>
      </w:r>
      <w:r>
        <w:t>-performing models on this dataset (XGBoost and CNN, essentially tied) cannot threshold their way out of the FPR problem, which is the concrete evidence Chapter 8.4's cascade rationale needs.</w:t>
      </w:r>
    </w:p>
    <w:p>
      <w:pPr>
        <w:pStyle w:val="Heading2"/>
      </w:pPr>
      <w:r>
        <w:t>8.1.6 What's still open</w:t>
      </w:r>
    </w:p>
    <w:p>
      <w:pPr>
        <w:pStyle w:val="ListBullet"/>
      </w:pPr>
      <w:r>
        <w:t>Exact Dataset B confusion-matrix integers for XGBoost (only F1 is recorded), and, once available, the</w:t>
      </w:r>
    </w:p>
    <w:p>
      <w:r>
        <w:t xml:space="preserve">  same cross-model chance-baseline overlap analysis run on Dataset B — worth doing since Dataset B's   near-perfect XGBoost/CNN separation makes for a very different starting point than Dataset A's, and   §8.1.1 already shows the supervised/unsupervised gap is much narrower there.</w:t>
      </w:r>
    </w:p>
    <w:p>
      <w:pPr>
        <w:pStyle w:val="ListBullet"/>
      </w:pPr>
      <w:r>
        <w:t>A chance-baseline recomputation for the original Step 3A XGBoost-vs-LogReg pair, now superseded by the</w:t>
      </w:r>
    </w:p>
    <w:p>
      <w:r>
        <w:t xml:space="preserve">  real XGBoost-vs-CNN numbers above — the LogReg run itself is no longer part of this chapter's   comparison set (dropped per the standing rule against keeping a stand-in alongside its real   replacement), so this is a historical note rather than an open task.</w:t>
      </w:r>
    </w:p>
    <w:p>
      <w:r>
        <w:br w:type="page"/>
      </w:r>
    </w:p>
    <w:p>
      <w:pPr>
        <w:pStyle w:val="Heading1"/>
      </w:pPr>
      <w:r>
        <w:t>Chapter 8.2 — Cross-Dataset Comparison: The Verdict</w:t>
      </w:r>
    </w:p>
    <w:p>
      <w:pPr>
        <w:pStyle w:val="Heading2"/>
      </w:pPr>
      <w:r>
        <w:t>8.2.1 The question</w:t>
      </w:r>
    </w:p>
    <w:p>
      <w:r>
        <w:t xml:space="preserve">Chapter 5 (§5.2) measured that cross-dataset transfer collapses to a trivial fixed-guess classifier in 7 of 8 transfer cells, across all four models. The rubric asks for an explicit diagnosis: is this </w:t>
      </w:r>
      <w:r>
        <w:rPr>
          <w:b/>
        </w:rPr>
        <w:t>distribution shift</w:t>
      </w:r>
      <w:r>
        <w:t xml:space="preserve"> (the two environments genuinely differ, so a model correctly learned on A knows nothing useful about B) or </w:t>
      </w:r>
      <w:r>
        <w:rPr>
          <w:b/>
        </w:rPr>
        <w:t>overfitting</w:t>
      </w:r>
      <w:r>
        <w:t xml:space="preserve"> (the model memorised training-set idiosyncrasies rather than a generalisable signal, so even a </w:t>
      </w:r>
      <w:r>
        <w:rPr>
          <w:i/>
        </w:rPr>
        <w:t>correctly</w:t>
      </w:r>
      <w:r>
        <w:t>-scaled version of B would fail)? These have different practical implications — distribution shift is fixed by retraining per environment; overfitting would mean the models are not learning the intended signal at all, on either dataset.</w:t>
      </w:r>
    </w:p>
    <w:p>
      <w:pPr>
        <w:pStyle w:val="Heading2"/>
      </w:pPr>
      <w:r>
        <w:t>8.2.2 The verdict: distribution shift, not overfitting — and the evidence is direct, not inferred</w:t>
      </w:r>
    </w:p>
    <w:p>
      <w:r>
        <w:rPr>
          <w:b/>
        </w:rPr>
        <w:t>This is distribution shift, cleanly.</w:t>
      </w:r>
      <w:r>
        <w:t xml:space="preserve"> The evidence does not require inference from indirect symptoms; it is a direct measurement:</w:t>
      </w:r>
    </w:p>
    <w:p>
      <w:pPr>
        <w:pStyle w:val="ListNumber"/>
      </w:pPr>
      <w:r>
        <w:t>**In-domain performance is strong for every model, on both datasets, ruling out "the models never</w:t>
      </w:r>
    </w:p>
    <w:p>
      <w:r>
        <w:t xml:space="preserve">   learned a real signal" as an explanation.*</w:t>
      </w:r>
      <w:r>
        <w:rPr>
          <w:i/>
        </w:rPr>
        <w:t xml:space="preserve"> XGBoost and the CNN both score F1≈0.82 on Dataset A and    F1≈0.99–1.00 on Dataset B — recall above 0.99 on both, in both directions. A model that had merely    memorised training-set noise would not generalise this well to its </w:t>
      </w:r>
      <w:r>
        <w:t>own</w:t>
      </w:r>
      <w:r>
        <w:rPr>
          <w:i/>
        </w:rPr>
        <w:t xml:space="preserve"> held-out fold, 5 times over,    under stratified CV. Whatever XGBoost and the CNN learned, it predicts real held-out rows correctly    within each dataset — the failure is specific to </w:t>
      </w:r>
      <w:r>
        <w:t>crossing* datasets, not a general failure to learn.</w:t>
      </w:r>
    </w:p>
    <w:p>
      <w:pPr>
        <w:pStyle w:val="ListNumber"/>
      </w:pPr>
      <w:r>
        <w:t>**The distribution-shift analysis (§5.2.3) measures the cause directly, rather than inferring it from</w:t>
      </w:r>
    </w:p>
    <w:p>
      <w:r>
        <w:t xml:space="preserve">   the transfer failure alone.*</w:t>
      </w:r>
      <w:r>
        <w:rPr>
          <w:i/>
        </w:rPr>
        <w:t xml:space="preserve"> Every one of the 7 intersection columns shows a Kolmogorov–Smirnov    statistic between 0.89 and 1.00 — near-total or fully disjoint support between Dataset A's and Dataset    B's values for the </w:t>
      </w:r>
      <w:r>
        <w:t xml:space="preserve">same* nominal feature. </w:t>
      </w:r>
      <w:r>
        <w:rPr>
          <w:rFonts w:ascii="Consolas" w:hAnsi="Consolas"/>
          <w:sz w:val="20"/>
        </w:rPr>
        <w:t>vol_total</w:t>
      </w:r>
      <w:r>
        <w:t xml:space="preserve"> differs by a factor of ~1,859× in raw scale    between datasets (§5.2.3) — this is not a subtle shift a slightly-overfit model might have been    robust to; it is the input space itself being numerically almost unrecognisable across the boundary.    This was measured on the raw data, independent of any model's behaviour — it would be true whether or    not a single model had ever been trained.</w:t>
      </w:r>
    </w:p>
    <w:p>
      <w:pPr>
        <w:pStyle w:val="ListNumber"/>
      </w:pPr>
      <w:r>
        <w:rPr>
          <w:b/>
        </w:rPr>
        <w:t>The specific failure mode matches distribution shift's signature, not overfitting's.</w:t>
      </w:r>
      <w:r>
        <w:t xml:space="preserve"> An overfit</w:t>
      </w:r>
    </w:p>
    <w:p>
      <w:r>
        <w:t xml:space="preserve">   model transferred to new data typically degrades gracefully or fails inconsistently row-by-row. What    was observed instead (§5.2.1) is uniform collapse to a </w:t>
      </w:r>
      <w:r>
        <w:rPr>
          <w:b/>
        </w:rPr>
        <w:t>fixed decision</w:t>
      </w:r>
      <w:r>
        <w:t xml:space="preserve"> — every model, transferred    in a given direction, predicts either </w:t>
      </w:r>
      <w:r>
        <w:rPr>
          <w:i/>
        </w:rPr>
        <w:t>all</w:t>
      </w:r>
      <w:r>
        <w:t xml:space="preserve"> rows or </w:t>
      </w:r>
      <w:r>
        <w:rPr>
          <w:i/>
        </w:rPr>
        <w:t>no</w:t>
      </w:r>
      <w:r>
        <w:t xml:space="preserve"> rows positive (FPR/recall pinned at exactly    1.0 or exactly 0.0 in 6 of 8 transfer cells). That is the signature of a decision boundary, learned in    one dataset's standardised coordinate space, landing entirely on one side of the other dataset's    differently-shaped standardised space — a geometric consequence of the two datasets occupying    different numeric regions after scaling, not a memorisation artifact.</w:t>
      </w:r>
    </w:p>
    <w:p>
      <w:pPr>
        <w:pStyle w:val="ListNumber"/>
      </w:pPr>
      <w:r>
        <w:rPr>
          <w:b/>
        </w:rPr>
        <w:t>The one partial exception reinforces the same reading.</w:t>
      </w:r>
      <w:r>
        <w:t xml:space="preserve"> CNN's train-B→test-A cell has F1=0.0000</w:t>
      </w:r>
    </w:p>
    <w:p>
      <w:r>
        <w:t xml:space="preserve">   (the fixed-decision collapse) but ROC-AUC=0.773 — well above chance. If the CNN had overfit Dataset    B's noise, its </w:t>
      </w:r>
      <w:r>
        <w:rPr>
          <w:i/>
        </w:rPr>
        <w:t>ranking</w:t>
      </w:r>
      <w:r>
        <w:t xml:space="preserve"> of Dataset A's rows should be no better than random once transferred. It is    not: the CNN's probability output still orders Dataset A's rows correctly, most of the time, after    transfer — the underlying signal survived; only the fixed 0.5 decision threshold (calibrated on    Dataset B's own scale) failed to land anywhere sensible on Dataset A's differently-scaled inputs. This    is exactly what distribution shift predicts and exactly what overfitting would not produce.</w:t>
      </w:r>
    </w:p>
    <w:p>
      <w:pPr>
        <w:pStyle w:val="Heading2"/>
      </w:pPr>
      <w:r>
        <w:t>8.2.3 Per-cell diagnosis (evidence, not just the aggregate verdict)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b/>
                <w:sz w:val="18"/>
              </w:rPr>
              <w:t>direction</w:t>
            </w:r>
          </w:p>
        </w:tc>
        <w:tc>
          <w:tcPr>
            <w:tcW w:type="dxa" w:w="2340"/>
          </w:tcPr>
          <w:p>
            <w:pPr>
              <w:spacing w:after="40"/>
            </w:pPr>
            <w:r/>
            <w:r>
              <w:rPr>
                <w:b/>
                <w:sz w:val="18"/>
              </w:rPr>
              <w:t>model</w:t>
            </w:r>
          </w:p>
        </w:tc>
        <w:tc>
          <w:tcPr>
            <w:tcW w:type="dxa" w:w="2340"/>
          </w:tcPr>
          <w:p>
            <w:pPr>
              <w:spacing w:after="40"/>
            </w:pPr>
            <w:r/>
            <w:r>
              <w:rPr>
                <w:b/>
                <w:sz w:val="18"/>
              </w:rPr>
              <w:t>outcome</w:t>
            </w:r>
          </w:p>
        </w:tc>
        <w:tc>
          <w:tcPr>
            <w:tcW w:type="dxa" w:w="2340"/>
          </w:tcPr>
          <w:p>
            <w:pPr>
              <w:spacing w:after="40"/>
            </w:pPr>
            <w:r/>
            <w:r>
              <w:rPr>
                <w:b/>
                <w:sz w:val="18"/>
              </w:rPr>
              <w:t>what it demonstrates</w:t>
            </w:r>
          </w:p>
        </w:tc>
      </w:tr>
      <w:tr>
        <w:tc>
          <w:tcPr>
            <w:tcW w:type="dxa" w:w="2340"/>
          </w:tcPr>
          <w:p>
            <w:pPr>
              <w:spacing w:after="40"/>
            </w:pPr>
            <w:r/>
            <w:r>
              <w:rPr>
                <w:sz w:val="18"/>
              </w:rPr>
              <w:t>A → B</w:t>
            </w:r>
          </w:p>
        </w:tc>
        <w:tc>
          <w:tcPr>
            <w:tcW w:type="dxa" w:w="2340"/>
          </w:tcPr>
          <w:p>
            <w:pPr>
              <w:spacing w:after="40"/>
            </w:pPr>
            <w:r/>
            <w:r>
              <w:rPr>
                <w:sz w:val="18"/>
              </w:rPr>
              <w:t>XGBoost, CNN, Isolation Forest, Autoencoder</w:t>
            </w:r>
          </w:p>
        </w:tc>
        <w:tc>
          <w:tcPr>
            <w:tcW w:type="dxa" w:w="2340"/>
          </w:tcPr>
          <w:p>
            <w:pPr>
              <w:spacing w:after="40"/>
            </w:pPr>
            <w:r/>
            <w:r>
              <w:rPr>
                <w:sz w:val="18"/>
              </w:rPr>
              <w:t>always-positive collapse (F1≈0.65–0.67, FPR=1.0)</w:t>
            </w:r>
          </w:p>
        </w:tc>
        <w:tc>
          <w:tcPr>
            <w:tcW w:type="dxa" w:w="2340"/>
          </w:tcPr>
          <w:p>
            <w:pPr>
              <w:spacing w:after="40"/>
            </w:pPr>
            <w:r/>
            <w:r>
              <w:rPr>
                <w:sz w:val="18"/>
              </w:rPr>
              <w:t>Dataset A-trained boundary reads all of B's rescaled inputs as "high enough to be attack"</w:t>
            </w:r>
          </w:p>
        </w:tc>
      </w:tr>
      <w:tr>
        <w:tc>
          <w:tcPr>
            <w:tcW w:type="dxa" w:w="2340"/>
          </w:tcPr>
          <w:p>
            <w:pPr>
              <w:spacing w:after="40"/>
            </w:pPr>
            <w:r/>
            <w:r>
              <w:rPr>
                <w:sz w:val="18"/>
              </w:rPr>
              <w:t>B → A</w:t>
            </w:r>
          </w:p>
        </w:tc>
        <w:tc>
          <w:tcPr>
            <w:tcW w:type="dxa" w:w="2340"/>
          </w:tcPr>
          <w:p>
            <w:pPr>
              <w:spacing w:after="40"/>
            </w:pPr>
            <w:r/>
            <w:r>
              <w:rPr>
                <w:sz w:val="18"/>
              </w:rPr>
              <w:t>XGBoost, CNN</w:t>
            </w:r>
          </w:p>
        </w:tc>
        <w:tc>
          <w:tcPr>
            <w:tcW w:type="dxa" w:w="2340"/>
          </w:tcPr>
          <w:p>
            <w:pPr>
              <w:spacing w:after="40"/>
            </w:pPr>
            <w:r/>
            <w:r>
              <w:rPr>
                <w:sz w:val="18"/>
              </w:rPr>
              <w:t>always-negative collapse (F1=0.0000)</w:t>
            </w:r>
          </w:p>
        </w:tc>
        <w:tc>
          <w:tcPr>
            <w:tcW w:type="dxa" w:w="2340"/>
          </w:tcPr>
          <w:p>
            <w:pPr>
              <w:spacing w:after="40"/>
            </w:pPr>
            <w:r/>
            <w:r>
              <w:rPr>
                <w:sz w:val="18"/>
              </w:rPr>
              <w:t>Dataset B-trained boundary reads all of A's rescaled inputs as "too low to be attack"</w:t>
            </w:r>
          </w:p>
        </w:tc>
      </w:tr>
      <w:tr>
        <w:tc>
          <w:tcPr>
            <w:tcW w:type="dxa" w:w="2340"/>
          </w:tcPr>
          <w:p>
            <w:pPr>
              <w:spacing w:after="40"/>
            </w:pPr>
            <w:r/>
            <w:r>
              <w:rPr>
                <w:sz w:val="18"/>
              </w:rPr>
              <w:t>B → A</w:t>
            </w:r>
          </w:p>
        </w:tc>
        <w:tc>
          <w:tcPr>
            <w:tcW w:type="dxa" w:w="2340"/>
          </w:tcPr>
          <w:p>
            <w:pPr>
              <w:spacing w:after="40"/>
            </w:pPr>
            <w:r/>
            <w:r>
              <w:rPr>
                <w:sz w:val="18"/>
              </w:rPr>
              <w:t>Isolation Forest, Autoencoder</w:t>
            </w:r>
          </w:p>
        </w:tc>
        <w:tc>
          <w:tcPr>
            <w:tcW w:type="dxa" w:w="2340"/>
          </w:tcPr>
          <w:p>
            <w:pPr>
              <w:spacing w:after="40"/>
            </w:pPr>
            <w:r/>
            <w:r>
              <w:rPr>
                <w:sz w:val="18"/>
              </w:rPr>
              <w:t>always-positive collapse (F1≈0.65, FPR=1.0)</w:t>
            </w:r>
          </w:p>
        </w:tc>
        <w:tc>
          <w:tcPr>
            <w:tcW w:type="dxa" w:w="2340"/>
          </w:tcPr>
          <w:p>
            <w:pPr>
              <w:spacing w:after="40"/>
            </w:pPr>
            <w:r/>
            <w:r>
              <w:rPr>
                <w:sz w:val="18"/>
              </w:rPr>
              <w:t>opposite direction from XGBoost/CNN's B→A collapse — these two unsupervised models' benign-shaped reference region, built from B, treats essentially all of A's differently-scaled data as anomalous</w:t>
            </w:r>
          </w:p>
        </w:tc>
      </w:tr>
      <w:tr>
        <w:tc>
          <w:tcPr>
            <w:tcW w:type="dxa" w:w="2340"/>
          </w:tcPr>
          <w:p>
            <w:pPr>
              <w:spacing w:after="40"/>
            </w:pPr>
            <w:r/>
            <w:r>
              <w:rPr>
                <w:sz w:val="18"/>
              </w:rPr>
              <w:t>B → A</w:t>
            </w:r>
          </w:p>
        </w:tc>
        <w:tc>
          <w:tcPr>
            <w:tcW w:type="dxa" w:w="2340"/>
          </w:tcPr>
          <w:p>
            <w:pPr>
              <w:spacing w:after="40"/>
            </w:pPr>
            <w:r/>
            <w:r>
              <w:rPr>
                <w:sz w:val="18"/>
              </w:rPr>
              <w:t>CNN (ranking only)</w:t>
            </w:r>
          </w:p>
        </w:tc>
        <w:tc>
          <w:tcPr>
            <w:tcW w:type="dxa" w:w="2340"/>
          </w:tcPr>
          <w:p>
            <w:pPr>
              <w:spacing w:after="40"/>
            </w:pPr>
            <w:r/>
            <w:r>
              <w:rPr>
                <w:sz w:val="18"/>
              </w:rPr>
              <w:t>ROC-AUC=0.773 despite F1=0.0000</w:t>
            </w:r>
          </w:p>
        </w:tc>
        <w:tc>
          <w:tcPr>
            <w:tcW w:type="dxa" w:w="2340"/>
          </w:tcPr>
          <w:p>
            <w:pPr>
              <w:spacing w:after="40"/>
            </w:pPr>
            <w:r/>
            <w:r>
              <w:rPr>
                <w:sz w:val="18"/>
              </w:rPr>
              <w:t>signal survives transfer; only the fixed threshold fails — the clearest single piece of evidence that this is a calibration/scale problem, not a learning failure</w:t>
            </w:r>
          </w:p>
        </w:tc>
      </w:tr>
    </w:tbl>
    <w:p>
      <w:pPr>
        <w:spacing w:after="80"/>
      </w:pPr>
    </w:p>
    <w:p>
      <w:r>
        <w:t xml:space="preserve">The fact that the </w:t>
      </w:r>
      <w:r>
        <w:rPr>
          <w:i/>
        </w:rPr>
        <w:t>same</w:t>
      </w:r>
      <w:r>
        <w:t xml:space="preserve"> direction (B→A) produces opposite fixed-classifier outcomes depending on model family (supervised XGBoost/CNN collapse to always-negative; unsupervised Isolation Forest/Autoencoder collapse to always-positive) is itself informative: it rules out a single simple explanation like "B's data is just numerically larger than A's, so everything looks like an outlier both ways" — the actual mechanism is specific to each model's own decision function interacting with the scale mismatch, not one universal artifact.</w:t>
      </w:r>
    </w:p>
    <w:p>
      <w:pPr>
        <w:pStyle w:val="Heading2"/>
      </w:pPr>
      <w:r>
        <w:t>8.2.4 What this means for deployment</w:t>
      </w:r>
    </w:p>
    <w:p>
      <w:r>
        <w:rPr>
          <w:b/>
        </w:rPr>
        <w:t>Practical conclusion, stated plainly rather than softened:</w:t>
      </w:r>
      <w:r>
        <w:t xml:space="preserve"> none of the four architectures tested in this project can be trained once and deployed across both a plaintext-DNS resolver log and an encrypted DoH flow capture. The unified schema's behavioural abstraction (same family names, same conceptual security meaning, </w:t>
      </w:r>
      <w:r>
        <w:rPr>
          <w:rFonts w:ascii="Consolas" w:hAnsi="Consolas"/>
          <w:sz w:val="20"/>
        </w:rPr>
        <w:t>schema/unified.py</w:t>
      </w:r>
      <w:r>
        <w:t xml:space="preserve">) is real at the level of </w:t>
      </w:r>
      <w:r>
        <w:rPr>
          <w:i/>
        </w:rPr>
        <w:t>what each family is trying to measure</w:t>
      </w:r>
      <w:r>
        <w:t xml:space="preserve"> — both vantage points do carry a payload-volume signal, an encoding-randomness signal, a structural- complexity signal — but is not sufficient, on its own, to make a trained model portable, because the </w:t>
      </w:r>
      <w:r>
        <w:rPr>
          <w:i/>
        </w:rPr>
        <w:t>numeric realisation</w:t>
      </w:r>
      <w:r>
        <w:t xml:space="preserve"> of those families differs by orders of magnitude between vantage points (§5.2.3). The correct deployment story for a system built this way is </w:t>
      </w:r>
      <w:r>
        <w:rPr>
          <w:b/>
        </w:rPr>
        <w:t>train and calibrate separately per vantage point</w:t>
      </w:r>
      <w:r>
        <w:t xml:space="preserve"> — this project's two datasets are not stand-ins for "any DNS exfiltration data," they represent two genuinely different measurement regimes that happen to share a conceptual feature taxonomy.</w:t>
      </w:r>
    </w:p>
    <w:p>
      <w:pPr>
        <w:pStyle w:val="Heading2"/>
      </w:pPr>
      <w:r>
        <w:t>8.2.5 What's still open</w:t>
      </w:r>
    </w:p>
    <w:p>
      <w:pPr>
        <w:pStyle w:val="ListBullet"/>
      </w:pPr>
      <w:r>
        <w:t>The proposed remedies in §5.2.3/§5.3 (</w:t>
      </w:r>
      <w:r>
        <w:rPr>
          <w:rFonts w:ascii="Consolas" w:hAnsi="Consolas"/>
          <w:sz w:val="20"/>
        </w:rPr>
        <w:t>log1p</w:t>
      </w:r>
      <w:r>
        <w:t xml:space="preserve"> on all three F1 columns before scaling, or a scaler fit</w:t>
      </w:r>
    </w:p>
    <w:p>
      <w:r>
        <w:t xml:space="preserve">  jointly across both datasets' training halves) are documented but not yet tested against this same   transfer matrix — a concrete next step if time allows, not claimed as a fix here.</w:t>
      </w:r>
    </w:p>
    <w:p>
      <w:pPr>
        <w:pStyle w:val="ListBullet"/>
      </w:pPr>
      <w:r>
        <w:t xml:space="preserve">This diagnosis covers </w:t>
      </w:r>
      <w:r>
        <w:rPr>
          <w:rFonts w:ascii="Consolas" w:hAnsi="Consolas"/>
          <w:sz w:val="20"/>
        </w:rPr>
        <w:t>mode="intersection"</w:t>
      </w:r>
      <w:r>
        <w:t xml:space="preserve"> only (F1–F3), per Step 2G's design — the B_ONLY families</w:t>
      </w:r>
    </w:p>
    <w:p>
      <w:r>
        <w:t xml:space="preserve">  (F4/F5) cannot be tested for transfer at all, by construction, since Dataset A has no values for them   (§5.4).</w:t>
      </w:r>
    </w:p>
    <w:p>
      <w:r>
        <w:br w:type="page"/>
      </w:r>
    </w:p>
    <w:p>
      <w:pPr>
        <w:pStyle w:val="Heading1"/>
      </w:pPr>
      <w:r>
        <w:t>Chapter 8.2b — The base-rate honesty paragraph</w:t>
      </w:r>
    </w:p>
    <w:p>
      <w:pPr>
        <w:ind w:left="432"/>
      </w:pPr>
      <w:r>
        <w:rPr>
          <w:i/>
        </w:rPr>
      </w:r>
      <w:r>
        <w:rPr>
          <w:i/>
        </w:rPr>
        <w:t>Status: self-contained, complete. Uses only Dataset A numbers already measured in Steps 2D/3A/3B —</w:t>
      </w:r>
    </w:p>
    <w:p>
      <w:pPr>
        <w:ind w:left="432"/>
      </w:pPr>
      <w:r>
        <w:rPr>
          <w:i/>
        </w:rPr>
      </w:r>
      <w:r>
        <w:rPr>
          <w:i/>
        </w:rPr>
        <w:t>no dependency on Teammate B's remaining models. This slots into Chapter 8 alongside §8.1/§8.2 once</w:t>
      </w:r>
    </w:p>
    <w:p>
      <w:pPr>
        <w:ind w:left="432"/>
      </w:pPr>
      <w:r>
        <w:rPr>
          <w:i/>
        </w:rPr>
      </w:r>
      <w:r>
        <w:rPr>
          <w:i/>
        </w:rPr>
        <w:t>those are assembled (§8.2 itself is still blocked on Step 2G).</w:t>
      </w:r>
    </w:p>
    <w:p>
      <w:pPr>
        <w:pStyle w:val="Heading2"/>
      </w:pPr>
      <w:r>
        <w:t>None of this project's framings reflect a realistic deployment base rate</w:t>
      </w:r>
    </w:p>
    <w:p>
      <w:r>
        <w:t>Every number reported elsewhere in this project — F1, precision, recall, FPR — is measured against a dataset where attack traffic is a substantial fraction of all rows, because that is what a supervised training set needs to be usable at all:</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
              <w:rPr>
                <w:b/>
                <w:sz w:val="18"/>
              </w:rPr>
              <w:t>Framing</w:t>
            </w:r>
          </w:p>
        </w:tc>
        <w:tc>
          <w:tcPr>
            <w:tcW w:type="dxa" w:w="4680"/>
          </w:tcPr>
          <w:p>
            <w:pPr>
              <w:spacing w:after="40"/>
            </w:pPr>
            <w:r/>
            <w:r>
              <w:rPr>
                <w:b/>
                <w:sz w:val="18"/>
              </w:rPr>
              <w:t>Positive rate</w:t>
            </w:r>
          </w:p>
        </w:tc>
      </w:tr>
      <w:tr>
        <w:tc>
          <w:tcPr>
            <w:tcW w:type="dxa" w:w="4680"/>
          </w:tcPr>
          <w:p>
            <w:pPr>
              <w:spacing w:after="40"/>
            </w:pPr>
            <w:r/>
            <w:r>
              <w:rPr>
                <w:sz w:val="18"/>
              </w:rPr>
              <w:t>Dataset A (single framing)</w:t>
            </w:r>
          </w:p>
        </w:tc>
        <w:tc>
          <w:tcPr>
            <w:tcW w:type="dxa" w:w="4680"/>
          </w:tcPr>
          <w:p>
            <w:pPr>
              <w:spacing w:after="40"/>
            </w:pPr>
            <w:r/>
            <w:r>
              <w:rPr>
                <w:sz w:val="18"/>
              </w:rPr>
              <w:t>47.72%</w:t>
            </w:r>
          </w:p>
        </w:tc>
      </w:tr>
      <w:tr>
        <w:tc>
          <w:tcPr>
            <w:tcW w:type="dxa" w:w="4680"/>
          </w:tcPr>
          <w:p>
            <w:pPr>
              <w:spacing w:after="40"/>
            </w:pPr>
            <w:r/>
            <w:r>
              <w:rPr>
                <w:sz w:val="18"/>
              </w:rPr>
              <w:t>Dataset B, hard framing</w:t>
            </w:r>
          </w:p>
        </w:tc>
        <w:tc>
          <w:tcPr>
            <w:tcW w:type="dxa" w:w="4680"/>
          </w:tcPr>
          <w:p>
            <w:pPr>
              <w:spacing w:after="40"/>
            </w:pPr>
            <w:r/>
            <w:r>
              <w:rPr>
                <w:sz w:val="18"/>
              </w:rPr>
              <w:t>50.00% (balanced by construction)</w:t>
            </w:r>
          </w:p>
        </w:tc>
      </w:tr>
      <w:tr>
        <w:tc>
          <w:tcPr>
            <w:tcW w:type="dxa" w:w="4680"/>
          </w:tcPr>
          <w:p>
            <w:pPr>
              <w:spacing w:after="40"/>
            </w:pPr>
            <w:r/>
            <w:r>
              <w:rPr>
                <w:sz w:val="18"/>
              </w:rPr>
              <w:t>Dataset B, easy framing</w:t>
            </w:r>
          </w:p>
        </w:tc>
        <w:tc>
          <w:tcPr>
            <w:tcW w:type="dxa" w:w="4680"/>
          </w:tcPr>
          <w:p>
            <w:pPr>
              <w:spacing w:after="40"/>
            </w:pPr>
            <w:r/>
            <w:r>
              <w:rPr>
                <w:sz w:val="18"/>
              </w:rPr>
              <w:t>21.41%</w:t>
            </w:r>
          </w:p>
        </w:tc>
      </w:tr>
      <w:tr>
        <w:tc>
          <w:tcPr>
            <w:tcW w:type="dxa" w:w="4680"/>
          </w:tcPr>
          <w:p>
            <w:pPr>
              <w:spacing w:after="40"/>
            </w:pPr>
            <w:r/>
            <w:r>
              <w:rPr>
                <w:b/>
                <w:sz w:val="18"/>
              </w:rPr>
              <w:t>Real-world DoH/DNS traffic</w:t>
            </w:r>
          </w:p>
        </w:tc>
        <w:tc>
          <w:tcPr>
            <w:tcW w:type="dxa" w:w="4680"/>
          </w:tcPr>
          <w:p>
            <w:pPr>
              <w:spacing w:after="40"/>
            </w:pPr>
            <w:r/>
            <w:r>
              <w:rPr>
                <w:b/>
                <w:sz w:val="18"/>
              </w:rPr>
              <w:t>~0.01% (≈ 1 in 10,000), by any reasonable operational estimate</w:t>
            </w:r>
          </w:p>
        </w:tc>
      </w:tr>
    </w:tbl>
    <w:p>
      <w:pPr>
        <w:spacing w:after="80"/>
      </w:pPr>
    </w:p>
    <w:p>
      <w:r>
        <w:t>None of these framings is a stand-in for production. This has to be said plainly rather than left as an implicit caveat: a detector that looks excellent at 21–50% positive rate is being evaluated on a question production will never actually ask it, because production traffic is overwhelmingly benign and this project's datasets — like virtually every public IDS dataset — cannot supply that ratio without either an unusably tiny attack count or a synthetically inflated one.</w:t>
      </w:r>
    </w:p>
    <w:p>
      <w:pPr>
        <w:pStyle w:val="Heading2"/>
      </w:pPr>
      <w:r>
        <w:t>What our measured FPR actually does at a realistic base rate</w:t>
      </w:r>
    </w:p>
    <w:p>
      <w:r>
        <w:t xml:space="preserve">Take Dataset A's real, measured XGBoost numbers (Steps 2D/3B) and extrapolate them onto a plausible production scale: </w:t>
      </w:r>
      <w:r>
        <w:rPr>
          <w:b/>
        </w:rPr>
        <w:t>10 million DNS/DoH queries a day</w:t>
      </w:r>
      <w:r>
        <w:t>, with attacks at the ~1:10,000 base rate above.</w:t>
      </w:r>
    </w:p>
    <w:p>
      <w:pPr>
        <w:pStyle w:val="ListBullet"/>
      </w:pPr>
      <w:r>
        <w:t xml:space="preserve">Attacks/day: 10,000,000 × 0.0001 = </w:t>
      </w:r>
      <w:r>
        <w:rPr>
          <w:b/>
        </w:rPr>
        <w:t>1,000</w:t>
      </w:r>
    </w:p>
    <w:p>
      <w:pPr>
        <w:pStyle w:val="ListBullet"/>
      </w:pPr>
      <w:r>
        <w:t xml:space="preserve">Benign/day: 10,000,000 − 1,000 = </w:t>
      </w:r>
      <w:r>
        <w:rPr>
          <w:b/>
        </w:rPr>
        <w:t>9,999,000</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p>
        </w:tc>
        <w:tc>
          <w:tcPr>
            <w:tcW w:type="dxa" w:w="3120"/>
          </w:tcPr>
          <w:p>
            <w:pPr>
              <w:spacing w:after="40"/>
            </w:pPr>
            <w:r/>
            <w:r>
              <w:rPr>
                <w:b/>
                <w:sz w:val="18"/>
              </w:rPr>
              <w:t>Before optimisation (t = 0.50)</w:t>
            </w:r>
          </w:p>
        </w:tc>
        <w:tc>
          <w:tcPr>
            <w:tcW w:type="dxa" w:w="3120"/>
          </w:tcPr>
          <w:p>
            <w:pPr>
              <w:spacing w:after="40"/>
            </w:pPr>
            <w:r/>
            <w:r>
              <w:rPr>
                <w:b/>
                <w:sz w:val="18"/>
              </w:rPr>
              <w:t>After optimisation (t = 0.70)</w:t>
            </w:r>
          </w:p>
        </w:tc>
      </w:tr>
      <w:tr>
        <w:tc>
          <w:tcPr>
            <w:tcW w:type="dxa" w:w="3120"/>
          </w:tcPr>
          <w:p>
            <w:pPr>
              <w:spacing w:after="40"/>
            </w:pPr>
            <w:r/>
            <w:r>
              <w:rPr>
                <w:sz w:val="18"/>
              </w:rPr>
              <w:t>Measured recall</w:t>
            </w:r>
          </w:p>
        </w:tc>
        <w:tc>
          <w:tcPr>
            <w:tcW w:type="dxa" w:w="3120"/>
          </w:tcPr>
          <w:p>
            <w:pPr>
              <w:spacing w:after="40"/>
            </w:pPr>
            <w:r/>
            <w:r>
              <w:rPr>
                <w:sz w:val="18"/>
              </w:rPr>
              <w:t>99.95%</w:t>
            </w:r>
          </w:p>
        </w:tc>
        <w:tc>
          <w:tcPr>
            <w:tcW w:type="dxa" w:w="3120"/>
          </w:tcPr>
          <w:p>
            <w:pPr>
              <w:spacing w:after="40"/>
            </w:pPr>
            <w:r/>
            <w:r>
              <w:rPr>
                <w:sz w:val="18"/>
              </w:rPr>
              <w:t>98.03%</w:t>
            </w:r>
          </w:p>
        </w:tc>
      </w:tr>
      <w:tr>
        <w:tc>
          <w:tcPr>
            <w:tcW w:type="dxa" w:w="3120"/>
          </w:tcPr>
          <w:p>
            <w:pPr>
              <w:spacing w:after="40"/>
            </w:pPr>
            <w:r/>
            <w:r>
              <w:rPr>
                <w:sz w:val="18"/>
              </w:rPr>
              <w:t>Measured FPR</w:t>
            </w:r>
          </w:p>
        </w:tc>
        <w:tc>
          <w:tcPr>
            <w:tcW w:type="dxa" w:w="3120"/>
          </w:tcPr>
          <w:p>
            <w:pPr>
              <w:spacing w:after="40"/>
            </w:pPr>
            <w:r/>
            <w:r>
              <w:rPr>
                <w:sz w:val="18"/>
              </w:rPr>
              <w:t>40.48%</w:t>
            </w:r>
          </w:p>
        </w:tc>
        <w:tc>
          <w:tcPr>
            <w:tcW w:type="dxa" w:w="3120"/>
          </w:tcPr>
          <w:p>
            <w:pPr>
              <w:spacing w:after="40"/>
            </w:pPr>
            <w:r/>
            <w:r>
              <w:rPr>
                <w:sz w:val="18"/>
              </w:rPr>
              <w:t>39.72%</w:t>
            </w:r>
          </w:p>
        </w:tc>
      </w:tr>
      <w:tr>
        <w:tc>
          <w:tcPr>
            <w:tcW w:type="dxa" w:w="3120"/>
          </w:tcPr>
          <w:p>
            <w:pPr>
              <w:spacing w:after="40"/>
            </w:pPr>
            <w:r/>
            <w:r>
              <w:rPr>
                <w:sz w:val="18"/>
              </w:rPr>
              <w:t>True positives caught / day</w:t>
            </w:r>
          </w:p>
        </w:tc>
        <w:tc>
          <w:tcPr>
            <w:tcW w:type="dxa" w:w="3120"/>
          </w:tcPr>
          <w:p>
            <w:pPr>
              <w:spacing w:after="40"/>
            </w:pPr>
            <w:r/>
            <w:r>
              <w:rPr>
                <w:sz w:val="18"/>
              </w:rPr>
              <w:t>≈ 1,000</w:t>
            </w:r>
          </w:p>
        </w:tc>
        <w:tc>
          <w:tcPr>
            <w:tcW w:type="dxa" w:w="3120"/>
          </w:tcPr>
          <w:p>
            <w:pPr>
              <w:spacing w:after="40"/>
            </w:pPr>
            <w:r/>
            <w:r>
              <w:rPr>
                <w:sz w:val="18"/>
              </w:rPr>
              <w:t>≈ 980</w:t>
            </w:r>
          </w:p>
        </w:tc>
      </w:tr>
      <w:tr>
        <w:tc>
          <w:tcPr>
            <w:tcW w:type="dxa" w:w="3120"/>
          </w:tcPr>
          <w:p>
            <w:pPr>
              <w:spacing w:after="40"/>
            </w:pPr>
            <w:r/>
            <w:r>
              <w:rPr>
                <w:b/>
                <w:sz w:val="18"/>
              </w:rPr>
              <w:t>False alerts / day</w:t>
            </w:r>
          </w:p>
        </w:tc>
        <w:tc>
          <w:tcPr>
            <w:tcW w:type="dxa" w:w="3120"/>
          </w:tcPr>
          <w:p>
            <w:pPr>
              <w:spacing w:after="40"/>
            </w:pPr>
            <w:r/>
            <w:r>
              <w:rPr>
                <w:b/>
                <w:sz w:val="18"/>
              </w:rPr>
              <w:t>≈ 4,048,000</w:t>
            </w:r>
          </w:p>
        </w:tc>
        <w:tc>
          <w:tcPr>
            <w:tcW w:type="dxa" w:w="3120"/>
          </w:tcPr>
          <w:p>
            <w:pPr>
              <w:spacing w:after="40"/>
            </w:pPr>
            <w:r/>
            <w:r>
              <w:rPr>
                <w:b/>
                <w:sz w:val="18"/>
              </w:rPr>
              <w:t>≈ 3,972,000</w:t>
            </w:r>
          </w:p>
        </w:tc>
      </w:tr>
      <w:tr>
        <w:tc>
          <w:tcPr>
            <w:tcW w:type="dxa" w:w="3120"/>
          </w:tcPr>
          <w:p>
            <w:pPr>
              <w:spacing w:after="40"/>
            </w:pPr>
            <w:r/>
            <w:r>
              <w:rPr>
                <w:sz w:val="18"/>
              </w:rPr>
              <w:t>Total alerts / day</w:t>
            </w:r>
          </w:p>
        </w:tc>
        <w:tc>
          <w:tcPr>
            <w:tcW w:type="dxa" w:w="3120"/>
          </w:tcPr>
          <w:p>
            <w:pPr>
              <w:spacing w:after="40"/>
            </w:pPr>
            <w:r/>
            <w:r>
              <w:rPr>
                <w:sz w:val="18"/>
              </w:rPr>
              <w:t>≈ 4,049,000</w:t>
            </w:r>
          </w:p>
        </w:tc>
        <w:tc>
          <w:tcPr>
            <w:tcW w:type="dxa" w:w="3120"/>
          </w:tcPr>
          <w:p>
            <w:pPr>
              <w:spacing w:after="40"/>
            </w:pPr>
            <w:r/>
            <w:r>
              <w:rPr>
                <w:sz w:val="18"/>
              </w:rPr>
              <w:t>≈ 3,973,000</w:t>
            </w:r>
          </w:p>
        </w:tc>
      </w:tr>
      <w:tr>
        <w:tc>
          <w:tcPr>
            <w:tcW w:type="dxa" w:w="3120"/>
          </w:tcPr>
          <w:p>
            <w:pPr>
              <w:spacing w:after="40"/>
            </w:pPr>
            <w:r/>
            <w:r>
              <w:rPr>
                <w:sz w:val="18"/>
              </w:rPr>
              <w:t>Analyst-facing precision</w:t>
            </w:r>
          </w:p>
        </w:tc>
        <w:tc>
          <w:tcPr>
            <w:tcW w:type="dxa" w:w="3120"/>
          </w:tcPr>
          <w:p>
            <w:pPr>
              <w:spacing w:after="40"/>
            </w:pPr>
            <w:r/>
            <w:r>
              <w:rPr>
                <w:sz w:val="18"/>
              </w:rPr>
              <w:t>≈ 0.025% (1 real alert in ~4,050)</w:t>
            </w:r>
          </w:p>
        </w:tc>
        <w:tc>
          <w:tcPr>
            <w:tcW w:type="dxa" w:w="3120"/>
          </w:tcPr>
          <w:p>
            <w:pPr>
              <w:spacing w:after="40"/>
            </w:pPr>
            <w:r/>
            <w:r>
              <w:rPr>
                <w:sz w:val="18"/>
              </w:rPr>
              <w:t>≈ 0.025% (1 real alert in ~4,052)</w:t>
            </w:r>
          </w:p>
        </w:tc>
      </w:tr>
    </w:tbl>
    <w:p>
      <w:pPr>
        <w:spacing w:after="80"/>
      </w:pPr>
    </w:p>
    <w:p>
      <w:r>
        <w:rPr>
          <w:b/>
        </w:rPr>
        <w:t>Report this arithmetic honestly, including that it is unflattering.</w:t>
      </w:r>
      <w:r>
        <w:t xml:space="preserve"> At this project's measured FPR, an analyst reviewing the model's output would see roughly </w:t>
      </w:r>
      <w:r>
        <w:rPr>
          <w:b/>
        </w:rPr>
        <w:t>four million false alarms a day</w:t>
      </w:r>
      <w:r>
        <w:t xml:space="preserve"> for every ~1,000 real attacks it actually catches — a queue in which a genuine detection is buried under thousands of false ones. This is not a niche edge case of the arithmetic; it is what a ~40% FPR </w:t>
      </w:r>
      <w:r>
        <w:rPr>
          <w:i/>
        </w:rPr>
        <w:t>means</w:t>
      </w:r>
      <w:r>
        <w:t xml:space="preserve"> at any base rate close to reality, regardless of how good recall looks in isolation.</w:t>
      </w:r>
    </w:p>
    <w:p>
      <w:r>
        <w:rPr>
          <w:b/>
        </w:rPr>
        <w:t>For contrast</w:t>
      </w:r>
      <w:r>
        <w:t xml:space="preserve">, a hypothetical, well-calibrated detector at a 1% FPR — the kind of number IDS papers often present as "acceptable" — would still generate 9,999,000 × 0.01 ≈ </w:t>
      </w:r>
      <w:r>
        <w:rPr>
          <w:b/>
        </w:rPr>
        <w:t>100,000 false alerts a day</w:t>
      </w:r>
      <w:r>
        <w:t xml:space="preserve"> against the same ~1,000 real attacks: about 100 false alarms per real detection. That illustrative baseline is itself a lot for a SOC to absorb — and this project's actual system runs at roughly </w:t>
      </w:r>
      <w:r>
        <w:rPr>
          <w:b/>
        </w:rPr>
        <w:t>40×</w:t>
      </w:r>
      <w:r>
        <w:t xml:space="preserve"> that FPR, i.e. roughly 40× that alert volume. Put plainly, in the plan's own words: this is not a detector at that operating point, it is a denial-of-service against your own SOC.</w:t>
      </w:r>
    </w:p>
    <w:p>
      <w:r>
        <w:rPr>
          <w:b/>
        </w:rPr>
        <w:t>One more honest observation, tying back directly to Step 3B:</w:t>
      </w:r>
      <w:r>
        <w:t xml:space="preserve"> the "before" and "after" columns above are nearly identical. That is not a mistake in this extrapolation — it is the same finding Step 3B already reported in miniature (raising the decision threshold moved FPR by less than one percentage point, 40.48% → 39.72%, while costing real recall). At production scale, that means the threshold optimisation attempted in Step 3B — while the right experiment to run, and honestly reported as a negative result there — does </w:t>
      </w:r>
      <w:r>
        <w:rPr>
          <w:b/>
        </w:rPr>
        <w:t>not</w:t>
      </w:r>
      <w:r>
        <w:t xml:space="preserve"> meaningfully change the SOC-queue picture on its own. The real implication is structural, not a threshold-tuning problem: Dataset A's F1–F3 feature set produces a probability distribution (Step 3B's near-step-function finding) that no single threshold choice can fix, which is the concrete, quantified reason a cascade (Chapter 8.4) — rather than a better-tuned single model — is the right response to this dataset's false-positive problem.</w:t>
      </w:r>
    </w:p>
    <w:p>
      <w:pPr>
        <w:pStyle w:val="Heading2"/>
      </w:pPr>
      <w:r>
        <w:t>What this section still needs before final assembly</w:t>
      </w:r>
    </w:p>
    <w:p>
      <w:pPr>
        <w:pStyle w:val="ListBullet"/>
      </w:pPr>
      <w:r>
        <w:t>Dataset B's equivalent FPR (hard framing) is not yet in this draft — the tracker only records</w:t>
      </w:r>
    </w:p>
    <w:p>
      <w:r>
        <w:t xml:space="preserve">  F1 ≈ 0.9999 for B's backfilled XGBoost run, not the underlying precision/recall/FPR breakdown needed   to redo this same extrapolation for Dataset B. </w:t>
      </w:r>
      <w:r>
        <w:rPr>
          <w:b/>
        </w:rPr>
        <w:t>Pulling the exact FPR from   `runs/metrics/xgboost_dohbrw2020_hard.json` and adding a second Dataset-B column to the table above is   the one remaining piece</w:t>
      </w:r>
      <w:r>
        <w:t xml:space="preserve"> — likely a very different story given B's near-perfect separation, and worth   stating as a direct contrast to Dataset A's result once the number is in hand.</w:t>
      </w:r>
    </w:p>
    <w:p>
      <w:pPr>
        <w:pStyle w:val="ListBullet"/>
      </w:pPr>
      <w:r>
        <w:t>This section assumes a single illustrative production scale (10M queries/day) and a single assumed</w:t>
      </w:r>
    </w:p>
    <w:p>
      <w:r>
        <w:t xml:space="preserve">  base rate (1:10,000), matching the plan's own stated assumption — both are explicitly labelled as   illustrative, not measured, and should stay labelled that way in the final chapter text.</w:t>
      </w:r>
    </w:p>
    <w:p>
      <w:r>
        <w:br w:type="page"/>
      </w:r>
    </w:p>
    <w:p>
      <w:pPr>
        <w:pStyle w:val="Heading1"/>
      </w:pPr>
      <w:r>
        <w:t>Chapter 8.3 — Benchmark Comparison Against Published Results</w:t>
      </w:r>
    </w:p>
    <w:p>
      <w:r>
        <w:t>Four papers, one per model architecture (Chapter 6.2), each applied to DNS tunneling/exfiltration or DoH malicious-traffic detection. This section compares our real, measured numbers against each — attributing discrepancies to specific, named causes rather than a vague "different setup," and reporting plainly where our numbers are worse, where they are better, and where a real comparison is not possible at all.</w:t>
      </w:r>
    </w:p>
    <w:p>
      <w:pPr>
        <w:pStyle w:val="Heading2"/>
      </w:pPr>
      <w:r>
        <w:t>8.3.1 XGBoost vs. Abrahim et al. (2026)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p>
        </w:tc>
        <w:tc>
          <w:tcPr>
            <w:tcW w:type="dxa" w:w="2340"/>
          </w:tcPr>
          <w:p>
            <w:pPr>
              <w:spacing w:after="40"/>
            </w:pPr>
            <w:r/>
            <w:r>
              <w:rPr>
                <w:b/>
                <w:sz w:val="18"/>
              </w:rPr>
              <w:t>Recall</w:t>
            </w:r>
          </w:p>
        </w:tc>
        <w:tc>
          <w:tcPr>
            <w:tcW w:type="dxa" w:w="2340"/>
          </w:tcPr>
          <w:p>
            <w:pPr>
              <w:spacing w:after="40"/>
            </w:pPr>
            <w:r/>
            <w:r>
              <w:rPr>
                <w:b/>
                <w:sz w:val="18"/>
              </w:rPr>
              <w:t>Precision</w:t>
            </w:r>
          </w:p>
        </w:tc>
        <w:tc>
          <w:tcPr>
            <w:tcW w:type="dxa" w:w="2340"/>
          </w:tcPr>
          <w:p>
            <w:pPr>
              <w:spacing w:after="40"/>
            </w:pPr>
            <w:r/>
            <w:r>
              <w:rPr>
                <w:b/>
                <w:sz w:val="18"/>
              </w:rPr>
              <w:t>F1</w:t>
            </w:r>
          </w:p>
        </w:tc>
      </w:tr>
      <w:tr>
        <w:tc>
          <w:tcPr>
            <w:tcW w:type="dxa" w:w="2340"/>
          </w:tcPr>
          <w:p>
            <w:pPr>
              <w:spacing w:after="40"/>
            </w:pPr>
            <w:r/>
            <w:r>
              <w:rPr>
                <w:sz w:val="18"/>
              </w:rPr>
              <w:t>Abrahim et al. — stacking ensemble, XGBoost as meta-learner, CIRA-CIC-DoHBrw-2020</w:t>
            </w:r>
          </w:p>
        </w:tc>
        <w:tc>
          <w:tcPr>
            <w:tcW w:type="dxa" w:w="2340"/>
          </w:tcPr>
          <w:p>
            <w:pPr>
              <w:spacing w:after="40"/>
            </w:pPr>
            <w:r/>
            <w:r>
              <w:rPr>
                <w:sz w:val="18"/>
              </w:rPr>
              <w:t>0.9996</w:t>
            </w:r>
          </w:p>
        </w:tc>
        <w:tc>
          <w:tcPr>
            <w:tcW w:type="dxa" w:w="2340"/>
          </w:tcPr>
          <w:p>
            <w:pPr>
              <w:spacing w:after="40"/>
            </w:pPr>
            <w:r/>
            <w:r>
              <w:rPr>
                <w:sz w:val="18"/>
              </w:rPr>
              <w:t>0.9967</w:t>
            </w:r>
          </w:p>
        </w:tc>
        <w:tc>
          <w:tcPr>
            <w:tcW w:type="dxa" w:w="2340"/>
          </w:tcPr>
          <w:p>
            <w:pPr>
              <w:spacing w:after="40"/>
            </w:pPr>
            <w:r/>
            <w:r>
              <w:rPr>
                <w:sz w:val="18"/>
              </w:rPr>
              <w:t>0.9981</w:t>
            </w:r>
          </w:p>
        </w:tc>
      </w:tr>
      <w:tr>
        <w:tc>
          <w:tcPr>
            <w:tcW w:type="dxa" w:w="2340"/>
          </w:tcPr>
          <w:p>
            <w:pPr>
              <w:spacing w:after="40"/>
            </w:pPr>
            <w:r/>
            <w:r>
              <w:rPr>
                <w:b/>
                <w:sz w:val="18"/>
              </w:rPr>
              <w:t>This project — standalone XGBoost, Dataset B hard framing</w:t>
            </w:r>
          </w:p>
        </w:tc>
        <w:tc>
          <w:tcPr>
            <w:tcW w:type="dxa" w:w="2340"/>
          </w:tcPr>
          <w:p>
            <w:pPr>
              <w:spacing w:after="40"/>
            </w:pPr>
            <w:r/>
            <w:r>
              <w:rPr>
                <w:b/>
                <w:sz w:val="18"/>
              </w:rPr>
              <w:t>0.9998</w:t>
            </w:r>
          </w:p>
        </w:tc>
        <w:tc>
          <w:tcPr>
            <w:tcW w:type="dxa" w:w="2340"/>
          </w:tcPr>
          <w:p>
            <w:pPr>
              <w:spacing w:after="40"/>
            </w:pPr>
            <w:r/>
            <w:r>
              <w:rPr>
                <w:sz w:val="18"/>
              </w:rPr>
              <w:t>—</w:t>
            </w:r>
          </w:p>
        </w:tc>
        <w:tc>
          <w:tcPr>
            <w:tcW w:type="dxa" w:w="2340"/>
          </w:tcPr>
          <w:p>
            <w:pPr>
              <w:spacing w:after="40"/>
            </w:pPr>
            <w:r/>
            <w:r>
              <w:rPr>
                <w:b/>
                <w:sz w:val="18"/>
              </w:rPr>
              <w:t>0.9999</w:t>
            </w:r>
          </w:p>
        </w:tc>
      </w:tr>
      <w:tr>
        <w:tc>
          <w:tcPr>
            <w:tcW w:type="dxa" w:w="2340"/>
          </w:tcPr>
          <w:p>
            <w:pPr>
              <w:spacing w:after="40"/>
            </w:pPr>
            <w:r/>
            <w:r>
              <w:rPr>
                <w:sz w:val="18"/>
              </w:rPr>
              <w:t>This project — standalone XGBoost, Dataset A</w:t>
            </w:r>
          </w:p>
        </w:tc>
        <w:tc>
          <w:tcPr>
            <w:tcW w:type="dxa" w:w="2340"/>
          </w:tcPr>
          <w:p>
            <w:pPr>
              <w:spacing w:after="40"/>
            </w:pPr>
            <w:r/>
            <w:r>
              <w:rPr>
                <w:sz w:val="18"/>
              </w:rPr>
              <w:t>0.9995 (t=0.50)</w:t>
            </w:r>
          </w:p>
        </w:tc>
        <w:tc>
          <w:tcPr>
            <w:tcW w:type="dxa" w:w="2340"/>
          </w:tcPr>
          <w:p>
            <w:pPr>
              <w:spacing w:after="40"/>
            </w:pPr>
            <w:r/>
            <w:r>
              <w:rPr>
                <w:sz w:val="18"/>
              </w:rPr>
              <w:t>0.6925</w:t>
            </w:r>
          </w:p>
        </w:tc>
        <w:tc>
          <w:tcPr>
            <w:tcW w:type="dxa" w:w="2340"/>
          </w:tcPr>
          <w:p>
            <w:pPr>
              <w:spacing w:after="40"/>
            </w:pPr>
            <w:r/>
            <w:r>
              <w:rPr>
                <w:sz w:val="18"/>
              </w:rPr>
              <w:t>0.8182 (t=0.50)</w:t>
            </w:r>
          </w:p>
        </w:tc>
      </w:tr>
    </w:tbl>
    <w:p>
      <w:pPr>
        <w:spacing w:after="80"/>
      </w:pPr>
    </w:p>
    <w:p>
      <w:r>
        <w:rPr>
          <w:b/>
        </w:rPr>
        <w:t>Our standalone XGBoost on Dataset B slightly exceeds their full stacking ensemble's reported numbers</w:t>
      </w:r>
      <w:r>
        <w:t xml:space="preserve"> — a real result, not a rounding artifact, but one that needs its comparison caveat stated plainly rather than claimed as "we beat the state of the art": Abrahim et al.'s number is the </w:t>
      </w:r>
      <w:r>
        <w:rPr>
          <w:b/>
        </w:rPr>
        <w:t>output of a stacking ensemble</w:t>
      </w:r>
      <w:r>
        <w:t xml:space="preserve"> (XGBoost sitting as meta-learner atop LSTM and GRU base learners, trained on out-of-fold predictions), not an XGBoost-alone ablation — the two numbers are not measuring the same system, even though both are labelled "XGBoost" in the respective papers' headline tables. It is also possible their combined training corpus (CIRA-CIC-DoHBrw-2020 </w:t>
      </w:r>
      <w:r>
        <w:rPr>
          <w:b/>
        </w:rPr>
        <w:t>and</w:t>
      </w:r>
      <w:r>
        <w:t xml:space="preserve"> DoH-Tunnel-Traffic-HKD, per Ch 6.2) differs enough from this project's DoHBrw-2020-only "hard" framing to explain part of the gap either way. </w:t>
      </w:r>
      <w:r>
        <w:rPr>
          <w:b/>
        </w:rPr>
        <w:t>The plan's own predicted pattern — "our hard-framing number will likely look worse than published results, because published results often use the easy framing" — does not hold here.</w:t>
      </w:r>
      <w:r>
        <w:t xml:space="preserve"> Dataset B's hard framing already sits at F1≈0.9999, at or above a published ensemble's number; there is no headroom left for an easier framing to look better against this paper. (Dataset B's easy-framing XGBoost run was still in progress on Teammate B's machine as of 15 Aug — not included here, and not needed for this specific comparison since hard framing already meets/exceeds the benchmark.)</w:t>
      </w:r>
    </w:p>
    <w:p>
      <w:r>
        <w:t xml:space="preserve">Dataset A's XGBoost number (F1=0.8182) is </w:t>
      </w:r>
      <w:r>
        <w:rPr>
          <w:b/>
        </w:rPr>
        <w:t>not directly comparable</w:t>
      </w:r>
      <w:r>
        <w:t xml:space="preserve"> to Abrahim et al. at all — their paper targets Dataset B's dataset family (CIRA-CIC-DoHBrw-2020) specifically, not Dataset A's (CIC-Bell-DNS-EXF-2021). It is included here for completeness, not as a benchmarked comparison.</w:t>
      </w:r>
    </w:p>
    <w:p>
      <w:pPr>
        <w:pStyle w:val="Heading2"/>
      </w:pPr>
      <w:r>
        <w:t>8.3.2 CNN vs. Li et al. (2024)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p>
        </w:tc>
        <w:tc>
          <w:tcPr>
            <w:tcW w:type="dxa" w:w="2340"/>
          </w:tcPr>
          <w:p>
            <w:pPr>
              <w:spacing w:after="40"/>
            </w:pPr>
            <w:r/>
            <w:r>
              <w:rPr>
                <w:b/>
                <w:sz w:val="18"/>
              </w:rPr>
              <w:t>Accuracy</w:t>
            </w:r>
          </w:p>
        </w:tc>
        <w:tc>
          <w:tcPr>
            <w:tcW w:type="dxa" w:w="2340"/>
          </w:tcPr>
          <w:p>
            <w:pPr>
              <w:spacing w:after="40"/>
            </w:pPr>
            <w:r/>
            <w:r>
              <w:rPr>
                <w:b/>
                <w:sz w:val="18"/>
              </w:rPr>
              <w:t>Recall</w:t>
            </w:r>
          </w:p>
        </w:tc>
        <w:tc>
          <w:tcPr>
            <w:tcW w:type="dxa" w:w="2340"/>
          </w:tcPr>
          <w:p>
            <w:pPr>
              <w:spacing w:after="40"/>
            </w:pPr>
            <w:r/>
            <w:r>
              <w:rPr>
                <w:b/>
                <w:sz w:val="18"/>
              </w:rPr>
              <w:t>F1</w:t>
            </w:r>
          </w:p>
        </w:tc>
      </w:tr>
      <w:tr>
        <w:tc>
          <w:tcPr>
            <w:tcW w:type="dxa" w:w="2340"/>
          </w:tcPr>
          <w:p>
            <w:pPr>
              <w:spacing w:after="40"/>
            </w:pPr>
            <w:r/>
            <w:r>
              <w:rPr>
                <w:sz w:val="18"/>
              </w:rPr>
              <w:t>Li et al. — ITransformer-CNN block ensemble, CIC-Bell-DNS (Dataset A's family)</w:t>
            </w:r>
          </w:p>
        </w:tc>
        <w:tc>
          <w:tcPr>
            <w:tcW w:type="dxa" w:w="2340"/>
          </w:tcPr>
          <w:p>
            <w:pPr>
              <w:spacing w:after="40"/>
            </w:pPr>
            <w:r/>
            <w:r>
              <w:rPr>
                <w:sz w:val="18"/>
              </w:rPr>
              <w:t>95.67%</w:t>
            </w:r>
          </w:p>
        </w:tc>
        <w:tc>
          <w:tcPr>
            <w:tcW w:type="dxa" w:w="2340"/>
          </w:tcPr>
          <w:p>
            <w:pPr>
              <w:spacing w:after="40"/>
            </w:pPr>
            <w:r/>
            <w:r>
              <w:rPr>
                <w:sz w:val="18"/>
              </w:rPr>
              <w:t>83.21%</w:t>
            </w:r>
          </w:p>
        </w:tc>
        <w:tc>
          <w:tcPr>
            <w:tcW w:type="dxa" w:w="2340"/>
          </w:tcPr>
          <w:p>
            <w:pPr>
              <w:spacing w:after="40"/>
            </w:pPr>
            <w:r/>
            <w:r>
              <w:rPr>
                <w:sz w:val="18"/>
              </w:rPr>
              <w:t>88.43%</w:t>
            </w:r>
          </w:p>
        </w:tc>
      </w:tr>
      <w:tr>
        <w:tc>
          <w:tcPr>
            <w:tcW w:type="dxa" w:w="2340"/>
          </w:tcPr>
          <w:p>
            <w:pPr>
              <w:spacing w:after="40"/>
            </w:pPr>
            <w:r/>
            <w:r>
              <w:rPr>
                <w:b/>
                <w:sz w:val="18"/>
              </w:rPr>
              <w:t>This project — standalone 1D-CNN, Dataset A</w:t>
            </w:r>
          </w:p>
        </w:tc>
        <w:tc>
          <w:tcPr>
            <w:tcW w:type="dxa" w:w="2340"/>
          </w:tcPr>
          <w:p>
            <w:pPr>
              <w:spacing w:after="40"/>
            </w:pPr>
            <w:r/>
            <w:r>
              <w:rPr>
                <w:sz w:val="18"/>
              </w:rPr>
              <w:t>—</w:t>
            </w:r>
          </w:p>
        </w:tc>
        <w:tc>
          <w:tcPr>
            <w:tcW w:type="dxa" w:w="2340"/>
          </w:tcPr>
          <w:p>
            <w:pPr>
              <w:spacing w:after="40"/>
            </w:pPr>
            <w:r/>
            <w:r>
              <w:rPr>
                <w:b/>
                <w:sz w:val="18"/>
              </w:rPr>
              <w:t>99.80%</w:t>
            </w:r>
          </w:p>
        </w:tc>
        <w:tc>
          <w:tcPr>
            <w:tcW w:type="dxa" w:w="2340"/>
          </w:tcPr>
          <w:p>
            <w:pPr>
              <w:spacing w:after="40"/>
            </w:pPr>
            <w:r/>
            <w:r>
              <w:rPr>
                <w:b/>
                <w:sz w:val="18"/>
              </w:rPr>
              <w:t>81.77%</w:t>
            </w:r>
          </w:p>
        </w:tc>
      </w:tr>
    </w:tbl>
    <w:p>
      <w:pPr>
        <w:spacing w:after="80"/>
      </w:pPr>
    </w:p>
    <w:p>
      <w:r>
        <w:rPr>
          <w:b/>
        </w:rPr>
        <w:t>Our recall is dramatically higher (99.80% vs. 83.21%); our F1 is somewhat lower (81.77% vs. 88.43%). The mechanism is diagnosable, not a mystery:</w:t>
      </w:r>
      <w:r>
        <w:t xml:space="preserve"> this project's CNN carries a high false positive rate on Dataset A (FPR=40.44%, identical to the ~40% wall every supervised model in this report hits on this dataset — Ch 8.1) that Li et al.'s reported metrics do not disclose (their paper reports Accuracy/Recall/ F1 only, no Precision or FPR, so a full apples-to-apples reconstruction of </w:t>
      </w:r>
      <w:r>
        <w:rPr>
          <w:i/>
        </w:rPr>
        <w:t>their</w:t>
      </w:r>
      <w:r>
        <w:t xml:space="preserve"> precision is not possible from the published numbers). Two structural differences also matter: (1) Li et al.'s model is an </w:t>
      </w:r>
      <w:r>
        <w:rPr>
          <w:b/>
        </w:rPr>
        <w:t>ITransformer-CNN block ensemble</w:t>
      </w:r>
      <w:r>
        <w:t xml:space="preserve"> — a Transformer processing domain-name character sequences fused with a CNN over traffic-information features — not a standalone CNN over an 11-column feature vector like this project's; the Transformer branch likely carries most of the precision gain from sequence-level pattern matching this project's feature-only CNN has no access to. (2) Their evaluation corpus (DGA and MDND datasets, with CIC-Bell-DNS used for </w:t>
      </w:r>
      <w:r>
        <w:rPr>
          <w:b/>
        </w:rPr>
        <w:t>application testing</w:t>
      </w:r>
      <w:r>
        <w:t xml:space="preserve"> rather than as the primary training set) is not confirmed to be the identical DNS-EXF-2021 attack corpus this project trains and tests on, despite sharing the "CIC-Bell-DNS" family name — the same caveat Chapter 5 raised about dataset-family names implying more equivalence than actually holds. </w:t>
      </w:r>
      <w:r>
        <w:rPr>
          <w:b/>
        </w:rPr>
        <w:t>The honest reading: this project's CNN trades precision for near-total recall on Dataset A, consistent with every other model tested on this dataset (Ch 8.1's FPR wall), while Li et al.'s hybrid architecture — with access to sequence-level information this project's schema deliberately does not expose (D1, stateless per-query features only) — achieves a more balanced operating point.</w:t>
      </w:r>
      <w:r>
        <w:t xml:space="preserve"> This is a real, structural gap in what information the two systems have access to, not primarily a training or tuning difference.</w:t>
      </w:r>
    </w:p>
    <w:p>
      <w:pPr>
        <w:pStyle w:val="Heading2"/>
      </w:pPr>
      <w:r>
        <w:t>8.3.3 Isolation Forest vs. Wang et al. (2022, KRTunnel)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p>
        </w:tc>
        <w:tc>
          <w:tcPr>
            <w:tcW w:type="dxa" w:w="1872"/>
          </w:tcPr>
          <w:p>
            <w:pPr>
              <w:spacing w:after="40"/>
            </w:pPr>
            <w:r/>
            <w:r>
              <w:rPr>
                <w:b/>
                <w:sz w:val="18"/>
              </w:rPr>
              <w:t>Accuracy</w:t>
            </w:r>
          </w:p>
        </w:tc>
        <w:tc>
          <w:tcPr>
            <w:tcW w:type="dxa" w:w="1872"/>
          </w:tcPr>
          <w:p>
            <w:pPr>
              <w:spacing w:after="40"/>
            </w:pPr>
            <w:r/>
            <w:r>
              <w:rPr>
                <w:b/>
                <w:sz w:val="18"/>
              </w:rPr>
              <w:t>Recall</w:t>
            </w:r>
          </w:p>
        </w:tc>
        <w:tc>
          <w:tcPr>
            <w:tcW w:type="dxa" w:w="1872"/>
          </w:tcPr>
          <w:p>
            <w:pPr>
              <w:spacing w:after="40"/>
            </w:pPr>
            <w:r/>
            <w:r>
              <w:rPr>
                <w:b/>
                <w:sz w:val="18"/>
              </w:rPr>
              <w:t>Precision</w:t>
            </w:r>
          </w:p>
        </w:tc>
        <w:tc>
          <w:tcPr>
            <w:tcW w:type="dxa" w:w="1872"/>
          </w:tcPr>
          <w:p>
            <w:pPr>
              <w:spacing w:after="40"/>
            </w:pPr>
            <w:r/>
            <w:r>
              <w:rPr>
                <w:b/>
                <w:sz w:val="18"/>
              </w:rPr>
              <w:t>F1</w:t>
            </w:r>
          </w:p>
        </w:tc>
      </w:tr>
      <w:tr>
        <w:tc>
          <w:tcPr>
            <w:tcW w:type="dxa" w:w="1872"/>
          </w:tcPr>
          <w:p>
            <w:pPr>
              <w:spacing w:after="40"/>
            </w:pPr>
            <w:r/>
            <w:r>
              <w:rPr>
                <w:sz w:val="18"/>
              </w:rPr>
              <w:t>Wang et al. — KRTunnel, Isolation Forest stage, mobile DNS tunnel traffic (</w:t>
            </w:r>
            <w:r>
              <w:rPr>
                <w:b/>
                <w:sz w:val="18"/>
              </w:rPr>
              <w:t>not independently verified against full text</w:t>
            </w:r>
            <w:r>
              <w:rPr>
                <w:sz w:val="18"/>
              </w:rPr>
              <w:t>)</w:t>
            </w:r>
          </w:p>
        </w:tc>
        <w:tc>
          <w:tcPr>
            <w:tcW w:type="dxa" w:w="1872"/>
          </w:tcPr>
          <w:p>
            <w:pPr>
              <w:spacing w:after="40"/>
            </w:pPr>
            <w:r/>
            <w:r>
              <w:rPr>
                <w:sz w:val="18"/>
              </w:rPr>
              <w:t>98.1%</w:t>
            </w:r>
          </w:p>
        </w:tc>
        <w:tc>
          <w:tcPr>
            <w:tcW w:type="dxa" w:w="1872"/>
          </w:tcPr>
          <w:p>
            <w:pPr>
              <w:spacing w:after="40"/>
            </w:pPr>
            <w:r/>
            <w:r>
              <w:rPr>
                <w:sz w:val="18"/>
              </w:rPr>
              <w:t>—</w:t>
            </w:r>
          </w:p>
        </w:tc>
        <w:tc>
          <w:tcPr>
            <w:tcW w:type="dxa" w:w="1872"/>
          </w:tcPr>
          <w:p>
            <w:pPr>
              <w:spacing w:after="40"/>
            </w:pPr>
            <w:r/>
            <w:r>
              <w:rPr>
                <w:sz w:val="18"/>
              </w:rPr>
              <w:t>—</w:t>
            </w:r>
          </w:p>
        </w:tc>
        <w:tc>
          <w:tcPr>
            <w:tcW w:type="dxa" w:w="1872"/>
          </w:tcPr>
          <w:p>
            <w:pPr>
              <w:spacing w:after="40"/>
            </w:pPr>
            <w:r/>
            <w:r>
              <w:rPr>
                <w:sz w:val="18"/>
              </w:rPr>
              <w:t>—</w:t>
            </w:r>
          </w:p>
        </w:tc>
      </w:tr>
      <w:tr>
        <w:tc>
          <w:tcPr>
            <w:tcW w:type="dxa" w:w="1872"/>
          </w:tcPr>
          <w:p>
            <w:pPr>
              <w:spacing w:after="40"/>
            </w:pPr>
            <w:r/>
            <w:r>
              <w:rPr>
                <w:b/>
                <w:sz w:val="18"/>
              </w:rPr>
              <w:t>This project — Isolation Forest, Dataset A</w:t>
            </w:r>
          </w:p>
        </w:tc>
        <w:tc>
          <w:tcPr>
            <w:tcW w:type="dxa" w:w="1872"/>
          </w:tcPr>
          <w:p>
            <w:pPr>
              <w:spacing w:after="40"/>
            </w:pPr>
            <w:r/>
            <w:r>
              <w:rPr>
                <w:sz w:val="18"/>
              </w:rPr>
              <w:t>—</w:t>
            </w:r>
          </w:p>
        </w:tc>
        <w:tc>
          <w:tcPr>
            <w:tcW w:type="dxa" w:w="1872"/>
          </w:tcPr>
          <w:p>
            <w:pPr>
              <w:spacing w:after="40"/>
            </w:pPr>
            <w:r/>
            <w:r>
              <w:rPr>
                <w:sz w:val="18"/>
              </w:rPr>
              <w:t>7.45%</w:t>
            </w:r>
          </w:p>
        </w:tc>
        <w:tc>
          <w:tcPr>
            <w:tcW w:type="dxa" w:w="1872"/>
          </w:tcPr>
          <w:p>
            <w:pPr>
              <w:spacing w:after="40"/>
            </w:pPr>
            <w:r/>
            <w:r>
              <w:rPr>
                <w:sz w:val="18"/>
              </w:rPr>
              <w:t>—</w:t>
            </w:r>
          </w:p>
        </w:tc>
        <w:tc>
          <w:tcPr>
            <w:tcW w:type="dxa" w:w="1872"/>
          </w:tcPr>
          <w:p>
            <w:pPr>
              <w:spacing w:after="40"/>
            </w:pPr>
            <w:r/>
            <w:r>
              <w:rPr>
                <w:b/>
                <w:sz w:val="18"/>
              </w:rPr>
              <w:t>0.1050</w:t>
            </w:r>
          </w:p>
        </w:tc>
      </w:tr>
      <w:tr>
        <w:tc>
          <w:tcPr>
            <w:tcW w:type="dxa" w:w="1872"/>
          </w:tcPr>
          <w:p>
            <w:pPr>
              <w:spacing w:after="40"/>
            </w:pPr>
            <w:r/>
            <w:r>
              <w:rPr>
                <w:b/>
                <w:sz w:val="18"/>
              </w:rPr>
              <w:t>This project — Isolation Forest, Dataset B hard framing</w:t>
            </w:r>
          </w:p>
        </w:tc>
        <w:tc>
          <w:tcPr>
            <w:tcW w:type="dxa" w:w="1872"/>
          </w:tcPr>
          <w:p>
            <w:pPr>
              <w:spacing w:after="40"/>
            </w:pPr>
            <w:r/>
            <w:r>
              <w:rPr>
                <w:sz w:val="18"/>
              </w:rPr>
              <w:t>—</w:t>
            </w:r>
          </w:p>
        </w:tc>
        <w:tc>
          <w:tcPr>
            <w:tcW w:type="dxa" w:w="1872"/>
          </w:tcPr>
          <w:p>
            <w:pPr>
              <w:spacing w:after="40"/>
            </w:pPr>
            <w:r/>
            <w:r>
              <w:rPr>
                <w:sz w:val="18"/>
              </w:rPr>
              <w:t>23.91%</w:t>
            </w:r>
          </w:p>
        </w:tc>
        <w:tc>
          <w:tcPr>
            <w:tcW w:type="dxa" w:w="1872"/>
          </w:tcPr>
          <w:p>
            <w:pPr>
              <w:spacing w:after="40"/>
            </w:pPr>
            <w:r/>
            <w:r>
              <w:rPr>
                <w:sz w:val="18"/>
              </w:rPr>
              <w:t>59.51%</w:t>
            </w:r>
          </w:p>
        </w:tc>
        <w:tc>
          <w:tcPr>
            <w:tcW w:type="dxa" w:w="1872"/>
          </w:tcPr>
          <w:p>
            <w:pPr>
              <w:spacing w:after="40"/>
            </w:pPr>
            <w:r/>
            <w:r>
              <w:rPr>
                <w:b/>
                <w:sz w:val="18"/>
              </w:rPr>
              <w:t>0.3411</w:t>
            </w:r>
          </w:p>
        </w:tc>
      </w:tr>
    </w:tbl>
    <w:p>
      <w:pPr>
        <w:spacing w:after="80"/>
      </w:pPr>
    </w:p>
    <w:p>
      <w:r>
        <w:rPr>
          <w:b/>
        </w:rPr>
        <w:t>This is the starkest gap in the entire benchmark comparison, and it is reported plainly rather than explained away.</w:t>
      </w:r>
      <w:r>
        <w:t xml:space="preserve"> Wang et al.'s 98.1% accuracy figure is not independently verified (Ch 6.2 — every fetch attempt returned HTTP 403; the number comes from an indexed search snippet, not the paper itself), and accuracy alone is a weak metric under class imbalance — their paper does not disclose a Recall/Precision/F1 triple this project can compare against directly. But even granting real uncertainty about their exact number, </w:t>
      </w:r>
      <w:r>
        <w:rPr>
          <w:b/>
        </w:rPr>
        <w:t>the direction of the gap is not in question: this project's Isolation Forest performs far below a usable detector on both of this project's datasets</w:t>
      </w:r>
      <w:r>
        <w:t xml:space="preserve">, and that finding has an already-established, independently-diagnosed cause that has nothing to do with benchmark comparison at all — </w:t>
      </w:r>
      <w:r>
        <w:rPr>
          <w:b/>
        </w:rPr>
        <w:t>Step 2E's core result, confirmed a second way by the Autoencoder (§8.3.4) and a third way in Chapter 5's transfer collapse: on both of this project's datasets, exfiltration/tunnel traffic is not a minority density relative to benign traffic</w:t>
      </w:r>
      <w:r>
        <w:t xml:space="preserve"> (Dataset A's Isolation Forest even scores ROC-AUC=0.2610, </w:t>
      </w:r>
      <w:r>
        <w:rPr>
          <w:i/>
        </w:rPr>
        <w:t>below</w:t>
      </w:r>
      <w:r>
        <w:t xml:space="preserve"> chance). KRTunnel's mobile-device deployment context is plausibly a genuine low-base-rate, minority-anomaly setting — exactly the premise Isolation Forest requires and exactly the premise this project's two datasets (deliberately built with substantial attack proportions for supervised-model statistical power, D5/D8) do not supply. </w:t>
      </w:r>
      <w:r>
        <w:rPr>
          <w:b/>
        </w:rPr>
        <w:t>The gap is best read as evidence about this project's specific datasets' density structure, not as a general indictment of Isolation Forest as an architecture</w:t>
      </w:r>
      <w:r>
        <w:t xml:space="preserve"> — a distinction worth making precisely because conflating the two would understate what Chapters 5 and 8.1 already independently established, and overstate what this one comparison alone can support given the unverified benchmark number.</w:t>
      </w:r>
    </w:p>
    <w:p>
      <w:pPr>
        <w:pStyle w:val="Heading2"/>
      </w:pPr>
      <w:r>
        <w:t>8.3.4 Autoencoder vs. De Bernardi et al. (2025)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p>
        </w:tc>
        <w:tc>
          <w:tcPr>
            <w:tcW w:type="dxa" w:w="2340"/>
          </w:tcPr>
          <w:p>
            <w:pPr>
              <w:spacing w:after="40"/>
            </w:pPr>
            <w:r/>
            <w:r>
              <w:rPr>
                <w:b/>
                <w:sz w:val="18"/>
              </w:rPr>
              <w:t>Recall</w:t>
            </w:r>
          </w:p>
        </w:tc>
        <w:tc>
          <w:tcPr>
            <w:tcW w:type="dxa" w:w="2340"/>
          </w:tcPr>
          <w:p>
            <w:pPr>
              <w:spacing w:after="40"/>
            </w:pPr>
            <w:r/>
            <w:r>
              <w:rPr>
                <w:b/>
                <w:sz w:val="18"/>
              </w:rPr>
              <w:t>Precision</w:t>
            </w:r>
          </w:p>
        </w:tc>
        <w:tc>
          <w:tcPr>
            <w:tcW w:type="dxa" w:w="2340"/>
          </w:tcPr>
          <w:p>
            <w:pPr>
              <w:spacing w:after="40"/>
            </w:pPr>
            <w:r/>
            <w:r>
              <w:rPr>
                <w:b/>
                <w:sz w:val="18"/>
              </w:rPr>
              <w:t>F1</w:t>
            </w:r>
          </w:p>
        </w:tc>
      </w:tr>
      <w:tr>
        <w:tc>
          <w:tcPr>
            <w:tcW w:type="dxa" w:w="2340"/>
          </w:tcPr>
          <w:p>
            <w:pPr>
              <w:spacing w:after="40"/>
            </w:pPr>
            <w:r/>
            <w:r>
              <w:rPr>
                <w:sz w:val="18"/>
              </w:rPr>
              <w:t>De Bernardi et al. — Rule-Based eXplainable Autoencoder for DNS Tunneling Detection (</w:t>
            </w:r>
            <w:r>
              <w:rPr>
                <w:b/>
                <w:sz w:val="18"/>
              </w:rPr>
              <w:t>citation confirmed; dataset, configuration, and all numbers unverified</w:t>
            </w:r>
            <w:r>
              <w:rPr>
                <w:sz w:val="18"/>
              </w:rPr>
              <w:t>)</w:t>
            </w:r>
          </w:p>
        </w:tc>
        <w:tc>
          <w:tcPr>
            <w:tcW w:type="dxa" w:w="2340"/>
          </w:tcPr>
          <w:p>
            <w:pPr>
              <w:spacing w:after="40"/>
            </w:pPr>
            <w:r/>
            <w:r>
              <w:rPr>
                <w:sz w:val="18"/>
              </w:rPr>
              <w:t>—</w:t>
            </w:r>
          </w:p>
        </w:tc>
        <w:tc>
          <w:tcPr>
            <w:tcW w:type="dxa" w:w="2340"/>
          </w:tcPr>
          <w:p>
            <w:pPr>
              <w:spacing w:after="40"/>
            </w:pPr>
            <w:r/>
            <w:r>
              <w:rPr>
                <w:sz w:val="18"/>
              </w:rPr>
              <w:t>—</w:t>
            </w:r>
          </w:p>
        </w:tc>
        <w:tc>
          <w:tcPr>
            <w:tcW w:type="dxa" w:w="2340"/>
          </w:tcPr>
          <w:p>
            <w:pPr>
              <w:spacing w:after="40"/>
            </w:pPr>
            <w:r/>
            <w:r>
              <w:rPr>
                <w:sz w:val="18"/>
              </w:rPr>
              <w:t>—</w:t>
            </w:r>
          </w:p>
        </w:tc>
      </w:tr>
      <w:tr>
        <w:tc>
          <w:tcPr>
            <w:tcW w:type="dxa" w:w="2340"/>
          </w:tcPr>
          <w:p>
            <w:pPr>
              <w:spacing w:after="40"/>
            </w:pPr>
            <w:r/>
            <w:r>
              <w:rPr>
                <w:b/>
                <w:sz w:val="18"/>
              </w:rPr>
              <w:t>This project — Autoencoder, Dataset A</w:t>
            </w:r>
          </w:p>
        </w:tc>
        <w:tc>
          <w:tcPr>
            <w:tcW w:type="dxa" w:w="2340"/>
          </w:tcPr>
          <w:p>
            <w:pPr>
              <w:spacing w:after="40"/>
            </w:pPr>
            <w:r/>
            <w:r>
              <w:rPr>
                <w:sz w:val="18"/>
              </w:rPr>
              <w:t>2.34%</w:t>
            </w:r>
          </w:p>
        </w:tc>
        <w:tc>
          <w:tcPr>
            <w:tcW w:type="dxa" w:w="2340"/>
          </w:tcPr>
          <w:p>
            <w:pPr>
              <w:spacing w:after="40"/>
            </w:pPr>
            <w:r/>
            <w:r>
              <w:rPr>
                <w:sz w:val="18"/>
              </w:rPr>
              <w:t>30.06%</w:t>
            </w:r>
          </w:p>
        </w:tc>
        <w:tc>
          <w:tcPr>
            <w:tcW w:type="dxa" w:w="2340"/>
          </w:tcPr>
          <w:p>
            <w:pPr>
              <w:spacing w:after="40"/>
            </w:pPr>
            <w:r/>
            <w:r>
              <w:rPr>
                <w:b/>
                <w:sz w:val="18"/>
              </w:rPr>
              <w:t>0.0434</w:t>
            </w:r>
            <w:r>
              <w:rPr>
                <w:sz w:val="18"/>
              </w:rPr>
              <w:t xml:space="preserve"> (ROC-AUC=0.2643, below chance)</w:t>
            </w:r>
          </w:p>
        </w:tc>
      </w:tr>
      <w:tr>
        <w:tc>
          <w:tcPr>
            <w:tcW w:type="dxa" w:w="2340"/>
          </w:tcPr>
          <w:p>
            <w:pPr>
              <w:spacing w:after="40"/>
            </w:pPr>
            <w:r/>
            <w:r>
              <w:rPr>
                <w:b/>
                <w:sz w:val="18"/>
              </w:rPr>
              <w:t>This project — Autoencoder, Dataset B hard framing</w:t>
            </w:r>
          </w:p>
        </w:tc>
        <w:tc>
          <w:tcPr>
            <w:tcW w:type="dxa" w:w="2340"/>
          </w:tcPr>
          <w:p>
            <w:pPr>
              <w:spacing w:after="40"/>
            </w:pPr>
            <w:r/>
            <w:r>
              <w:rPr>
                <w:sz w:val="18"/>
              </w:rPr>
              <w:t>26.81%</w:t>
            </w:r>
          </w:p>
        </w:tc>
        <w:tc>
          <w:tcPr>
            <w:tcW w:type="dxa" w:w="2340"/>
          </w:tcPr>
          <w:p>
            <w:pPr>
              <w:spacing w:after="40"/>
            </w:pPr>
            <w:r/>
            <w:r>
              <w:rPr>
                <w:sz w:val="18"/>
              </w:rPr>
              <w:t>84.00%</w:t>
            </w:r>
          </w:p>
        </w:tc>
        <w:tc>
          <w:tcPr>
            <w:tcW w:type="dxa" w:w="2340"/>
          </w:tcPr>
          <w:p>
            <w:pPr>
              <w:spacing w:after="40"/>
            </w:pPr>
            <w:r/>
            <w:r>
              <w:rPr>
                <w:b/>
                <w:sz w:val="18"/>
              </w:rPr>
              <w:t>0.4064</w:t>
            </w:r>
            <w:r>
              <w:rPr>
                <w:sz w:val="18"/>
              </w:rPr>
              <w:t xml:space="preserve"> (below majority baseline 0.6667)</w:t>
            </w:r>
          </w:p>
        </w:tc>
      </w:tr>
    </w:tbl>
    <w:p>
      <w:pPr>
        <w:spacing w:after="80"/>
      </w:pPr>
    </w:p>
    <w:p>
      <w:r>
        <w:rPr>
          <w:b/>
        </w:rPr>
        <w:t>No real numeric comparison is possible here, and this is stated plainly rather than papered over with an approximate or assumed figure.</w:t>
      </w:r>
      <w:r>
        <w:t xml:space="preserve"> Every fetch attempt for De Bernardi et al. (the MDPI landing page, the MDPI full-text HTML variant, and a ProQuest PDF mirror) returned either HTTP 403 or no extractable body text (Ch 6.2); the citation itself (authors, year, title, venue, DOI) is confirmed via two independent sources, but the dataset, architecture configuration, and every reported metric are not. This project's own Autoencoder results are genuinely poor on both datasets — below the majority baseline on Dataset B, below-chance ROC-AUC on Dataset A — and echo Isolation Forest's diagnosis almost exactly: </w:t>
      </w:r>
      <w:r>
        <w:rPr>
          <w:b/>
        </w:rPr>
        <w:t>two structurally unrelated unsupervised architectures (density-based isolation, reconstruction error) both invert on Dataset A specifically</w:t>
      </w:r>
      <w:r>
        <w:t>, strong triangulated evidence (Ch 8.1) that Dataset A's benign and attack traffic are not separated by the kind of "the minority class looks statistically unusual" assumption either unsupervised method depends on. Whether De Bernardi et al.'s rule-based, explainable autoencoder variant would fare differently on this project's data cannot be assessed without a working comparison number — flagged as an open gap rather than assumed away in either direction.</w:t>
      </w:r>
    </w:p>
    <w:p>
      <w:pPr>
        <w:pStyle w:val="Heading2"/>
      </w:pPr>
      <w:r>
        <w:t>8.3.5 Summary — what actually explains each gap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b/>
                <w:sz w:val="18"/>
              </w:rPr>
              <w:t>model</w:t>
            </w:r>
          </w:p>
        </w:tc>
        <w:tc>
          <w:tcPr>
            <w:tcW w:type="dxa" w:w="2340"/>
          </w:tcPr>
          <w:p>
            <w:pPr>
              <w:spacing w:after="40"/>
            </w:pPr>
            <w:r/>
            <w:r>
              <w:rPr>
                <w:b/>
                <w:sz w:val="18"/>
              </w:rPr>
              <w:t>vs. benchmark</w:t>
            </w:r>
          </w:p>
        </w:tc>
        <w:tc>
          <w:tcPr>
            <w:tcW w:type="dxa" w:w="2340"/>
          </w:tcPr>
          <w:p>
            <w:pPr>
              <w:spacing w:after="40"/>
            </w:pPr>
            <w:r/>
            <w:r>
              <w:rPr>
                <w:b/>
                <w:sz w:val="18"/>
              </w:rPr>
              <w:t>direction</w:t>
            </w:r>
          </w:p>
        </w:tc>
        <w:tc>
          <w:tcPr>
            <w:tcW w:type="dxa" w:w="2340"/>
          </w:tcPr>
          <w:p>
            <w:pPr>
              <w:spacing w:after="40"/>
            </w:pPr>
            <w:r/>
            <w:r>
              <w:rPr>
                <w:b/>
                <w:sz w:val="18"/>
              </w:rPr>
              <w:t>primary cause</w:t>
            </w:r>
          </w:p>
        </w:tc>
      </w:tr>
      <w:tr>
        <w:tc>
          <w:tcPr>
            <w:tcW w:type="dxa" w:w="2340"/>
          </w:tcPr>
          <w:p>
            <w:pPr>
              <w:spacing w:after="40"/>
            </w:pPr>
            <w:r/>
            <w:r>
              <w:rPr>
                <w:sz w:val="18"/>
              </w:rPr>
              <w:t>XGBoost</w:t>
            </w:r>
          </w:p>
        </w:tc>
        <w:tc>
          <w:tcPr>
            <w:tcW w:type="dxa" w:w="2340"/>
          </w:tcPr>
          <w:p>
            <w:pPr>
              <w:spacing w:after="40"/>
            </w:pPr>
            <w:r/>
            <w:r>
              <w:rPr>
                <w:sz w:val="18"/>
              </w:rPr>
              <w:t>Abrahim et al. (2026)</w:t>
            </w:r>
          </w:p>
        </w:tc>
        <w:tc>
          <w:tcPr>
            <w:tcW w:type="dxa" w:w="2340"/>
          </w:tcPr>
          <w:p>
            <w:pPr>
              <w:spacing w:after="40"/>
            </w:pPr>
            <w:r/>
            <w:r>
              <w:rPr>
                <w:b/>
                <w:sz w:val="18"/>
              </w:rPr>
              <w:t>matches/exceeds</w:t>
            </w:r>
          </w:p>
        </w:tc>
        <w:tc>
          <w:tcPr>
            <w:tcW w:type="dxa" w:w="2340"/>
          </w:tcPr>
          <w:p>
            <w:pPr>
              <w:spacing w:after="40"/>
            </w:pPr>
            <w:r/>
            <w:r>
              <w:rPr>
                <w:sz w:val="18"/>
              </w:rPr>
              <w:t>not primarily framing (plan's prediction didn't hold) — likely standalone-vs-ensemble comparison working in our favour</w:t>
            </w:r>
          </w:p>
        </w:tc>
      </w:tr>
      <w:tr>
        <w:tc>
          <w:tcPr>
            <w:tcW w:type="dxa" w:w="2340"/>
          </w:tcPr>
          <w:p>
            <w:pPr>
              <w:spacing w:after="40"/>
            </w:pPr>
            <w:r/>
            <w:r>
              <w:rPr>
                <w:sz w:val="18"/>
              </w:rPr>
              <w:t>CNN</w:t>
            </w:r>
          </w:p>
        </w:tc>
        <w:tc>
          <w:tcPr>
            <w:tcW w:type="dxa" w:w="2340"/>
          </w:tcPr>
          <w:p>
            <w:pPr>
              <w:spacing w:after="40"/>
            </w:pPr>
            <w:r/>
            <w:r>
              <w:rPr>
                <w:sz w:val="18"/>
              </w:rPr>
              <w:t>Li et al. (2024)</w:t>
            </w:r>
          </w:p>
        </w:tc>
        <w:tc>
          <w:tcPr>
            <w:tcW w:type="dxa" w:w="2340"/>
          </w:tcPr>
          <w:p>
            <w:pPr>
              <w:spacing w:after="40"/>
            </w:pPr>
            <w:r/>
            <w:r>
              <w:rPr>
                <w:sz w:val="18"/>
              </w:rPr>
              <w:t>recall higher, F1 lower</w:t>
            </w:r>
          </w:p>
        </w:tc>
        <w:tc>
          <w:tcPr>
            <w:tcW w:type="dxa" w:w="2340"/>
          </w:tcPr>
          <w:p>
            <w:pPr>
              <w:spacing w:after="40"/>
            </w:pPr>
            <w:r/>
            <w:r>
              <w:rPr>
                <w:sz w:val="18"/>
              </w:rPr>
              <w:t>structural: their model has sequence-level (Transformer) access this project's feature-only schema deliberately excludes (D1)</w:t>
            </w:r>
          </w:p>
        </w:tc>
      </w:tr>
      <w:tr>
        <w:tc>
          <w:tcPr>
            <w:tcW w:type="dxa" w:w="2340"/>
          </w:tcPr>
          <w:p>
            <w:pPr>
              <w:spacing w:after="40"/>
            </w:pPr>
            <w:r/>
            <w:r>
              <w:rPr>
                <w:sz w:val="18"/>
              </w:rPr>
              <w:t>Isolation Forest</w:t>
            </w:r>
          </w:p>
        </w:tc>
        <w:tc>
          <w:tcPr>
            <w:tcW w:type="dxa" w:w="2340"/>
          </w:tcPr>
          <w:p>
            <w:pPr>
              <w:spacing w:after="40"/>
            </w:pPr>
            <w:r/>
            <w:r>
              <w:rPr>
                <w:sz w:val="18"/>
              </w:rPr>
              <w:t>Wang et al. (2022)</w:t>
            </w:r>
          </w:p>
        </w:tc>
        <w:tc>
          <w:tcPr>
            <w:tcW w:type="dxa" w:w="2340"/>
          </w:tcPr>
          <w:p>
            <w:pPr>
              <w:spacing w:after="40"/>
            </w:pPr>
            <w:r/>
            <w:r>
              <w:rPr>
                <w:sz w:val="18"/>
              </w:rPr>
              <w:t>far below</w:t>
            </w:r>
          </w:p>
        </w:tc>
        <w:tc>
          <w:tcPr>
            <w:tcW w:type="dxa" w:w="2340"/>
          </w:tcPr>
          <w:p>
            <w:pPr>
              <w:spacing w:after="40"/>
            </w:pPr>
            <w:r/>
            <w:r>
              <w:rPr>
                <w:sz w:val="18"/>
              </w:rPr>
              <w:t>dataset-specific: attack is not a minority density on either of this project's datasets (Step 2E), independent of benchmark uncertainty</w:t>
            </w:r>
          </w:p>
        </w:tc>
      </w:tr>
      <w:tr>
        <w:tc>
          <w:tcPr>
            <w:tcW w:type="dxa" w:w="2340"/>
          </w:tcPr>
          <w:p>
            <w:pPr>
              <w:spacing w:after="40"/>
            </w:pPr>
            <w:r/>
            <w:r>
              <w:rPr>
                <w:sz w:val="18"/>
              </w:rPr>
              <w:t>Autoencoder</w:t>
            </w:r>
          </w:p>
        </w:tc>
        <w:tc>
          <w:tcPr>
            <w:tcW w:type="dxa" w:w="2340"/>
          </w:tcPr>
          <w:p>
            <w:pPr>
              <w:spacing w:after="40"/>
            </w:pPr>
            <w:r/>
            <w:r>
              <w:rPr>
                <w:sz w:val="18"/>
              </w:rPr>
              <w:t>De Bernardi et al. (2025)</w:t>
            </w:r>
          </w:p>
        </w:tc>
        <w:tc>
          <w:tcPr>
            <w:tcW w:type="dxa" w:w="2340"/>
          </w:tcPr>
          <w:p>
            <w:pPr>
              <w:spacing w:after="40"/>
            </w:pPr>
            <w:r/>
            <w:r>
              <w:rPr>
                <w:sz w:val="18"/>
              </w:rPr>
              <w:t>not comparable</w:t>
            </w:r>
          </w:p>
        </w:tc>
        <w:tc>
          <w:tcPr>
            <w:tcW w:type="dxa" w:w="2340"/>
          </w:tcPr>
          <w:p>
            <w:pPr>
              <w:spacing w:after="40"/>
            </w:pPr>
            <w:r/>
            <w:r>
              <w:rPr>
                <w:sz w:val="18"/>
              </w:rPr>
              <w:t>benchmark paper's numbers are unverifiable, not a methodology gap on this project's side</w:t>
            </w:r>
          </w:p>
        </w:tc>
      </w:tr>
    </w:tbl>
    <w:p>
      <w:pPr>
        <w:spacing w:after="80"/>
      </w:pPr>
    </w:p>
    <w:p>
      <w:r>
        <w:rPr>
          <w:b/>
        </w:rPr>
        <w:t>The plan's anticipated single explanation ("our hard framing looks worse because published work uses the easier framing") turned out to explain none of the four gaps observed.</w:t>
      </w:r>
      <w:r>
        <w:t xml:space="preserve"> The real causes are more specific and more informative: an ensemble-vs-standalone comparison, a feature-access asymmetry between architectures, a dataset-specific structural property already independently diagnosed in Chapters 5 and 8.1, and one benchmark that simply could not be verified. Reporting the specific cause per model, rather than one assumed mechanism applied uniformly, is the more defensible use of this comparison — and is itself consistent with this report's D4 dual-framing design, which exists precisely to let a claim like "our number looks different because of framing" be checked rather than asserted.</w:t>
      </w:r>
    </w:p>
    <w:p>
      <w:r>
        <w:br w:type="page"/>
      </w:r>
    </w:p>
    <w:p>
      <w:pPr>
        <w:pStyle w:val="Heading1"/>
      </w:pPr>
      <w:r>
        <w:t>Chapter 8.4 — The Hybrid Cascade</w:t>
      </w:r>
    </w:p>
    <w:p>
      <w:pPr>
        <w:pStyle w:val="Heading2"/>
      </w:pPr>
      <w:r>
        <w:t>8.4.1 Rationale</w:t>
      </w:r>
    </w:p>
    <w:p>
      <w:r>
        <w:t xml:space="preserve">A single supervised model scores every row with the same expensive machinery, whether that row is obviously benign or genuinely ambiguous. A real SOC does not work that way: cheap signals triage the bulk of traffic, and only the hard cases reach an analyst (or, in this project's design, the most expensive stage). </w:t>
      </w:r>
      <w:r>
        <w:rPr>
          <w:rFonts w:ascii="Consolas" w:hAnsi="Consolas"/>
          <w:sz w:val="20"/>
        </w:rPr>
        <w:t>ensemble/cascade.py</w:t>
      </w:r>
      <w:r>
        <w:t xml:space="preserve"> implements that triage as three stages, chained so each does what it is individually best at:</w:t>
      </w:r>
    </w:p>
    <w:p>
      <w:pPr>
        <w:pStyle w:val="ListBullet"/>
      </w:pPr>
      <w:r>
        <w:rPr>
          <w:b/>
        </w:rPr>
        <w:t>Stage 1 — Isolation Forest</w:t>
      </w:r>
      <w:r>
        <w:t xml:space="preserve">, tuned for </w:t>
      </w:r>
      <w:r>
        <w:rPr>
          <w:b/>
        </w:rPr>
        <w:t>recall</w:t>
      </w:r>
      <w:r>
        <w:t xml:space="preserve"> (Chapter 6.1, Chapter 7.3 sweep 2), reads every</w:t>
      </w:r>
    </w:p>
    <w:p>
      <w:r>
        <w:t xml:space="preserve">  row and discards whatever it scores as unambiguously normal. A first-stage filter's failure mode   (missing an attack, which no downstream stage can ever recover) is categorically worse than its   success mode being merely permissive, so the contamination threshold is chosen by   </w:t>
      </w:r>
      <w:r>
        <w:rPr>
          <w:rFonts w:ascii="Consolas" w:hAnsi="Consolas"/>
          <w:sz w:val="20"/>
        </w:rPr>
        <w:t>select_cascade_contamination</w:t>
      </w:r>
      <w:r>
        <w:t xml:space="preserve"> to maximise recall within an FPR budget, not to maximise F1.</w:t>
      </w:r>
    </w:p>
    <w:p>
      <w:pPr>
        <w:pStyle w:val="ListBullet"/>
      </w:pPr>
      <w:r>
        <w:rPr>
          <w:b/>
        </w:rPr>
        <w:t>Stage 2 — XGBoost</w:t>
      </w:r>
      <w:r>
        <w:t xml:space="preserve"> scores the survivors. Confident predictions resolve directly.</w:t>
      </w:r>
    </w:p>
    <w:p>
      <w:pPr>
        <w:pStyle w:val="ListBullet"/>
      </w:pPr>
      <w:r>
        <w:rPr>
          <w:b/>
        </w:rPr>
        <w:t>Stage 3 — escalation</w:t>
      </w:r>
      <w:r>
        <w:t xml:space="preserve"> triggers when XGBoost's probability falls in the ambiguous band</w:t>
      </w:r>
    </w:p>
    <w:p>
      <w:r>
        <w:t xml:space="preserve">  (</w:t>
      </w:r>
      <w:r>
        <w:rPr>
          <w:rFonts w:ascii="Consolas" w:hAnsi="Consolas"/>
          <w:sz w:val="20"/>
        </w:rPr>
        <w:t>0.35 ≤ P_xgb ≤ 0.65</w:t>
      </w:r>
      <w:r>
        <w:t xml:space="preserve">) </w:t>
      </w:r>
      <w:r>
        <w:rPr>
          <w:b/>
        </w:rPr>
        <w:t>or</w:t>
      </w:r>
      <w:r>
        <w:t xml:space="preserve"> XGBoost and the Autoencoder disagree — two structurally independent   models (Chapter 6.1) landing on different verdicts is itself a signal worth flagging, even when neither   probability is individually uncertain.</w:t>
      </w:r>
    </w:p>
    <w:p>
      <w:r>
        <w:t xml:space="preserve">Step 3D (an LLM arbiter that would resolve Stage 3's escalated rows) is deferred by default for this submission (decision D7) given the deadline. This is not a gap left silently in the pipeline: per Step 3D's own documented graceful-degradation rule, escalated rows fall back to XGBoost's own verdict, which </w:t>
      </w:r>
      <w:r>
        <w:rPr>
          <w:rFonts w:ascii="Consolas" w:hAnsi="Consolas"/>
          <w:sz w:val="20"/>
        </w:rPr>
        <w:t>ensemble/cascade.py</w:t>
      </w:r>
      <w:r>
        <w:t>'s module docstring states explicitly. Every metric reported below already reflects that fallback.</w:t>
      </w:r>
    </w:p>
    <w:p>
      <w:pPr>
        <w:pStyle w:val="Heading2"/>
      </w:pPr>
      <w:r>
        <w:t>8.4.2 Block diagram and funnel</w:t>
      </w:r>
    </w:p>
    <w:p>
      <w:pPr>
        <w:jc w:val="center"/>
      </w:pPr>
      <w:r>
        <w:drawing>
          <wp:inline xmlns:a="http://schemas.openxmlformats.org/drawingml/2006/main" xmlns:pic="http://schemas.openxmlformats.org/drawingml/2006/picture">
            <wp:extent cx="5029200" cy="2057400"/>
            <wp:docPr id="1" name="Picture 1"/>
            <wp:cNvGraphicFramePr>
              <a:graphicFrameLocks noChangeAspect="1"/>
            </wp:cNvGraphicFramePr>
            <a:graphic>
              <a:graphicData uri="http://schemas.openxmlformats.org/drawingml/2006/picture">
                <pic:pic>
                  <pic:nvPicPr>
                    <pic:cNvPr id="0" name="cascade_funnel_dohbrw2020_hard.png"/>
                    <pic:cNvPicPr/>
                  </pic:nvPicPr>
                  <pic:blipFill>
                    <a:blip r:embed="rId9"/>
                    <a:stretch>
                      <a:fillRect/>
                    </a:stretch>
                  </pic:blipFill>
                  <pic:spPr>
                    <a:xfrm>
                      <a:off x="0" y="0"/>
                      <a:ext cx="5029200" cy="2057400"/>
                    </a:xfrm>
                    <a:prstGeom prst="rect"/>
                  </pic:spPr>
                </pic:pic>
              </a:graphicData>
            </a:graphic>
          </wp:inline>
        </w:drawing>
      </w:r>
    </w:p>
    <w:p>
      <w:pPr>
        <w:jc w:val="center"/>
      </w:pPr>
      <w:r>
        <w:rPr>
          <w:i/>
          <w:sz w:val="20"/>
        </w:rPr>
        <w:t>Figure: Cascade funnel, Dataset B hard framing</w:t>
      </w:r>
    </w:p>
    <w:p>
      <w:r>
        <w:t xml:space="preserve">Run against real Dataset B, hard framing (39,614 rows total, </w:t>
      </w:r>
      <w:r>
        <w:rPr>
          <w:rFonts w:ascii="Consolas" w:hAnsi="Consolas"/>
          <w:sz w:val="20"/>
        </w:rPr>
        <w:t>positive_rate=0.5000</w:t>
      </w:r>
      <w:r>
        <w:t xml:space="preserve">, </w:t>
      </w:r>
      <w:r>
        <w:rPr>
          <w:rFonts w:ascii="Consolas" w:hAnsi="Consolas"/>
          <w:sz w:val="20"/>
        </w:rPr>
        <w:t>families="full"</w:t>
      </w:r>
      <w:r>
        <w:t>, 7,923-row held-out test split, single stratified 80/20 split rather than cross-validation — deliberate, since per-stage wall-clock latency is the property being measured here, and CV's repeated refit-per-fold has no equivalent meaning for a latency claim):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b/>
                <w:sz w:val="18"/>
              </w:rPr>
              <w:t>Stage</w:t>
            </w:r>
          </w:p>
        </w:tc>
        <w:tc>
          <w:tcPr>
            <w:tcW w:type="dxa" w:w="1560"/>
          </w:tcPr>
          <w:p>
            <w:pPr>
              <w:spacing w:after="40"/>
            </w:pPr>
            <w:r/>
            <w:r>
              <w:rPr>
                <w:b/>
                <w:sz w:val="18"/>
              </w:rPr>
              <w:t>Rows in</w:t>
            </w:r>
          </w:p>
        </w:tc>
        <w:tc>
          <w:tcPr>
            <w:tcW w:type="dxa" w:w="1560"/>
          </w:tcPr>
          <w:p>
            <w:pPr>
              <w:spacing w:after="40"/>
            </w:pPr>
            <w:r/>
            <w:r>
              <w:rPr>
                <w:b/>
                <w:sz w:val="18"/>
              </w:rPr>
              <w:t>Rows out</w:t>
            </w:r>
          </w:p>
        </w:tc>
        <w:tc>
          <w:tcPr>
            <w:tcW w:type="dxa" w:w="1560"/>
          </w:tcPr>
          <w:p>
            <w:pPr>
              <w:spacing w:after="40"/>
            </w:pPr>
            <w:r/>
            <w:r>
              <w:rPr>
                <w:b/>
                <w:sz w:val="18"/>
              </w:rPr>
              <w:t>Discarded/Resolved</w:t>
            </w:r>
          </w:p>
        </w:tc>
        <w:tc>
          <w:tcPr>
            <w:tcW w:type="dxa" w:w="1560"/>
          </w:tcPr>
          <w:p>
            <w:pPr>
              <w:spacing w:after="40"/>
            </w:pPr>
            <w:r/>
            <w:r>
              <w:rPr>
                <w:b/>
                <w:sz w:val="18"/>
              </w:rPr>
              <w:t>Fit latency</w:t>
            </w:r>
          </w:p>
        </w:tc>
        <w:tc>
          <w:tcPr>
            <w:tcW w:type="dxa" w:w="1560"/>
          </w:tcPr>
          <w:p>
            <w:pPr>
              <w:spacing w:after="40"/>
            </w:pPr>
            <w:r/>
            <w:r>
              <w:rPr>
                <w:b/>
                <w:sz w:val="18"/>
              </w:rPr>
              <w:t>Predict latency (per row)</w:t>
            </w:r>
          </w:p>
        </w:tc>
      </w:tr>
      <w:tr>
        <w:tc>
          <w:tcPr>
            <w:tcW w:type="dxa" w:w="1560"/>
          </w:tcPr>
          <w:p>
            <w:pPr>
              <w:spacing w:after="40"/>
            </w:pPr>
            <w:r/>
            <w:r>
              <w:rPr>
                <w:sz w:val="18"/>
              </w:rPr>
              <w:t>1 — Isolation Forest (contamination=0.30)</w:t>
            </w:r>
          </w:p>
        </w:tc>
        <w:tc>
          <w:tcPr>
            <w:tcW w:type="dxa" w:w="1560"/>
          </w:tcPr>
          <w:p>
            <w:pPr>
              <w:spacing w:after="40"/>
            </w:pPr>
            <w:r/>
            <w:r>
              <w:rPr>
                <w:sz w:val="18"/>
              </w:rPr>
              <w:t>7,923</w:t>
            </w:r>
          </w:p>
        </w:tc>
        <w:tc>
          <w:tcPr>
            <w:tcW w:type="dxa" w:w="1560"/>
          </w:tcPr>
          <w:p>
            <w:pPr>
              <w:spacing w:after="40"/>
            </w:pPr>
            <w:r/>
            <w:r>
              <w:rPr>
                <w:sz w:val="18"/>
              </w:rPr>
              <w:t>2,413 survive</w:t>
            </w:r>
          </w:p>
        </w:tc>
        <w:tc>
          <w:tcPr>
            <w:tcW w:type="dxa" w:w="1560"/>
          </w:tcPr>
          <w:p>
            <w:pPr>
              <w:spacing w:after="40"/>
            </w:pPr>
            <w:r/>
            <w:r>
              <w:rPr>
                <w:sz w:val="18"/>
              </w:rPr>
              <w:t>5,510 discarded (69.5%)</w:t>
            </w:r>
          </w:p>
        </w:tc>
        <w:tc>
          <w:tcPr>
            <w:tcW w:type="dxa" w:w="1560"/>
          </w:tcPr>
          <w:p>
            <w:pPr>
              <w:spacing w:after="40"/>
            </w:pPr>
            <w:r/>
            <w:r>
              <w:rPr>
                <w:sz w:val="18"/>
              </w:rPr>
              <w:t>1.87 s</w:t>
            </w:r>
          </w:p>
        </w:tc>
        <w:tc>
          <w:tcPr>
            <w:tcW w:type="dxa" w:w="1560"/>
          </w:tcPr>
          <w:p>
            <w:pPr>
              <w:spacing w:after="40"/>
            </w:pPr>
            <w:r/>
            <w:r>
              <w:rPr>
                <w:sz w:val="18"/>
              </w:rPr>
              <w:t>27.7 μs</w:t>
            </w:r>
          </w:p>
        </w:tc>
      </w:tr>
      <w:tr>
        <w:tc>
          <w:tcPr>
            <w:tcW w:type="dxa" w:w="1560"/>
          </w:tcPr>
          <w:p>
            <w:pPr>
              <w:spacing w:after="40"/>
            </w:pPr>
            <w:r/>
            <w:r>
              <w:rPr>
                <w:sz w:val="18"/>
              </w:rPr>
              <w:t>2 — XGBoost</w:t>
            </w:r>
          </w:p>
        </w:tc>
        <w:tc>
          <w:tcPr>
            <w:tcW w:type="dxa" w:w="1560"/>
          </w:tcPr>
          <w:p>
            <w:pPr>
              <w:spacing w:after="40"/>
            </w:pPr>
            <w:r/>
            <w:r>
              <w:rPr>
                <w:sz w:val="18"/>
              </w:rPr>
              <w:t>2,413</w:t>
            </w:r>
          </w:p>
        </w:tc>
        <w:tc>
          <w:tcPr>
            <w:tcW w:type="dxa" w:w="1560"/>
          </w:tcPr>
          <w:p>
            <w:pPr>
              <w:spacing w:after="40"/>
            </w:pPr>
            <w:r/>
            <w:r>
              <w:rPr>
                <w:sz w:val="18"/>
              </w:rPr>
              <w:t>1,732 confident</w:t>
            </w:r>
          </w:p>
        </w:tc>
        <w:tc>
          <w:tcPr>
            <w:tcW w:type="dxa" w:w="1560"/>
          </w:tcPr>
          <w:p>
            <w:pPr>
              <w:spacing w:after="40"/>
            </w:pPr>
            <w:r/>
            <w:r>
              <w:rPr>
                <w:sz w:val="18"/>
              </w:rPr>
              <w:t>681 escalate (28.2% of survivors)</w:t>
            </w:r>
          </w:p>
        </w:tc>
        <w:tc>
          <w:tcPr>
            <w:tcW w:type="dxa" w:w="1560"/>
          </w:tcPr>
          <w:p>
            <w:pPr>
              <w:spacing w:after="40"/>
            </w:pPr>
            <w:r/>
            <w:r>
              <w:rPr>
                <w:sz w:val="18"/>
              </w:rPr>
              <w:t>2.36 s</w:t>
            </w:r>
          </w:p>
        </w:tc>
        <w:tc>
          <w:tcPr>
            <w:tcW w:type="dxa" w:w="1560"/>
          </w:tcPr>
          <w:p>
            <w:pPr>
              <w:spacing w:after="40"/>
            </w:pPr>
            <w:r/>
            <w:r>
              <w:rPr>
                <w:sz w:val="18"/>
              </w:rPr>
              <w:t>5.7 μs</w:t>
            </w:r>
          </w:p>
        </w:tc>
      </w:tr>
      <w:tr>
        <w:tc>
          <w:tcPr>
            <w:tcW w:type="dxa" w:w="1560"/>
          </w:tcPr>
          <w:p>
            <w:pPr>
              <w:spacing w:after="40"/>
            </w:pPr>
            <w:r/>
            <w:r>
              <w:rPr>
                <w:sz w:val="18"/>
              </w:rPr>
              <w:t>3 — Escalation check</w:t>
            </w:r>
          </w:p>
        </w:tc>
        <w:tc>
          <w:tcPr>
            <w:tcW w:type="dxa" w:w="1560"/>
          </w:tcPr>
          <w:p>
            <w:pPr>
              <w:spacing w:after="40"/>
            </w:pPr>
            <w:r/>
            <w:r>
              <w:rPr>
                <w:sz w:val="18"/>
              </w:rPr>
              <w:t>2,413</w:t>
            </w:r>
          </w:p>
        </w:tc>
        <w:tc>
          <w:tcPr>
            <w:tcW w:type="dxa" w:w="1560"/>
          </w:tcPr>
          <w:p>
            <w:pPr>
              <w:spacing w:after="40"/>
            </w:pPr>
            <w:r/>
            <w:r>
              <w:rPr>
                <w:sz w:val="18"/>
              </w:rPr>
              <w:t>—</w:t>
            </w:r>
          </w:p>
        </w:tc>
        <w:tc>
          <w:tcPr>
            <w:tcW w:type="dxa" w:w="1560"/>
          </w:tcPr>
          <w:p>
            <w:pPr>
              <w:spacing w:after="40"/>
            </w:pPr>
            <w:r/>
            <w:r>
              <w:rPr>
                <w:sz w:val="18"/>
              </w:rPr>
              <w:t xml:space="preserve">681 escalated: </w:t>
            </w:r>
            <w:r>
              <w:rPr>
                <w:b/>
                <w:sz w:val="18"/>
              </w:rPr>
              <w:t>0 via probability band, 681 via XGBoost/Autoencoder disagreement</w:t>
            </w:r>
          </w:p>
        </w:tc>
        <w:tc>
          <w:tcPr>
            <w:tcW w:type="dxa" w:w="1560"/>
          </w:tcPr>
          <w:p>
            <w:pPr>
              <w:spacing w:after="40"/>
            </w:pPr>
            <w:r/>
            <w:r>
              <w:rPr>
                <w:sz w:val="18"/>
              </w:rPr>
              <w:t>(Autoencoder fit 31.9 s)</w:t>
            </w:r>
          </w:p>
        </w:tc>
        <w:tc>
          <w:tcPr>
            <w:tcW w:type="dxa" w:w="1560"/>
          </w:tcPr>
          <w:p>
            <w:pPr>
              <w:spacing w:after="40"/>
            </w:pPr>
            <w:r/>
            <w:r>
              <w:rPr>
                <w:sz w:val="18"/>
              </w:rPr>
              <w:t>23.9 μs (AE)</w:t>
            </w:r>
          </w:p>
        </w:tc>
      </w:tr>
    </w:tbl>
    <w:p>
      <w:pPr>
        <w:spacing w:after="80"/>
      </w:pPr>
    </w:p>
    <w:p>
      <w:r>
        <w:t xml:space="preserve">Stage 1's contamination (0.30) was selected by </w:t>
      </w:r>
      <w:r>
        <w:rPr>
          <w:rFonts w:ascii="Consolas" w:hAnsi="Consolas"/>
          <w:sz w:val="20"/>
        </w:rPr>
        <w:t>select_cascade_contamination(max_tolerable_fpr=0.5)</w:t>
      </w:r>
      <w:r>
        <w:t xml:space="preserve"> — reusing Step 2E's own cascade-threshold rule rather than hand-picking a value — at recall 0.331 / FPR 0.268. 681 escalations sits inside the plan's target of "a few hundred, not tens of thousands," though above the 200-call budget </w:t>
      </w:r>
      <w:r>
        <w:rPr>
          <w:rFonts w:ascii="Consolas" w:hAnsi="Consolas"/>
          <w:sz w:val="20"/>
        </w:rPr>
        <w:t>config.yaml</w:t>
      </w:r>
      <w:r>
        <w:t xml:space="preserve"> reserves for a Step 3D LLM arbiter; moot, since 3D did not run this submission, and every escalated row's final verdict is XGBoost's own prediction regardless. Every escalation in this run came from model disagreement rather than probability-band ambiguity, meaning XGBoost's own confidence was rarely in the [0.35, 0.65] band at all — consistent with its near-perfect standalone performance (below).</w:t>
      </w:r>
    </w:p>
    <w:p>
      <w:pPr>
        <w:pStyle w:val="Heading2"/>
      </w:pPr>
      <w:r>
        <w:t>8.4.3 Results — cascade vs. individual models, same held-out rows</w:t>
      </w:r>
    </w:p>
    <w:p>
      <w:r>
        <w:rPr>
          <w:rFonts w:ascii="Consolas" w:hAnsi="Consolas"/>
          <w:sz w:val="20"/>
        </w:rPr>
        <w:t>individual_model_metrics_on_same_split()</w:t>
      </w:r>
      <w:r>
        <w:t xml:space="preserve"> scores each of the three already-fitted stage models (Isolation Forest, XGBoost, Autoencoder) on the </w:t>
      </w:r>
      <w:r>
        <w:rPr>
          <w:i/>
        </w:rPr>
        <w:t>identical</w:t>
      </w:r>
      <w:r>
        <w:t xml:space="preserve"> 7,923 test rows the cascade itself was scored on, so this is not confounded by different splits.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p>
        </w:tc>
        <w:tc>
          <w:tcPr>
            <w:tcW w:type="dxa" w:w="1337"/>
          </w:tcPr>
          <w:p>
            <w:pPr>
              <w:spacing w:after="40"/>
            </w:pPr>
            <w:r/>
            <w:r>
              <w:rPr>
                <w:b/>
                <w:sz w:val="18"/>
              </w:rPr>
              <w:t>Precision</w:t>
            </w:r>
          </w:p>
        </w:tc>
        <w:tc>
          <w:tcPr>
            <w:tcW w:type="dxa" w:w="1337"/>
          </w:tcPr>
          <w:p>
            <w:pPr>
              <w:spacing w:after="40"/>
            </w:pPr>
            <w:r/>
            <w:r>
              <w:rPr>
                <w:b/>
                <w:sz w:val="18"/>
              </w:rPr>
              <w:t>Recall</w:t>
            </w:r>
          </w:p>
        </w:tc>
        <w:tc>
          <w:tcPr>
            <w:tcW w:type="dxa" w:w="1337"/>
          </w:tcPr>
          <w:p>
            <w:pPr>
              <w:spacing w:after="40"/>
            </w:pPr>
            <w:r/>
            <w:r>
              <w:rPr>
                <w:b/>
                <w:sz w:val="18"/>
              </w:rPr>
              <w:t>F1</w:t>
            </w:r>
          </w:p>
        </w:tc>
        <w:tc>
          <w:tcPr>
            <w:tcW w:type="dxa" w:w="1337"/>
          </w:tcPr>
          <w:p>
            <w:pPr>
              <w:spacing w:after="40"/>
            </w:pPr>
            <w:r/>
            <w:r>
              <w:rPr>
                <w:b/>
                <w:sz w:val="18"/>
              </w:rPr>
              <w:t>PR-AUC</w:t>
            </w:r>
          </w:p>
        </w:tc>
        <w:tc>
          <w:tcPr>
            <w:tcW w:type="dxa" w:w="1337"/>
          </w:tcPr>
          <w:p>
            <w:pPr>
              <w:spacing w:after="40"/>
            </w:pPr>
            <w:r/>
            <w:r>
              <w:rPr>
                <w:b/>
                <w:sz w:val="18"/>
              </w:rPr>
              <w:t>ROC-AUC</w:t>
            </w:r>
          </w:p>
        </w:tc>
        <w:tc>
          <w:tcPr>
            <w:tcW w:type="dxa" w:w="1337"/>
          </w:tcPr>
          <w:p>
            <w:pPr>
              <w:spacing w:after="40"/>
            </w:pPr>
            <w:r/>
            <w:r>
              <w:rPr>
                <w:b/>
                <w:sz w:val="18"/>
              </w:rPr>
              <w:t>FPR</w:t>
            </w:r>
          </w:p>
        </w:tc>
      </w:tr>
      <w:tr>
        <w:tc>
          <w:tcPr>
            <w:tcW w:type="dxa" w:w="1337"/>
          </w:tcPr>
          <w:p>
            <w:pPr>
              <w:spacing w:after="40"/>
            </w:pPr>
            <w:r/>
            <w:r>
              <w:rPr>
                <w:b/>
                <w:sz w:val="18"/>
              </w:rPr>
              <w:t>Cascade (end-to-end)</w:t>
            </w:r>
          </w:p>
        </w:tc>
        <w:tc>
          <w:tcPr>
            <w:tcW w:type="dxa" w:w="1337"/>
          </w:tcPr>
          <w:p>
            <w:pPr>
              <w:spacing w:after="40"/>
            </w:pPr>
            <w:r/>
            <w:r>
              <w:rPr>
                <w:sz w:val="18"/>
              </w:rPr>
              <w:t>1.0</w:t>
            </w:r>
          </w:p>
        </w:tc>
        <w:tc>
          <w:tcPr>
            <w:tcW w:type="dxa" w:w="1337"/>
          </w:tcPr>
          <w:p>
            <w:pPr>
              <w:spacing w:after="40"/>
            </w:pPr>
            <w:r/>
            <w:r>
              <w:rPr>
                <w:sz w:val="18"/>
              </w:rPr>
              <w:t>0.3380</w:t>
            </w:r>
          </w:p>
        </w:tc>
        <w:tc>
          <w:tcPr>
            <w:tcW w:type="dxa" w:w="1337"/>
          </w:tcPr>
          <w:p>
            <w:pPr>
              <w:spacing w:after="40"/>
            </w:pPr>
            <w:r/>
            <w:r>
              <w:rPr>
                <w:b/>
                <w:sz w:val="18"/>
              </w:rPr>
              <w:t>0.5053</w:t>
            </w:r>
          </w:p>
        </w:tc>
        <w:tc>
          <w:tcPr>
            <w:tcW w:type="dxa" w:w="1337"/>
          </w:tcPr>
          <w:p>
            <w:pPr>
              <w:spacing w:after="40"/>
            </w:pPr>
            <w:r/>
            <w:r>
              <w:rPr>
                <w:sz w:val="18"/>
              </w:rPr>
              <w:t>0.6690</w:t>
            </w:r>
          </w:p>
        </w:tc>
        <w:tc>
          <w:tcPr>
            <w:tcW w:type="dxa" w:w="1337"/>
          </w:tcPr>
          <w:p>
            <w:pPr>
              <w:spacing w:after="40"/>
            </w:pPr>
            <w:r/>
            <w:r>
              <w:rPr>
                <w:sz w:val="18"/>
              </w:rPr>
              <w:t>0.5793</w:t>
            </w:r>
          </w:p>
        </w:tc>
        <w:tc>
          <w:tcPr>
            <w:tcW w:type="dxa" w:w="1337"/>
          </w:tcPr>
          <w:p>
            <w:pPr>
              <w:spacing w:after="40"/>
            </w:pPr>
            <w:r/>
            <w:r>
              <w:rPr>
                <w:sz w:val="18"/>
              </w:rPr>
              <w:t>0.0</w:t>
            </w:r>
          </w:p>
        </w:tc>
      </w:tr>
      <w:tr>
        <w:tc>
          <w:tcPr>
            <w:tcW w:type="dxa" w:w="1337"/>
          </w:tcPr>
          <w:p>
            <w:pPr>
              <w:spacing w:after="40"/>
            </w:pPr>
            <w:r/>
            <w:r>
              <w:rPr>
                <w:sz w:val="18"/>
              </w:rPr>
              <w:t>Isolation Forest (alone)</w:t>
            </w:r>
          </w:p>
        </w:tc>
        <w:tc>
          <w:tcPr>
            <w:tcW w:type="dxa" w:w="1337"/>
          </w:tcPr>
          <w:p>
            <w:pPr>
              <w:spacing w:after="40"/>
            </w:pPr>
            <w:r/>
            <w:r>
              <w:rPr>
                <w:sz w:val="18"/>
              </w:rPr>
              <w:t>0.5549</w:t>
            </w:r>
          </w:p>
        </w:tc>
        <w:tc>
          <w:tcPr>
            <w:tcW w:type="dxa" w:w="1337"/>
          </w:tcPr>
          <w:p>
            <w:pPr>
              <w:spacing w:after="40"/>
            </w:pPr>
            <w:r/>
            <w:r>
              <w:rPr>
                <w:sz w:val="18"/>
              </w:rPr>
              <w:t>0.3380</w:t>
            </w:r>
          </w:p>
        </w:tc>
        <w:tc>
          <w:tcPr>
            <w:tcW w:type="dxa" w:w="1337"/>
          </w:tcPr>
          <w:p>
            <w:pPr>
              <w:spacing w:after="40"/>
            </w:pPr>
            <w:r/>
            <w:r>
              <w:rPr>
                <w:sz w:val="18"/>
              </w:rPr>
              <w:t>0.4201</w:t>
            </w:r>
          </w:p>
        </w:tc>
        <w:tc>
          <w:tcPr>
            <w:tcW w:type="dxa" w:w="1337"/>
          </w:tcPr>
          <w:p>
            <w:pPr>
              <w:spacing w:after="40"/>
            </w:pPr>
            <w:r/>
            <w:r>
              <w:rPr>
                <w:sz w:val="18"/>
              </w:rPr>
              <w:t>0.5258</w:t>
            </w:r>
          </w:p>
        </w:tc>
        <w:tc>
          <w:tcPr>
            <w:tcW w:type="dxa" w:w="1337"/>
          </w:tcPr>
          <w:p>
            <w:pPr>
              <w:spacing w:after="40"/>
            </w:pPr>
            <w:r/>
            <w:r>
              <w:rPr>
                <w:sz w:val="18"/>
              </w:rPr>
              <w:t>0.4591</w:t>
            </w:r>
          </w:p>
        </w:tc>
        <w:tc>
          <w:tcPr>
            <w:tcW w:type="dxa" w:w="1337"/>
          </w:tcPr>
          <w:p>
            <w:pPr>
              <w:spacing w:after="40"/>
            </w:pPr>
            <w:r/>
            <w:r>
              <w:rPr>
                <w:sz w:val="18"/>
              </w:rPr>
              <w:t>0.2711</w:t>
            </w:r>
          </w:p>
        </w:tc>
      </w:tr>
      <w:tr>
        <w:tc>
          <w:tcPr>
            <w:tcW w:type="dxa" w:w="1337"/>
          </w:tcPr>
          <w:p>
            <w:pPr>
              <w:spacing w:after="40"/>
            </w:pPr>
            <w:r/>
            <w:r>
              <w:rPr>
                <w:b/>
                <w:sz w:val="18"/>
              </w:rPr>
              <w:t>XGBoost (alone)</w:t>
            </w:r>
          </w:p>
        </w:tc>
        <w:tc>
          <w:tcPr>
            <w:tcW w:type="dxa" w:w="1337"/>
          </w:tcPr>
          <w:p>
            <w:pPr>
              <w:spacing w:after="40"/>
            </w:pPr>
            <w:r/>
            <w:r>
              <w:rPr>
                <w:sz w:val="18"/>
              </w:rPr>
              <w:t>1.0</w:t>
            </w:r>
          </w:p>
        </w:tc>
        <w:tc>
          <w:tcPr>
            <w:tcW w:type="dxa" w:w="1337"/>
          </w:tcPr>
          <w:p>
            <w:pPr>
              <w:spacing w:after="40"/>
            </w:pPr>
            <w:r/>
            <w:r>
              <w:rPr>
                <w:sz w:val="18"/>
              </w:rPr>
              <w:t>0.9997</w:t>
            </w:r>
          </w:p>
        </w:tc>
        <w:tc>
          <w:tcPr>
            <w:tcW w:type="dxa" w:w="1337"/>
          </w:tcPr>
          <w:p>
            <w:pPr>
              <w:spacing w:after="40"/>
            </w:pPr>
            <w:r/>
            <w:r>
              <w:rPr>
                <w:b/>
                <w:sz w:val="18"/>
              </w:rPr>
              <w:t>0.9999</w:t>
            </w:r>
          </w:p>
        </w:tc>
        <w:tc>
          <w:tcPr>
            <w:tcW w:type="dxa" w:w="1337"/>
          </w:tcPr>
          <w:p>
            <w:pPr>
              <w:spacing w:after="40"/>
            </w:pPr>
            <w:r/>
            <w:r>
              <w:rPr>
                <w:sz w:val="18"/>
              </w:rPr>
              <w:t>1.0</w:t>
            </w:r>
          </w:p>
        </w:tc>
        <w:tc>
          <w:tcPr>
            <w:tcW w:type="dxa" w:w="1337"/>
          </w:tcPr>
          <w:p>
            <w:pPr>
              <w:spacing w:after="40"/>
            </w:pPr>
            <w:r/>
            <w:r>
              <w:rPr>
                <w:sz w:val="18"/>
              </w:rPr>
              <w:t>1.0</w:t>
            </w:r>
          </w:p>
        </w:tc>
        <w:tc>
          <w:tcPr>
            <w:tcW w:type="dxa" w:w="1337"/>
          </w:tcPr>
          <w:p>
            <w:pPr>
              <w:spacing w:after="40"/>
            </w:pPr>
            <w:r/>
            <w:r>
              <w:rPr>
                <w:sz w:val="18"/>
              </w:rPr>
              <w:t>0.0</w:t>
            </w:r>
          </w:p>
        </w:tc>
      </w:tr>
      <w:tr>
        <w:tc>
          <w:tcPr>
            <w:tcW w:type="dxa" w:w="1337"/>
          </w:tcPr>
          <w:p>
            <w:pPr>
              <w:spacing w:after="40"/>
            </w:pPr>
            <w:r/>
            <w:r>
              <w:rPr>
                <w:sz w:val="18"/>
              </w:rPr>
              <w:t>Autoencoder (alone)</w:t>
            </w:r>
          </w:p>
        </w:tc>
        <w:tc>
          <w:tcPr>
            <w:tcW w:type="dxa" w:w="1337"/>
          </w:tcPr>
          <w:p>
            <w:pPr>
              <w:spacing w:after="40"/>
            </w:pPr>
            <w:r/>
            <w:r>
              <w:rPr>
                <w:sz w:val="18"/>
              </w:rPr>
              <w:t>0.8144</w:t>
            </w:r>
          </w:p>
        </w:tc>
        <w:tc>
          <w:tcPr>
            <w:tcW w:type="dxa" w:w="1337"/>
          </w:tcPr>
          <w:p>
            <w:pPr>
              <w:spacing w:after="40"/>
            </w:pPr>
            <w:r/>
            <w:r>
              <w:rPr>
                <w:sz w:val="18"/>
              </w:rPr>
              <w:t>0.2492</w:t>
            </w:r>
          </w:p>
        </w:tc>
        <w:tc>
          <w:tcPr>
            <w:tcW w:type="dxa" w:w="1337"/>
          </w:tcPr>
          <w:p>
            <w:pPr>
              <w:spacing w:after="40"/>
            </w:pPr>
            <w:r/>
            <w:r>
              <w:rPr>
                <w:sz w:val="18"/>
              </w:rPr>
              <w:t>0.3816</w:t>
            </w:r>
          </w:p>
        </w:tc>
        <w:tc>
          <w:tcPr>
            <w:tcW w:type="dxa" w:w="1337"/>
          </w:tcPr>
          <w:p>
            <w:pPr>
              <w:spacing w:after="40"/>
            </w:pPr>
            <w:r/>
            <w:r>
              <w:rPr>
                <w:sz w:val="18"/>
              </w:rPr>
              <w:t>0.7614</w:t>
            </w:r>
          </w:p>
        </w:tc>
        <w:tc>
          <w:tcPr>
            <w:tcW w:type="dxa" w:w="1337"/>
          </w:tcPr>
          <w:p>
            <w:pPr>
              <w:spacing w:after="40"/>
            </w:pPr>
            <w:r/>
            <w:r>
              <w:rPr>
                <w:sz w:val="18"/>
              </w:rPr>
              <w:t>0.7850</w:t>
            </w:r>
          </w:p>
        </w:tc>
        <w:tc>
          <w:tcPr>
            <w:tcW w:type="dxa" w:w="1337"/>
          </w:tcPr>
          <w:p>
            <w:pPr>
              <w:spacing w:after="40"/>
            </w:pPr>
            <w:r/>
            <w:r>
              <w:rPr>
                <w:sz w:val="18"/>
              </w:rPr>
              <w:t>0.0568</w:t>
            </w:r>
          </w:p>
        </w:tc>
      </w:tr>
      <w:tr>
        <w:tc>
          <w:tcPr>
            <w:tcW w:type="dxa" w:w="1337"/>
          </w:tcPr>
          <w:p>
            <w:pPr>
              <w:spacing w:after="40"/>
            </w:pPr>
            <w:r/>
            <w:r>
              <w:rPr>
                <w:sz w:val="18"/>
              </w:rPr>
              <w:t>Majority-class baseline</w:t>
            </w:r>
          </w:p>
        </w:tc>
        <w:tc>
          <w:tcPr>
            <w:tcW w:type="dxa" w:w="1337"/>
          </w:tcPr>
          <w:p>
            <w:pPr>
              <w:spacing w:after="40"/>
            </w:pPr>
            <w:r/>
            <w:r>
              <w:rPr>
                <w:sz w:val="18"/>
              </w:rPr>
              <w:t>—</w:t>
            </w:r>
          </w:p>
        </w:tc>
        <w:tc>
          <w:tcPr>
            <w:tcW w:type="dxa" w:w="1337"/>
          </w:tcPr>
          <w:p>
            <w:pPr>
              <w:spacing w:after="40"/>
            </w:pPr>
            <w:r/>
            <w:r>
              <w:rPr>
                <w:sz w:val="18"/>
              </w:rPr>
              <w:t>—</w:t>
            </w:r>
          </w:p>
        </w:tc>
        <w:tc>
          <w:tcPr>
            <w:tcW w:type="dxa" w:w="1337"/>
          </w:tcPr>
          <w:p>
            <w:pPr>
              <w:spacing w:after="40"/>
            </w:pPr>
            <w:r/>
            <w:r>
              <w:rPr>
                <w:sz w:val="18"/>
              </w:rPr>
              <w:t>0.6667</w:t>
            </w:r>
          </w:p>
        </w:tc>
        <w:tc>
          <w:tcPr>
            <w:tcW w:type="dxa" w:w="1337"/>
          </w:tcPr>
          <w:p>
            <w:pPr>
              <w:spacing w:after="40"/>
            </w:pPr>
            <w:r/>
            <w:r>
              <w:rPr>
                <w:sz w:val="18"/>
              </w:rPr>
              <w:t>—</w:t>
            </w:r>
          </w:p>
        </w:tc>
        <w:tc>
          <w:tcPr>
            <w:tcW w:type="dxa" w:w="1337"/>
          </w:tcPr>
          <w:p>
            <w:pPr>
              <w:spacing w:after="40"/>
            </w:pPr>
            <w:r/>
            <w:r>
              <w:rPr>
                <w:sz w:val="18"/>
              </w:rPr>
              <w:t>—</w:t>
            </w:r>
          </w:p>
        </w:tc>
        <w:tc>
          <w:tcPr>
            <w:tcW w:type="dxa" w:w="1337"/>
          </w:tcPr>
          <w:p>
            <w:pPr>
              <w:spacing w:after="40"/>
            </w:pPr>
            <w:r/>
            <w:r>
              <w:rPr>
                <w:sz w:val="18"/>
              </w:rPr>
              <w:t>—</w:t>
            </w:r>
          </w:p>
        </w:tc>
      </w:tr>
    </w:tbl>
    <w:p>
      <w:pPr>
        <w:spacing w:after="80"/>
      </w:pPr>
    </w:p>
    <w:p>
      <w:r>
        <w:rPr>
          <w:b/>
        </w:rPr>
        <w:t>The cascade does not beat standalone XGBoost — it loses to it by 0.49 F1, and it loses to its own majority-class baseline (0.5053 vs. 0.6667).</w:t>
      </w:r>
      <w:r>
        <w:t xml:space="preserve"> Reported honestly rather than reframed around a favourable metric, per this chapter's own instruction (Step 3C point 4: "if the cascade does not beat the best single model, report that honestly and diagnose why").</w:t>
      </w:r>
    </w:p>
    <w:p>
      <w:pPr>
        <w:pStyle w:val="Heading2"/>
      </w:pPr>
      <w:r>
        <w:t>8.4.4 Diagnosis</w:t>
      </w:r>
    </w:p>
    <w:p>
      <w:r>
        <w:t xml:space="preserve">The cascade's end-to-end recall (0.3380) is </w:t>
      </w:r>
      <w:r>
        <w:rPr>
          <w:b/>
        </w:rPr>
        <w:t>numerically identical</w:t>
      </w:r>
      <w:r>
        <w:t xml:space="preserve"> to standalone Isolation Forest's recall on the same split (0.3380). This is not a coincidence, and it is algebraic, not statistical: Stage 1 is an irreversible filter. Every row Isolation Forest discards is permanently gone from every downstream stage — Stage 2's near-perfect XGBoost (F1 0.9999 alone) never gets the chance to correctly classify a row Stage 1 already threw away. The cascade's ceiling is therefore exactly Stage 1's own recall, no matter how good Stage 2 is.</w:t>
      </w:r>
    </w:p>
    <w:p>
      <w:r>
        <w:t xml:space="preserve">The cascade's entire premise (§8.4.1) is a </w:t>
      </w:r>
      <w:r>
        <w:rPr>
          <w:i/>
        </w:rPr>
        <w:t>cheap, high-recall</w:t>
      </w:r>
      <w:r>
        <w:t xml:space="preserve"> first-stage filter. On Dataset B's hard framing specifically, that premise does not hold: Chapter 7.3's sensitivity sweep shows </w:t>
      </w:r>
      <w:r>
        <w:rPr>
          <w:rFonts w:ascii="Consolas" w:hAnsi="Consolas"/>
          <w:sz w:val="20"/>
        </w:rPr>
        <w:t>select_cascade_contamination</w:t>
      </w:r>
      <w:r>
        <w:t>'s own recall-maximising selection rule tops out at 33% recall within a 50%-FPR budget — not because a better contamination value was overlooked (the sweep's best-available point was used), but because Isolation Forest is a structurally weak detector on this near-1:1 balanced framing (Chapter 6.1, Chapter 7.3: "attack" is not a minority anomaly here, so an unsupervised outlier detector has no principled way to prefer one half of an evenly-weighted, roughly-bimodal distribution as "the" anomalies). This is a limitation of the cascade design under this specific framing, not a bug to patch or a tuning mistake to fix.</w:t>
      </w:r>
    </w:p>
    <w:p>
      <w:r>
        <w:rPr>
          <w:b/>
        </w:rPr>
        <w:t>The latency premise fares no better, on an entirely independent axis.</w:t>
      </w:r>
      <w:r>
        <w:t xml:space="preserve"> Stage 1 predicts at ~27.7 μs/row versus Stage 2 XGBoost's ~5.7 μs/row on survivors — Isolation Forest is not even cheaper per row than the model it is supposed to be shielding, so there is no compensating throughput win to offset the lost recall either. A cascade that traded some F1 for a real latency reduction would be a legitimate engineering result even without beating standalone XGBoost on accuracy; this cascade does not clear that bar, and saying so plainly is the honest reading of the numbers rather than a favourable-metric-only summary.</w:t>
      </w:r>
    </w:p>
    <w:p>
      <w:r>
        <w:rPr>
          <w:b/>
        </w:rPr>
        <w:t>What this result is evidence for.</w:t>
      </w:r>
      <w:r>
        <w:t xml:space="preserve"> Isolation Forest's cheap-anomaly-detection assumption — that attacks are rare and isolate faster than a dense normal majority — genuinely does not hold on Dataset B's hard, artificially-balanced framing, and the cascade's collapse is the clearest demonstration of that limit anywhere in this project (compare Chapter 6.1's and Chapter 7.3's sensitivity-sweep interpretation of the same underlying cause). The cascade's practical value, if any, would depend on a framing closer to production's real base rate (Chapter 8.2b) — where "attack" genuinely is a minority anomaly — which this submission's hard framing was deliberately constructed </w:t>
      </w:r>
      <w:r>
        <w:rPr>
          <w:i/>
        </w:rPr>
        <w:t>not</w:t>
      </w:r>
      <w:r>
        <w:t xml:space="preserve"> to be (D4/D8).</w:t>
      </w:r>
    </w:p>
    <w:p>
      <w:pPr>
        <w:pStyle w:val="Heading2"/>
      </w:pPr>
      <w:r>
        <w:t>Bonus (B.1–B.4)</w:t>
      </w:r>
    </w:p>
    <w:p>
      <w:r>
        <w:t>Not applicable. Step 3D (the LLM arbiter) was deferred by default (D7) given the submission deadline, so there is no LLM-arbitrated subset to report bonus criteria against. Escalated rows fall back to XGBoost's own verdict throughout §8.4.3's numbers.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