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8"/>
        </w:rPr>
        <w:t>AI-Driven Detection of DNS-Based Data Exfiltration</w:t>
      </w:r>
    </w:p>
    <w:p>
      <w:pPr>
        <w:jc w:val="center"/>
      </w:pPr>
      <w:r>
        <w:rPr>
          <w:i/>
          <w:sz w:val="28"/>
        </w:rPr>
        <w:t>MITRE ATT&amp;CK T1048.003 — Exfiltration Over Alternative Protocol: DNS</w:t>
      </w:r>
    </w:p>
    <w:p>
      <w:pPr>
        <w:jc w:val="center"/>
      </w:pPr>
      <w:r>
        <w:rPr>
          <w:b w:val="0"/>
          <w:sz w:val="26"/>
        </w:rPr>
        <w:t>Course 3917 — Using AI for Malware and Intrusion Detection</w:t>
      </w:r>
    </w:p>
    <w:p>
      <w:pPr>
        <w:jc w:val="center"/>
      </w:pPr>
      <w:r>
        <w:rPr>
          <w:b w:val="0"/>
          <w:sz w:val="26"/>
        </w:rPr>
        <w:t>Reichman University, Semester 2, 2026</w:t>
      </w:r>
    </w:p>
    <w:p/>
    <w:p>
      <w:pPr>
        <w:jc w:val="center"/>
      </w:pPr>
      <w:r>
        <w:rPr>
          <w:sz w:val="24"/>
        </w:rPr>
        <w:t>Guy Hasson (211430046) — guy.hasson@post.runi.ac.il</w:t>
        <w:br/>
        <w:t>Ronie Shmulevich (211897574) — ronie.shmulevich@post.runi.ac.il</w:t>
      </w:r>
    </w:p>
    <w:p/>
    <w:p>
      <w:pPr>
        <w:jc w:val="center"/>
      </w:pPr>
      <w:r>
        <w:rPr>
          <w:sz w:val="24"/>
        </w:rPr>
        <w:t>15 August 2026</w:t>
      </w:r>
    </w:p>
    <w:p>
      <w:r>
        <w:br w:type="page"/>
      </w:r>
    </w:p>
    <w:p>
      <w:r>
        <w:rPr>
          <w:b/>
          <w:sz w:val="32"/>
        </w:rPr>
        <w:t>Table of Contents</w:t>
      </w:r>
    </w:p>
    <w:p>
      <w:r>
        <w:fldChar w:fldCharType="begin"/>
        <w:instrText xml:space="preserve">TOC \o "1-3" \h \z \u</w:instrText>
        <w:fldChar w:fldCharType="separate"/>
        <w:fldChar w:fldCharType="end"/>
      </w:r>
    </w:p>
    <w:p>
      <w:r>
        <w:rPr>
          <w:i/>
        </w:rPr>
        <w:t>(Right-click above and choose "Update Field" → "Update entire table" in Microsoft Word to generate the table of contents.)</w:t>
      </w:r>
    </w:p>
    <w:p>
      <w:r>
        <w:br w:type="page"/>
      </w:r>
    </w:p>
    <w:p>
      <w:pPr>
        <w:pStyle w:val="Heading1"/>
      </w:pPr>
      <w:r>
        <w:t>Executive Summary</w:t>
      </w:r>
    </w:p>
    <w:p>
      <w:r>
        <w:t xml:space="preserve">DNS exfiltration (MITRE T1048.003/T1071.004/T1572) tunnels stolen data through DNS queries/subdomain labels — traffic every network must permit, hard to firewall. Two vantage points: </w:t>
      </w:r>
      <w:r>
        <w:rPr>
          <w:b/>
        </w:rPr>
        <w:t>Dataset A</w:t>
      </w:r>
      <w:r>
        <w:t xml:space="preserve"> (CIC-Bell-DNS-EXF-2021, plaintext resolver logs, stateless per-query features) and </w:t>
      </w:r>
      <w:r>
        <w:rPr>
          <w:b/>
        </w:rPr>
        <w:t>Dataset B</w:t>
      </w:r>
      <w:r>
        <w:t xml:space="preserve"> (CIRA-CIC-DoHBrw-2020, encrypted DoH flow telemetry). A unified 11-column schema spans both.</w:t>
      </w:r>
    </w:p>
    <w:p>
      <w:r>
        <w:rPr>
          <w:b/>
        </w:rPr>
        <w:t>Four architectures, both datasets.</w:t>
      </w:r>
      <w:r>
        <w:t xml:space="preserve"> XGBoost and 1D-CNN: strong on B (F1≈0.99–1.00) but capped at F1≈0.82 on A by a ~40% FPR wall no threshold tuning removes. Isolation Forest and Autoencoder: fail on both, worse on A (ROC-AUC below chance, 0.26/0.264) — exfiltration isn't a minority-density anomaly on either dataset.</w:t>
      </w:r>
    </w:p>
    <w:p>
      <w:r>
        <w:rPr>
          <w:b/>
        </w:rPr>
        <w:t>Production base-rate honesty.</w:t>
      </w:r>
      <w:r>
        <w:t xml:space="preserve"> At realistic ~0.01% prevalence, Dataset A's system generates ≈4M false alerts/day for ≈1,000 true ones (≈0.025% precision); Dataset B hard framing stays SOC-viable (≈1,515 false alerts/day, ≈40% precision) — the sharpest quantitative contrast in this report.</w:t>
      </w:r>
    </w:p>
    <w:p>
      <w:r>
        <w:rPr>
          <w:b/>
        </w:rPr>
        <w:t>Cascade (Isolation Forest → XGBoost → escalation).</w:t>
      </w:r>
      <w:r>
        <w:t xml:space="preserve"> F1=0.5053 vs. standalone XGBoost's 0.9999 — loses to its own majority-class baseline (0.6667). Diagnosis: Stage 1 is irreversible, so the cascade's recall ceiling equals Stage 1's own recall; Isolation Forest has no principled way to prefer either half of a balanced, bimodal distribution.</w:t>
      </w:r>
    </w:p>
    <w:p>
      <w:r>
        <w:rPr>
          <w:b/>
        </w:rPr>
        <w:t>Cross-dataset transfer collapses</w:t>
      </w:r>
      <w:r>
        <w:t xml:space="preserve"> in 7 of 8 cells, all four models, to a fixed-guess classifier (KS 0.89–1.00 on every shared feature; </w:t>
      </w:r>
      <w:r>
        <w:rPr>
          <w:rFonts w:ascii="Consolas" w:hAnsi="Consolas"/>
          <w:sz w:val="20"/>
        </w:rPr>
        <w:t>vol_total</w:t>
      </w:r>
      <w:r>
        <w:t xml:space="preserve"> differs ~1,859× in raw scale despite being predicted the most transferable family). Verdict: distribution shift, not overfitting — in-domain scores stay strong, and one cell (CNN, B→A) keeps ROC-AUC=0.773 despite F1=0.0000, meaning the signal survives transfer and only the threshold miscalibrates. Deployment implication: train and calibrate separately per vantage point.</w:t>
      </w:r>
    </w:p>
    <w:p>
      <w:pPr>
        <w:pStyle w:val="Heading1"/>
      </w:pPr>
      <w:r>
        <w:t>Chapter 1 — Threat Characterization</w:t>
      </w:r>
    </w:p>
    <w:p>
      <w:pPr>
        <w:pStyle w:val="Heading2"/>
      </w:pPr>
      <w:r>
        <w:t>1.0 Not a DGA project</w:t>
      </w:r>
    </w:p>
    <w:p>
      <w:r>
        <w:t>DGA = rendezvous problem (malware computes candidate C2 domains from a shared seed, TA0011 C2): "does this domain look machine-generated?" DNS exfiltration = carrier-capacity problem (fixed destination; the domain name itself is the transport, stolen bytes encoded as subdomain labels, TA0010 Exfiltration): "is data smuggled inside this query name?" Different mechanism, feature space, failure mode. This project targets exfiltration only.</w:t>
      </w:r>
    </w:p>
    <w:p>
      <w:pPr>
        <w:pStyle w:val="Heading2"/>
      </w:pPr>
      <w:r>
        <w:t>1.1 MITRE ATT&amp;CK mapping</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r>
              <w:rPr>
                <w:b/>
                <w:sz w:val="16"/>
              </w:rPr>
              <w:t>ID</w:t>
            </w:r>
          </w:p>
        </w:tc>
        <w:tc>
          <w:tcPr>
            <w:tcW w:type="dxa" w:w="2520"/>
          </w:tcPr>
          <w:p>
            <w:pPr>
              <w:spacing w:after="20" w:before="0" w:line="240" w:lineRule="auto"/>
            </w:pPr>
            <w:r/>
            <w:r>
              <w:rPr>
                <w:b/>
                <w:sz w:val="16"/>
              </w:rPr>
              <w:t>Technique</w:t>
            </w:r>
          </w:p>
        </w:tc>
        <w:tc>
          <w:tcPr>
            <w:tcW w:type="dxa" w:w="2520"/>
          </w:tcPr>
          <w:p>
            <w:pPr>
              <w:spacing w:after="20" w:before="0" w:line="240" w:lineRule="auto"/>
            </w:pPr>
            <w:r/>
            <w:r>
              <w:rPr>
                <w:b/>
                <w:sz w:val="16"/>
              </w:rPr>
              <w:t>Tactic</w:t>
            </w:r>
          </w:p>
        </w:tc>
        <w:tc>
          <w:tcPr>
            <w:tcW w:type="dxa" w:w="2520"/>
          </w:tcPr>
          <w:p>
            <w:pPr>
              <w:spacing w:after="20" w:before="0" w:line="240" w:lineRule="auto"/>
            </w:pPr>
            <w:r/>
            <w:r>
              <w:rPr>
                <w:b/>
                <w:sz w:val="16"/>
              </w:rPr>
              <w:t>Role</w:t>
            </w:r>
          </w:p>
        </w:tc>
      </w:tr>
      <w:tr>
        <w:tc>
          <w:tcPr>
            <w:tcW w:type="dxa" w:w="2520"/>
          </w:tcPr>
          <w:p>
            <w:pPr>
              <w:spacing w:after="20" w:before="0" w:line="240" w:lineRule="auto"/>
            </w:pPr>
            <w:r/>
            <w:r>
              <w:rPr>
                <w:b/>
                <w:sz w:val="16"/>
              </w:rPr>
              <w:t>T1048.003</w:t>
            </w:r>
          </w:p>
        </w:tc>
        <w:tc>
          <w:tcPr>
            <w:tcW w:type="dxa" w:w="2520"/>
          </w:tcPr>
          <w:p>
            <w:pPr>
              <w:spacing w:after="20" w:before="0" w:line="240" w:lineRule="auto"/>
            </w:pPr>
            <w:r/>
            <w:r>
              <w:rPr>
                <w:sz w:val="16"/>
              </w:rPr>
              <w:t>Exfiltration Over Unencrypted/Obfuscated Non-C2 Protocol</w:t>
            </w:r>
          </w:p>
        </w:tc>
        <w:tc>
          <w:tcPr>
            <w:tcW w:type="dxa" w:w="2520"/>
          </w:tcPr>
          <w:p>
            <w:pPr>
              <w:spacing w:after="20" w:before="0" w:line="240" w:lineRule="auto"/>
            </w:pPr>
            <w:r/>
            <w:r>
              <w:rPr>
                <w:sz w:val="16"/>
              </w:rPr>
              <w:t>TA0010</w:t>
            </w:r>
          </w:p>
        </w:tc>
        <w:tc>
          <w:tcPr>
            <w:tcW w:type="dxa" w:w="2520"/>
          </w:tcPr>
          <w:p>
            <w:pPr>
              <w:spacing w:after="20" w:before="0" w:line="240" w:lineRule="auto"/>
            </w:pPr>
            <w:r/>
            <w:r>
              <w:rPr>
                <w:b/>
                <w:sz w:val="16"/>
              </w:rPr>
              <w:t>Primary</w:t>
            </w:r>
          </w:p>
        </w:tc>
      </w:tr>
      <w:tr>
        <w:tc>
          <w:tcPr>
            <w:tcW w:type="dxa" w:w="2520"/>
          </w:tcPr>
          <w:p>
            <w:pPr>
              <w:spacing w:after="20" w:before="0" w:line="240" w:lineRule="auto"/>
            </w:pPr>
            <w:r/>
            <w:r>
              <w:rPr>
                <w:sz w:val="16"/>
              </w:rPr>
              <w:t>T1071.004</w:t>
            </w:r>
          </w:p>
        </w:tc>
        <w:tc>
          <w:tcPr>
            <w:tcW w:type="dxa" w:w="2520"/>
          </w:tcPr>
          <w:p>
            <w:pPr>
              <w:spacing w:after="20" w:before="0" w:line="240" w:lineRule="auto"/>
            </w:pPr>
            <w:r/>
            <w:r>
              <w:rPr>
                <w:sz w:val="16"/>
              </w:rPr>
              <w:t>Application Layer Protocol: DNS</w:t>
            </w:r>
          </w:p>
        </w:tc>
        <w:tc>
          <w:tcPr>
            <w:tcW w:type="dxa" w:w="2520"/>
          </w:tcPr>
          <w:p>
            <w:pPr>
              <w:spacing w:after="20" w:before="0" w:line="240" w:lineRule="auto"/>
            </w:pPr>
            <w:r/>
            <w:r>
              <w:rPr>
                <w:sz w:val="16"/>
              </w:rPr>
              <w:t>TA0011</w:t>
            </w:r>
          </w:p>
        </w:tc>
        <w:tc>
          <w:tcPr>
            <w:tcW w:type="dxa" w:w="2520"/>
          </w:tcPr>
          <w:p>
            <w:pPr>
              <w:spacing w:after="20" w:before="0" w:line="240" w:lineRule="auto"/>
            </w:pPr>
            <w:r/>
            <w:r>
              <w:rPr>
                <w:sz w:val="16"/>
              </w:rPr>
              <w:t>The carrier</w:t>
            </w:r>
          </w:p>
        </w:tc>
      </w:tr>
      <w:tr>
        <w:tc>
          <w:tcPr>
            <w:tcW w:type="dxa" w:w="2520"/>
          </w:tcPr>
          <w:p>
            <w:pPr>
              <w:spacing w:after="20" w:before="0" w:line="240" w:lineRule="auto"/>
            </w:pPr>
            <w:r/>
            <w:r>
              <w:rPr>
                <w:sz w:val="16"/>
              </w:rPr>
              <w:t>T1132.001</w:t>
            </w:r>
          </w:p>
        </w:tc>
        <w:tc>
          <w:tcPr>
            <w:tcW w:type="dxa" w:w="2520"/>
          </w:tcPr>
          <w:p>
            <w:pPr>
              <w:spacing w:after="20" w:before="0" w:line="240" w:lineRule="auto"/>
            </w:pPr>
            <w:r/>
            <w:r>
              <w:rPr>
                <w:sz w:val="16"/>
              </w:rPr>
              <w:t>Data Encoding: Standard Encoding</w:t>
            </w:r>
          </w:p>
        </w:tc>
        <w:tc>
          <w:tcPr>
            <w:tcW w:type="dxa" w:w="2520"/>
          </w:tcPr>
          <w:p>
            <w:pPr>
              <w:spacing w:after="20" w:before="0" w:line="240" w:lineRule="auto"/>
            </w:pPr>
            <w:r/>
            <w:r>
              <w:rPr>
                <w:sz w:val="16"/>
              </w:rPr>
              <w:t>TA0011</w:t>
            </w:r>
          </w:p>
        </w:tc>
        <w:tc>
          <w:tcPr>
            <w:tcW w:type="dxa" w:w="2520"/>
          </w:tcPr>
          <w:p>
            <w:pPr>
              <w:spacing w:after="20" w:before="0" w:line="240" w:lineRule="auto"/>
            </w:pPr>
            <w:r/>
            <w:r>
              <w:rPr>
                <w:sz w:val="16"/>
              </w:rPr>
              <w:t>Payload base64URL-encoded (F2)</w:t>
            </w:r>
          </w:p>
        </w:tc>
      </w:tr>
      <w:tr>
        <w:tc>
          <w:tcPr>
            <w:tcW w:type="dxa" w:w="2520"/>
          </w:tcPr>
          <w:p>
            <w:pPr>
              <w:spacing w:after="20" w:before="0" w:line="240" w:lineRule="auto"/>
            </w:pPr>
            <w:r/>
            <w:r>
              <w:rPr>
                <w:sz w:val="16"/>
              </w:rPr>
              <w:t>T1572</w:t>
            </w:r>
          </w:p>
        </w:tc>
        <w:tc>
          <w:tcPr>
            <w:tcW w:type="dxa" w:w="2520"/>
          </w:tcPr>
          <w:p>
            <w:pPr>
              <w:spacing w:after="20" w:before="0" w:line="240" w:lineRule="auto"/>
            </w:pPr>
            <w:r/>
            <w:r>
              <w:rPr>
                <w:sz w:val="16"/>
              </w:rPr>
              <w:t>Protocol Tunneling</w:t>
            </w:r>
          </w:p>
        </w:tc>
        <w:tc>
          <w:tcPr>
            <w:tcW w:type="dxa" w:w="2520"/>
          </w:tcPr>
          <w:p>
            <w:pPr>
              <w:spacing w:after="20" w:before="0" w:line="240" w:lineRule="auto"/>
            </w:pPr>
            <w:r/>
            <w:r>
              <w:rPr>
                <w:sz w:val="16"/>
              </w:rPr>
              <w:t>TA0011</w:t>
            </w:r>
          </w:p>
        </w:tc>
        <w:tc>
          <w:tcPr>
            <w:tcW w:type="dxa" w:w="2520"/>
          </w:tcPr>
          <w:p>
            <w:pPr>
              <w:spacing w:after="20" w:before="0" w:line="240" w:lineRule="auto"/>
            </w:pPr>
            <w:r/>
            <w:r>
              <w:rPr>
                <w:sz w:val="16"/>
              </w:rPr>
              <w:t>Broader tunneling family (no sub-technique as of Aug 2026)</w:t>
            </w:r>
          </w:p>
        </w:tc>
      </w:tr>
    </w:tbl>
    <w:p>
      <w:pPr>
        <w:pStyle w:val="Heading2"/>
      </w:pPr>
      <w:r>
        <w:t>1.2 Attack mechanics</w:t>
      </w:r>
    </w:p>
    <w:p>
      <w:pPr>
        <w:pStyle w:val="ListNumber"/>
      </w:pPr>
      <w:r>
        <w:rPr>
          <w:b/>
        </w:rPr>
        <w:t>Encode</w:t>
      </w:r>
      <w:r>
        <w:t xml:space="preserve"> — base64URL, survives DNS hostname character restrictions.</w:t>
      </w:r>
    </w:p>
    <w:p>
      <w:pPr>
        <w:pStyle w:val="ListNumber"/>
      </w:pPr>
      <w:r>
        <w:rPr>
          <w:b/>
        </w:rPr>
        <w:t>Chunk</w:t>
      </w:r>
      <w:r>
        <w:t xml:space="preserve"> — label capped at 63 bytes, FQDN at 253, so payload splits into subdomain labels.</w:t>
      </w:r>
    </w:p>
    <w:p>
      <w:pPr>
        <w:pStyle w:val="ListNumber"/>
      </w:pPr>
      <w:r>
        <w:rPr>
          <w:b/>
        </w:rPr>
        <w:t>Emit</w:t>
      </w:r>
      <w:r>
        <w:t xml:space="preserve"> — ordinary-looking outbound query; why DNS survives egress policies.</w:t>
      </w:r>
    </w:p>
    <w:p>
      <w:pPr>
        <w:pStyle w:val="ListNumber"/>
      </w:pPr>
      <w:r>
        <w:rPr>
          <w:b/>
        </w:rPr>
        <w:t>Forward</w:t>
      </w:r>
      <w:r>
        <w:t xml:space="preserve"> — resolver walks the FQDN to the attacker's nameserver, which logs it; the query </w:t>
      </w:r>
      <w:r>
        <w:rPr>
          <w:i/>
        </w:rPr>
        <w:t>is</w:t>
      </w:r>
      <w:r>
        <w:t xml:space="preserve"> the</w:t>
      </w:r>
    </w:p>
    <w:p>
      <w:r>
        <w:t xml:space="preserve">   payload.</w:t>
      </w:r>
    </w:p>
    <w:p>
      <w:pPr>
        <w:pStyle w:val="Heading2"/>
      </w:pPr>
      <w:r>
        <w:t>1.3 Feature rationale and telemetry mapping</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r>
              <w:rPr>
                <w:b/>
                <w:sz w:val="16"/>
              </w:rPr>
              <w:t>Family</w:t>
            </w:r>
          </w:p>
        </w:tc>
        <w:tc>
          <w:tcPr>
            <w:tcW w:type="dxa" w:w="2520"/>
          </w:tcPr>
          <w:p>
            <w:pPr>
              <w:spacing w:after="20" w:before="0" w:line="240" w:lineRule="auto"/>
            </w:pPr>
            <w:r/>
            <w:r>
              <w:rPr>
                <w:b/>
                <w:sz w:val="16"/>
              </w:rPr>
              <w:t>Security meaning</w:t>
            </w:r>
          </w:p>
        </w:tc>
        <w:tc>
          <w:tcPr>
            <w:tcW w:type="dxa" w:w="2520"/>
          </w:tcPr>
          <w:p>
            <w:pPr>
              <w:spacing w:after="20" w:before="0" w:line="240" w:lineRule="auto"/>
            </w:pPr>
            <w:r/>
            <w:r>
              <w:rPr>
                <w:b/>
                <w:sz w:val="16"/>
              </w:rPr>
              <w:t>Raw field(s)</w:t>
            </w:r>
          </w:p>
        </w:tc>
        <w:tc>
          <w:tcPr>
            <w:tcW w:type="dxa" w:w="2520"/>
          </w:tcPr>
          <w:p>
            <w:pPr>
              <w:spacing w:after="20" w:before="0" w:line="240" w:lineRule="auto"/>
            </w:pPr>
            <w:r/>
            <w:r>
              <w:rPr>
                <w:b/>
                <w:sz w:val="16"/>
              </w:rPr>
              <w:t>Derived</w:t>
            </w:r>
          </w:p>
        </w:tc>
      </w:tr>
      <w:tr>
        <w:tc>
          <w:tcPr>
            <w:tcW w:type="dxa" w:w="2520"/>
          </w:tcPr>
          <w:p>
            <w:pPr>
              <w:spacing w:after="20" w:before="0" w:line="240" w:lineRule="auto"/>
            </w:pPr>
            <w:r/>
            <w:r>
              <w:rPr>
                <w:b/>
                <w:sz w:val="16"/>
              </w:rPr>
              <w:t>F1</w:t>
            </w:r>
            <w:r>
              <w:rPr>
                <w:sz w:val="16"/>
              </w:rPr>
              <w:t xml:space="preserve"> Payload volume</w:t>
            </w:r>
          </w:p>
        </w:tc>
        <w:tc>
          <w:tcPr>
            <w:tcW w:type="dxa" w:w="2520"/>
          </w:tcPr>
          <w:p>
            <w:pPr>
              <w:spacing w:after="20" w:before="0" w:line="240" w:lineRule="auto"/>
            </w:pPr>
            <w:r/>
            <w:r>
              <w:rPr>
                <w:sz w:val="16"/>
              </w:rPr>
              <w:t>More bytes than a lookup needs</w:t>
            </w:r>
          </w:p>
        </w:tc>
        <w:tc>
          <w:tcPr>
            <w:tcW w:type="dxa" w:w="2520"/>
          </w:tcPr>
          <w:p>
            <w:pPr>
              <w:spacing w:after="20" w:before="0" w:line="240" w:lineRule="auto"/>
            </w:pPr>
            <w:r/>
            <w:r>
              <w:rPr>
                <w:sz w:val="16"/>
              </w:rPr>
              <w:t xml:space="preserve">A: </w:t>
            </w:r>
            <w:r>
              <w:rPr>
                <w:rFonts w:ascii="Consolas" w:hAnsi="Consolas"/>
                <w:sz w:val="16"/>
              </w:rPr>
              <w:t>len</w:t>
            </w:r>
            <w:r>
              <w:rPr>
                <w:sz w:val="16"/>
              </w:rPr>
              <w:t xml:space="preserve">, </w:t>
            </w:r>
            <w:r>
              <w:rPr>
                <w:rFonts w:ascii="Consolas" w:hAnsi="Consolas"/>
                <w:sz w:val="16"/>
              </w:rPr>
              <w:t>subdomain_length</w:t>
            </w:r>
            <w:r>
              <w:rPr>
                <w:sz w:val="16"/>
              </w:rPr>
              <w:t xml:space="preserve">, </w:t>
            </w:r>
            <w:r>
              <w:rPr>
                <w:rFonts w:ascii="Consolas" w:hAnsi="Consolas"/>
                <w:sz w:val="16"/>
              </w:rPr>
              <w:t>FQDN_count</w:t>
            </w:r>
            <w:r>
              <w:rPr>
                <w:sz w:val="16"/>
              </w:rPr>
              <w:t xml:space="preserve"> · B: </w:t>
            </w:r>
            <w:r>
              <w:rPr>
                <w:rFonts w:ascii="Consolas" w:hAnsi="Consolas"/>
                <w:sz w:val="16"/>
              </w:rPr>
              <w:t>PacketLengthMean/Median</w:t>
            </w:r>
            <w:r>
              <w:rPr>
                <w:sz w:val="16"/>
              </w:rPr>
              <w:t xml:space="preserve">, </w:t>
            </w:r>
            <w:r>
              <w:rPr>
                <w:rFonts w:ascii="Consolas" w:hAnsi="Consolas"/>
                <w:sz w:val="16"/>
              </w:rPr>
              <w:t>FlowBytesSent</w:t>
            </w:r>
          </w:p>
        </w:tc>
        <w:tc>
          <w:tcPr>
            <w:tcW w:type="dxa" w:w="2520"/>
          </w:tcPr>
          <w:p>
            <w:pPr>
              <w:spacing w:after="20" w:before="0" w:line="240" w:lineRule="auto"/>
            </w:pPr>
            <w:r/>
            <w:r>
              <w:rPr>
                <w:rFonts w:ascii="Consolas" w:hAnsi="Consolas"/>
                <w:sz w:val="16"/>
              </w:rPr>
              <w:t>vol_*</w:t>
            </w:r>
          </w:p>
        </w:tc>
      </w:tr>
      <w:tr>
        <w:tc>
          <w:tcPr>
            <w:tcW w:type="dxa" w:w="2520"/>
          </w:tcPr>
          <w:p>
            <w:pPr>
              <w:spacing w:after="20" w:before="0" w:line="240" w:lineRule="auto"/>
            </w:pPr>
            <w:r/>
            <w:r>
              <w:rPr>
                <w:b/>
                <w:sz w:val="16"/>
              </w:rPr>
              <w:t>F2</w:t>
            </w:r>
            <w:r>
              <w:rPr>
                <w:sz w:val="16"/>
              </w:rPr>
              <w:t xml:space="preserve"> Encoding randomness</w:t>
            </w:r>
          </w:p>
        </w:tc>
        <w:tc>
          <w:tcPr>
            <w:tcW w:type="dxa" w:w="2520"/>
          </w:tcPr>
          <w:p>
            <w:pPr>
              <w:spacing w:after="20" w:before="0" w:line="240" w:lineRule="auto"/>
            </w:pPr>
            <w:r/>
            <w:r>
              <w:rPr>
                <w:sz w:val="16"/>
              </w:rPr>
              <w:t>Base64 near-uniform char distribution</w:t>
            </w:r>
          </w:p>
        </w:tc>
        <w:tc>
          <w:tcPr>
            <w:tcW w:type="dxa" w:w="2520"/>
          </w:tcPr>
          <w:p>
            <w:pPr>
              <w:spacing w:after="20" w:before="0" w:line="240" w:lineRule="auto"/>
            </w:pPr>
            <w:r/>
            <w:r>
              <w:rPr>
                <w:sz w:val="16"/>
              </w:rPr>
              <w:t xml:space="preserve">A: </w:t>
            </w:r>
            <w:r>
              <w:rPr>
                <w:rFonts w:ascii="Consolas" w:hAnsi="Consolas"/>
                <w:sz w:val="16"/>
              </w:rPr>
              <w:t>entropy</w:t>
            </w:r>
            <w:r>
              <w:rPr>
                <w:sz w:val="16"/>
              </w:rPr>
              <w:t xml:space="preserve">, char-class ratios · B: </w:t>
            </w:r>
            <w:r>
              <w:rPr>
                <w:rFonts w:ascii="Consolas" w:hAnsi="Consolas"/>
                <w:sz w:val="16"/>
              </w:rPr>
              <w:t>PacketLengthCoefficientofVariation</w:t>
            </w:r>
            <w:r>
              <w:rPr>
                <w:sz w:val="16"/>
              </w:rPr>
              <w:t xml:space="preserve">, </w:t>
            </w:r>
            <w:r>
              <w:rPr>
                <w:rFonts w:ascii="Consolas" w:hAnsi="Consolas"/>
                <w:sz w:val="16"/>
              </w:rPr>
              <w:t>log1p(PacketLengthVariance)</w:t>
            </w:r>
          </w:p>
        </w:tc>
        <w:tc>
          <w:tcPr>
            <w:tcW w:type="dxa" w:w="2520"/>
          </w:tcPr>
          <w:p>
            <w:pPr>
              <w:spacing w:after="20" w:before="0" w:line="240" w:lineRule="auto"/>
            </w:pPr>
            <w:r/>
            <w:r>
              <w:rPr>
                <w:rFonts w:ascii="Consolas" w:hAnsi="Consolas"/>
                <w:sz w:val="16"/>
              </w:rPr>
              <w:t>rand_*</w:t>
            </w:r>
          </w:p>
        </w:tc>
      </w:tr>
      <w:tr>
        <w:tc>
          <w:tcPr>
            <w:tcW w:type="dxa" w:w="2520"/>
          </w:tcPr>
          <w:p>
            <w:pPr>
              <w:spacing w:after="20" w:before="0" w:line="240" w:lineRule="auto"/>
            </w:pPr>
            <w:r/>
            <w:r>
              <w:rPr>
                <w:b/>
                <w:sz w:val="16"/>
              </w:rPr>
              <w:t>F3</w:t>
            </w:r>
            <w:r>
              <w:rPr>
                <w:sz w:val="16"/>
              </w:rPr>
              <w:t xml:space="preserve"> Structural complexity</w:t>
            </w:r>
          </w:p>
        </w:tc>
        <w:tc>
          <w:tcPr>
            <w:tcW w:type="dxa" w:w="2520"/>
          </w:tcPr>
          <w:p>
            <w:pPr>
              <w:spacing w:after="20" w:before="0" w:line="240" w:lineRule="auto"/>
            </w:pPr>
            <w:r/>
            <w:r>
              <w:rPr>
                <w:sz w:val="16"/>
              </w:rPr>
              <w:t>Segmented/deep names from chunking</w:t>
            </w:r>
          </w:p>
        </w:tc>
        <w:tc>
          <w:tcPr>
            <w:tcW w:type="dxa" w:w="2520"/>
          </w:tcPr>
          <w:p>
            <w:pPr>
              <w:spacing w:after="20" w:before="0" w:line="240" w:lineRule="auto"/>
            </w:pPr>
            <w:r/>
            <w:r>
              <w:rPr>
                <w:sz w:val="16"/>
              </w:rPr>
              <w:t xml:space="preserve">A: </w:t>
            </w:r>
            <w:r>
              <w:rPr>
                <w:rFonts w:ascii="Consolas" w:hAnsi="Consolas"/>
                <w:sz w:val="16"/>
              </w:rPr>
              <w:t>labels</w:t>
            </w:r>
            <w:r>
              <w:rPr>
                <w:sz w:val="16"/>
              </w:rPr>
              <w:t xml:space="preserve">, </w:t>
            </w:r>
            <w:r>
              <w:rPr>
                <w:rFonts w:ascii="Consolas" w:hAnsi="Consolas"/>
                <w:sz w:val="16"/>
              </w:rPr>
              <w:t>labels_max</w:t>
            </w:r>
            <w:r>
              <w:rPr>
                <w:sz w:val="16"/>
              </w:rPr>
              <w:t xml:space="preserve"> · B: </w:t>
            </w:r>
            <w:r>
              <w:rPr>
                <w:rFonts w:ascii="Consolas" w:hAnsi="Consolas"/>
                <w:sz w:val="16"/>
              </w:rPr>
              <w:t>PacketLengthMode/StdDev</w:t>
            </w:r>
          </w:p>
        </w:tc>
        <w:tc>
          <w:tcPr>
            <w:tcW w:type="dxa" w:w="2520"/>
          </w:tcPr>
          <w:p>
            <w:pPr>
              <w:spacing w:after="20" w:before="0" w:line="240" w:lineRule="auto"/>
            </w:pPr>
            <w:r/>
            <w:r>
              <w:rPr>
                <w:rFonts w:ascii="Consolas" w:hAnsi="Consolas"/>
                <w:sz w:val="16"/>
              </w:rPr>
              <w:t>struct_*</w:t>
            </w:r>
          </w:p>
        </w:tc>
      </w:tr>
      <w:tr>
        <w:tc>
          <w:tcPr>
            <w:tcW w:type="dxa" w:w="2520"/>
          </w:tcPr>
          <w:p>
            <w:pPr>
              <w:spacing w:after="20" w:before="0" w:line="240" w:lineRule="auto"/>
            </w:pPr>
            <w:r/>
            <w:r>
              <w:rPr>
                <w:b/>
                <w:sz w:val="16"/>
              </w:rPr>
              <w:t>F4</w:t>
            </w:r>
            <w:r>
              <w:rPr>
                <w:sz w:val="16"/>
              </w:rPr>
              <w:t xml:space="preserve"> Temporal rhythm </w:t>
            </w:r>
            <w:r>
              <w:rPr>
                <w:sz w:val="16"/>
              </w:rPr>
              <w:t>*(B only)*</w:t>
            </w:r>
          </w:p>
        </w:tc>
        <w:tc>
          <w:tcPr>
            <w:tcW w:type="dxa" w:w="2520"/>
          </w:tcPr>
          <w:p>
            <w:pPr>
              <w:spacing w:after="20" w:before="0" w:line="240" w:lineRule="auto"/>
            </w:pPr>
            <w:r/>
            <w:r>
              <w:rPr>
                <w:sz w:val="16"/>
              </w:rPr>
              <w:t>Machine-paced, low-variance emission</w:t>
            </w:r>
          </w:p>
        </w:tc>
        <w:tc>
          <w:tcPr>
            <w:tcW w:type="dxa" w:w="2520"/>
          </w:tcPr>
          <w:p>
            <w:pPr>
              <w:spacing w:after="20" w:before="0" w:line="240" w:lineRule="auto"/>
            </w:pPr>
            <w:r/>
            <w:r>
              <w:rPr>
                <w:sz w:val="16"/>
              </w:rPr>
              <w:t xml:space="preserve">B: </w:t>
            </w:r>
            <w:r>
              <w:rPr>
                <w:rFonts w:ascii="Consolas" w:hAnsi="Consolas"/>
                <w:sz w:val="16"/>
              </w:rPr>
              <w:t>PacketTimeMean/StdDev/SkewFromMedian</w:t>
            </w:r>
          </w:p>
        </w:tc>
        <w:tc>
          <w:tcPr>
            <w:tcW w:type="dxa" w:w="2520"/>
          </w:tcPr>
          <w:p>
            <w:pPr>
              <w:spacing w:after="20" w:before="0" w:line="240" w:lineRule="auto"/>
            </w:pPr>
            <w:r/>
            <w:r>
              <w:rPr>
                <w:rFonts w:ascii="Consolas" w:hAnsi="Consolas"/>
                <w:sz w:val="16"/>
              </w:rPr>
              <w:t>time_*</w:t>
            </w:r>
          </w:p>
        </w:tc>
      </w:tr>
      <w:tr>
        <w:tc>
          <w:tcPr>
            <w:tcW w:type="dxa" w:w="2520"/>
          </w:tcPr>
          <w:p>
            <w:pPr>
              <w:spacing w:after="20" w:before="0" w:line="240" w:lineRule="auto"/>
            </w:pPr>
            <w:r/>
            <w:r>
              <w:rPr>
                <w:b/>
                <w:sz w:val="16"/>
              </w:rPr>
              <w:t>F5</w:t>
            </w:r>
            <w:r>
              <w:rPr>
                <w:sz w:val="16"/>
              </w:rPr>
              <w:t xml:space="preserve"> Endpoint dispersion </w:t>
            </w:r>
            <w:r>
              <w:rPr>
                <w:sz w:val="16"/>
              </w:rPr>
              <w:t>*(B only)*</w:t>
            </w:r>
          </w:p>
        </w:tc>
        <w:tc>
          <w:tcPr>
            <w:tcW w:type="dxa" w:w="2520"/>
          </w:tcPr>
          <w:p>
            <w:pPr>
              <w:spacing w:after="20" w:before="0" w:line="240" w:lineRule="auto"/>
            </w:pPr>
            <w:r/>
            <w:r>
              <w:rPr>
                <w:sz w:val="16"/>
              </w:rPr>
              <w:t>Concentrates on few endpoints</w:t>
            </w:r>
          </w:p>
        </w:tc>
        <w:tc>
          <w:tcPr>
            <w:tcW w:type="dxa" w:w="2520"/>
          </w:tcPr>
          <w:p>
            <w:pPr>
              <w:spacing w:after="20" w:before="0" w:line="240" w:lineRule="auto"/>
            </w:pPr>
            <w:r/>
            <w:r>
              <w:rPr>
                <w:sz w:val="16"/>
              </w:rPr>
              <w:t xml:space="preserve">B: </w:t>
            </w:r>
            <w:r>
              <w:rPr>
                <w:rFonts w:ascii="Consolas" w:hAnsi="Consolas"/>
                <w:sz w:val="16"/>
              </w:rPr>
              <w:t>FlowSentRate</w:t>
            </w:r>
          </w:p>
        </w:tc>
        <w:tc>
          <w:tcPr>
            <w:tcW w:type="dxa" w:w="2520"/>
          </w:tcPr>
          <w:p>
            <w:pPr>
              <w:spacing w:after="20" w:before="0" w:line="240" w:lineRule="auto"/>
            </w:pPr>
            <w:r/>
            <w:r>
              <w:rPr>
                <w:rFonts w:ascii="Consolas" w:hAnsi="Consolas"/>
                <w:sz w:val="16"/>
              </w:rPr>
              <w:t>disp_uniqueness</w:t>
            </w:r>
          </w:p>
        </w:tc>
      </w:tr>
    </w:tbl>
    <w:p>
      <w:r>
        <w:t xml:space="preserve">B's F2/F3 are statistical proxies (packet-length variability), not text-level equivalents — DoH hides the label. F4/F5 unobservable on A by construction (stateless schema, no timing/fan-out telemetry) — central empirical claim (Ch. 5): feature families survive the plaintext→encrypted boundary by different amounts. Provenance: </w:t>
      </w:r>
      <w:r>
        <w:rPr>
          <w:rFonts w:ascii="Consolas" w:hAnsi="Consolas"/>
          <w:sz w:val="20"/>
        </w:rPr>
        <w:t>schema/unified.py</w:t>
      </w:r>
      <w:r>
        <w:t>.</w:t>
      </w:r>
    </w:p>
    <w:p>
      <w:pPr>
        <w:pStyle w:val="Heading2"/>
      </w:pPr>
      <w:r>
        <w:t>1.4 Throughput/stealth tradeoff → heavy vs. light</w:t>
      </w:r>
    </w:p>
    <w:p>
      <w:r>
        <w:t xml:space="preserve">Max-throughput exfiltration finishes fast but spikes volume; throttled exfiltration looks closer to normal at the cost of time. Dataset A operationalizes this as </w:t>
      </w:r>
      <w:r>
        <w:rPr>
          <w:b/>
        </w:rPr>
        <w:t>heavy_attack</w:t>
      </w:r>
      <w:r>
        <w:t xml:space="preserve"> (323,698) vs. </w:t>
      </w:r>
      <w:r>
        <w:rPr>
          <w:b/>
        </w:rPr>
        <w:t>light_attack</w:t>
      </w:r>
      <w:r>
        <w:t xml:space="preserve"> (53,978) — Nadler et al.'s (2019) "low-throughput exfiltration" (Ch. 2). Predicted stealth advantage does </w:t>
      </w:r>
      <w:r>
        <w:rPr>
          <w:b/>
        </w:rPr>
        <w:t>not</w:t>
      </w:r>
      <w:r>
        <w:t xml:space="preserve"> show up as a detection gap (Ch. 8.1): recall is statistically indistinguishable between subclasses (99.95% light vs. 99.94% heavy) — the real cost of this threat model is false positives, not a light-class blind spot.</w:t>
      </w:r>
    </w:p>
    <w:p>
      <w:pPr>
        <w:pStyle w:val="Heading1"/>
      </w:pPr>
      <w:r>
        <w:t>Chapter 2 — Literature Review</w:t>
      </w:r>
    </w:p>
    <w:p>
      <w:r>
        <w:t>Two anchor papers: one supplied the dataset schema, the other the threat model its heavy/light split operationalizes.</w:t>
      </w:r>
    </w:p>
    <w:p>
      <w:pPr>
        <w:pStyle w:val="ListBullet"/>
      </w:pPr>
      <w:r>
        <w:rPr>
          <w:b/>
        </w:rPr>
        <w:t>Nadler, A., Aminov, A., &amp; Shabtai, A. (2019).</w:t>
      </w:r>
      <w:r>
        <w:t xml:space="preserve"> "Detection of Malicious and Low Throughput Data</w:t>
      </w:r>
    </w:p>
    <w:p>
      <w:r>
        <w:t xml:space="preserve">  Exfiltration Over the DNS Protocol." </w:t>
      </w:r>
      <w:r>
        <w:rPr>
          <w:i/>
        </w:rPr>
        <w:t>Computers &amp; Security</w:t>
      </w:r>
      <w:r>
        <w:t>, 80, 36–53. DOI: 10.1016/j.cose.2018.09.006.</w:t>
      </w:r>
    </w:p>
    <w:p>
      <w:pPr>
        <w:pStyle w:val="ListBullet"/>
      </w:pPr>
      <w:r>
        <w:rPr>
          <w:b/>
        </w:rPr>
        <w:t>Mahdavifar, S., et al. (2021).</w:t>
      </w:r>
      <w:r>
        <w:t xml:space="preserve"> "Lightweight Hybrid Detection of Data Exfiltration using DNS based on</w:t>
      </w:r>
    </w:p>
    <w:p>
      <w:r>
        <w:t xml:space="preserve">  Machine Learning." </w:t>
      </w:r>
      <w:r>
        <w:rPr>
          <w:i/>
        </w:rPr>
        <w:t>CNS '21</w:t>
      </w:r>
      <w:r>
        <w:t xml:space="preserve">, ACM. DOI: 10.1145/3507509.3507520 — introduces </w:t>
      </w:r>
      <w:r>
        <w:rPr>
          <w:b/>
        </w:rPr>
        <w:t>CIC-Bell-DNS-EXF-2021</w:t>
      </w:r>
      <w:r>
        <w:t xml:space="preserve">   (Dataset A).</w:t>
      </w:r>
    </w:p>
    <w:p>
      <w:pPr>
        <w:pStyle w:val="Heading2"/>
      </w:pPr>
      <w:r>
        <w:t>2.1 Extraction matrix</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Axis</w:t>
            </w:r>
          </w:p>
        </w:tc>
        <w:tc>
          <w:tcPr>
            <w:tcW w:type="dxa" w:w="3360"/>
          </w:tcPr>
          <w:p>
            <w:pPr>
              <w:spacing w:after="20" w:before="0" w:line="240" w:lineRule="auto"/>
            </w:pPr>
            <w:r/>
            <w:r>
              <w:rPr>
                <w:b/>
                <w:sz w:val="16"/>
              </w:rPr>
              <w:t>Nadler et al. (2019)</w:t>
            </w:r>
          </w:p>
        </w:tc>
        <w:tc>
          <w:tcPr>
            <w:tcW w:type="dxa" w:w="3360"/>
          </w:tcPr>
          <w:p>
            <w:pPr>
              <w:spacing w:after="20" w:before="0" w:line="240" w:lineRule="auto"/>
            </w:pPr>
            <w:r/>
            <w:r>
              <w:rPr>
                <w:b/>
                <w:sz w:val="16"/>
              </w:rPr>
              <w:t>Mahdavifar et al. (2021)</w:t>
            </w:r>
          </w:p>
        </w:tc>
      </w:tr>
      <w:tr>
        <w:tc>
          <w:tcPr>
            <w:tcW w:type="dxa" w:w="3360"/>
          </w:tcPr>
          <w:p>
            <w:pPr>
              <w:spacing w:after="20" w:before="0" w:line="240" w:lineRule="auto"/>
            </w:pPr>
            <w:r/>
            <w:r>
              <w:rPr>
                <w:sz w:val="16"/>
              </w:rPr>
              <w:t>Entropy</w:t>
            </w:r>
          </w:p>
        </w:tc>
        <w:tc>
          <w:tcPr>
            <w:tcW w:type="dxa" w:w="3360"/>
          </w:tcPr>
          <w:p>
            <w:pPr>
              <w:spacing w:after="20" w:before="0" w:line="240" w:lineRule="auto"/>
            </w:pPr>
            <w:r/>
            <w:r>
              <w:rPr>
                <w:sz w:val="16"/>
              </w:rPr>
              <w:t>Window-level anomaly signal, char-distribution stats vs. learned baseline</w:t>
            </w:r>
          </w:p>
        </w:tc>
        <w:tc>
          <w:tcPr>
            <w:tcW w:type="dxa" w:w="3360"/>
          </w:tcPr>
          <w:p>
            <w:pPr>
              <w:spacing w:after="20" w:before="0" w:line="240" w:lineRule="auto"/>
            </w:pPr>
            <w:r/>
            <w:r>
              <w:rPr>
                <w:sz w:val="16"/>
              </w:rPr>
              <w:t>Per-record Shannon entropy fed straight into a classifier</w:t>
            </w:r>
          </w:p>
        </w:tc>
      </w:tr>
      <w:tr>
        <w:tc>
          <w:tcPr>
            <w:tcW w:type="dxa" w:w="3360"/>
          </w:tcPr>
          <w:p>
            <w:pPr>
              <w:spacing w:after="20" w:before="0" w:line="240" w:lineRule="auto"/>
            </w:pPr>
            <w:r/>
            <w:r>
              <w:rPr>
                <w:sz w:val="16"/>
              </w:rPr>
              <w:t>Scope</w:t>
            </w:r>
          </w:p>
        </w:tc>
        <w:tc>
          <w:tcPr>
            <w:tcW w:type="dxa" w:w="3360"/>
          </w:tcPr>
          <w:p>
            <w:pPr>
              <w:spacing w:after="20" w:before="0" w:line="240" w:lineRule="auto"/>
            </w:pPr>
            <w:r/>
            <w:r>
              <w:rPr>
                <w:sz w:val="16"/>
              </w:rPr>
              <w:t>Per-session/window — catches throttled throughput</w:t>
            </w:r>
          </w:p>
        </w:tc>
        <w:tc>
          <w:tcPr>
            <w:tcW w:type="dxa" w:w="3360"/>
          </w:tcPr>
          <w:p>
            <w:pPr>
              <w:spacing w:after="20" w:before="0" w:line="240" w:lineRule="auto"/>
            </w:pPr>
            <w:r/>
            <w:r>
              <w:rPr>
                <w:sz w:val="16"/>
              </w:rPr>
              <w:t>Per-query + limited aggregates, no long-horizon windowing</w:t>
            </w:r>
          </w:p>
        </w:tc>
      </w:tr>
      <w:tr>
        <w:tc>
          <w:tcPr>
            <w:tcW w:type="dxa" w:w="3360"/>
          </w:tcPr>
          <w:p>
            <w:pPr>
              <w:spacing w:after="20" w:before="0" w:line="240" w:lineRule="auto"/>
            </w:pPr>
            <w:r/>
            <w:r>
              <w:rPr>
                <w:sz w:val="16"/>
              </w:rPr>
              <w:t>Paradigm</w:t>
            </w:r>
          </w:p>
        </w:tc>
        <w:tc>
          <w:tcPr>
            <w:tcW w:type="dxa" w:w="3360"/>
          </w:tcPr>
          <w:p>
            <w:pPr>
              <w:spacing w:after="20" w:before="0" w:line="240" w:lineRule="auto"/>
            </w:pPr>
            <w:r/>
            <w:r>
              <w:rPr>
                <w:sz w:val="16"/>
              </w:rPr>
              <w:t>Feature selection → anomaly detection; ≥99% recall/&lt;0.01% FPR, low-throughput (≤1 KB/h) harder</w:t>
            </w:r>
          </w:p>
        </w:tc>
        <w:tc>
          <w:tcPr>
            <w:tcW w:type="dxa" w:w="3360"/>
          </w:tcPr>
          <w:p>
            <w:pPr>
              <w:spacing w:after="20" w:before="0" w:line="240" w:lineRule="auto"/>
            </w:pPr>
            <w:r/>
            <w:r>
              <w:rPr>
                <w:sz w:val="16"/>
              </w:rPr>
              <w:t>Fully supervised — 5 algorithms compared, RF best</w:t>
            </w:r>
          </w:p>
        </w:tc>
      </w:tr>
    </w:tbl>
    <w:p>
      <w:pPr>
        <w:pStyle w:val="Heading2"/>
      </w:pPr>
      <w:r>
        <w:t>2.2 Adopted, modified, rejected</w:t>
      </w:r>
    </w:p>
    <w:p>
      <w:r>
        <w:rPr>
          <w:b/>
        </w:rPr>
        <w:t>Adopted:</w:t>
      </w:r>
      <w:r>
        <w:t xml:space="preserve"> entropy (F2) — both papers converge independently, hence INTERSECTION; volume/size (F1) — Mahdavifar's stateless features map directly onto </w:t>
      </w:r>
      <w:r>
        <w:rPr>
          <w:rFonts w:ascii="Consolas" w:hAnsi="Consolas"/>
          <w:sz w:val="20"/>
        </w:rPr>
        <w:t>vol_*</w:t>
      </w:r>
      <w:r>
        <w:t>; supervised classification as primary paradigm.</w:t>
      </w:r>
    </w:p>
    <w:p>
      <w:r>
        <w:rPr>
          <w:b/>
        </w:rPr>
        <w:t>Modified:</w:t>
      </w:r>
      <w:r>
        <w:t xml:space="preserve"> Nadler's time-windowed framing isn't buildable on A (no session ID), reappears as this project's </w:t>
      </w:r>
      <w:r>
        <w:rPr>
          <w:b/>
        </w:rPr>
        <w:t>F4 temporal rhythm</w:t>
      </w:r>
      <w:r>
        <w:t xml:space="preserve"> on B — B_ONLY by construction (Ch. 5, D2), not oversight.</w:t>
      </w:r>
    </w:p>
    <w:p>
      <w:r>
        <w:rPr>
          <w:b/>
        </w:rPr>
        <w:t>Rejected:</w:t>
      </w:r>
      <w:r>
        <w:t xml:space="preserve"> Nadler's unsupervised model as primary detector — kept only as cascade Stage 1 (Isolation Forest); Nadler's long-horizon windowing, entirely, for A.</w:t>
      </w:r>
    </w:p>
    <w:p>
      <w:pPr>
        <w:pStyle w:val="Heading2"/>
      </w:pPr>
      <w:r>
        <w:t>2.3 Where our result diverges</w:t>
      </w:r>
    </w:p>
    <w:p>
      <w:r>
        <w:t xml:space="preserve">Nadler: throttled exfiltration evades volume-threshold detectors. Mahdavifar operationalizes this as </w:t>
      </w:r>
      <w:r>
        <w:rPr>
          <w:b/>
        </w:rPr>
        <w:t>light_attack</w:t>
      </w:r>
      <w:r>
        <w:t xml:space="preserve"> vs. </w:t>
      </w:r>
      <w:r>
        <w:rPr>
          <w:b/>
        </w:rPr>
        <w:t>heavy_attack</w:t>
      </w:r>
      <w:r>
        <w:t xml:space="preserve"> (Ch. 1.4), predicting light attacks are materially harder to detect. </w:t>
      </w:r>
      <w:r>
        <w:rPr>
          <w:b/>
        </w:rPr>
        <w:t>Step 3A does not bear this out</w:t>
      </w:r>
      <w:r>
        <w:t xml:space="preserve"> — light (99.95%) and heavy (99.94%) recall are statistically indistinguishable; bottleneck is false positives (40.5% FPR), not missed light attacks (Ch. 8.1) — a genuine divergence from the Nadler-derived hypothesis, stated plainly.</w:t>
      </w:r>
    </w:p>
    <w:p>
      <w:pPr>
        <w:pStyle w:val="Heading1"/>
      </w:pPr>
      <w:r>
        <w:t>Chapter 3 — Exploratory Data Analysis</w:t>
      </w:r>
    </w:p>
    <w:p>
      <w:pPr>
        <w:pStyle w:val="Heading2"/>
      </w:pPr>
      <w:r>
        <w:t>3.1 Class distribution</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Dataset</w:t>
            </w:r>
          </w:p>
        </w:tc>
        <w:tc>
          <w:tcPr>
            <w:tcW w:type="dxa" w:w="2016"/>
          </w:tcPr>
          <w:p>
            <w:pPr>
              <w:spacing w:after="20" w:before="0" w:line="240" w:lineRule="auto"/>
            </w:pPr>
            <w:r/>
            <w:r>
              <w:rPr>
                <w:b/>
                <w:sz w:val="16"/>
              </w:rPr>
              <w:t>Framing</w:t>
            </w:r>
          </w:p>
        </w:tc>
        <w:tc>
          <w:tcPr>
            <w:tcW w:type="dxa" w:w="2016"/>
          </w:tcPr>
          <w:p>
            <w:pPr>
              <w:spacing w:after="20" w:before="0" w:line="240" w:lineRule="auto"/>
            </w:pPr>
            <w:r/>
            <w:r>
              <w:rPr>
                <w:b/>
                <w:sz w:val="16"/>
              </w:rPr>
              <w:t>Benign</w:t>
            </w:r>
          </w:p>
        </w:tc>
        <w:tc>
          <w:tcPr>
            <w:tcW w:type="dxa" w:w="2016"/>
          </w:tcPr>
          <w:p>
            <w:pPr>
              <w:spacing w:after="20" w:before="0" w:line="240" w:lineRule="auto"/>
            </w:pPr>
            <w:r/>
            <w:r>
              <w:rPr>
                <w:b/>
                <w:sz w:val="16"/>
              </w:rPr>
              <w:t>Attack</w:t>
            </w:r>
          </w:p>
        </w:tc>
        <w:tc>
          <w:tcPr>
            <w:tcW w:type="dxa" w:w="2016"/>
          </w:tcPr>
          <w:p>
            <w:pPr>
              <w:spacing w:after="20" w:before="0" w:line="240" w:lineRule="auto"/>
            </w:pPr>
            <w:r/>
            <w:r>
              <w:rPr>
                <w:b/>
                <w:sz w:val="16"/>
              </w:rPr>
              <w:t>Ratio</w:t>
            </w:r>
          </w:p>
        </w:tc>
      </w:tr>
      <w:tr>
        <w:tc>
          <w:tcPr>
            <w:tcW w:type="dxa" w:w="2016"/>
          </w:tcPr>
          <w:p>
            <w:pPr>
              <w:spacing w:after="20" w:before="0" w:line="240" w:lineRule="auto"/>
            </w:pPr>
            <w:r/>
            <w:r>
              <w:rPr>
                <w:sz w:val="16"/>
              </w:rPr>
              <w:t>A (EXF-2021)</w:t>
            </w:r>
          </w:p>
        </w:tc>
        <w:tc>
          <w:tcPr>
            <w:tcW w:type="dxa" w:w="2016"/>
          </w:tcPr>
          <w:p>
            <w:pPr>
              <w:spacing w:after="20" w:before="0" w:line="240" w:lineRule="auto"/>
            </w:pPr>
            <w:r/>
            <w:r>
              <w:rPr>
                <w:sz w:val="16"/>
              </w:rPr>
              <w:t>n/a</w:t>
            </w:r>
          </w:p>
        </w:tc>
        <w:tc>
          <w:tcPr>
            <w:tcW w:type="dxa" w:w="2016"/>
          </w:tcPr>
          <w:p>
            <w:pPr>
              <w:spacing w:after="20" w:before="0" w:line="240" w:lineRule="auto"/>
            </w:pPr>
            <w:r/>
            <w:r>
              <w:rPr>
                <w:sz w:val="16"/>
              </w:rPr>
              <w:t>115,714</w:t>
            </w:r>
          </w:p>
        </w:tc>
        <w:tc>
          <w:tcPr>
            <w:tcW w:type="dxa" w:w="2016"/>
          </w:tcPr>
          <w:p>
            <w:pPr>
              <w:spacing w:after="20" w:before="0" w:line="240" w:lineRule="auto"/>
            </w:pPr>
            <w:r/>
            <w:r>
              <w:rPr>
                <w:sz w:val="16"/>
              </w:rPr>
              <w:t>105,601 (62,918 heavy + 42,683 light)</w:t>
            </w:r>
          </w:p>
        </w:tc>
        <w:tc>
          <w:tcPr>
            <w:tcW w:type="dxa" w:w="2016"/>
          </w:tcPr>
          <w:p>
            <w:pPr>
              <w:spacing w:after="20" w:before="0" w:line="240" w:lineRule="auto"/>
            </w:pPr>
            <w:r/>
            <w:r>
              <w:rPr>
                <w:sz w:val="16"/>
              </w:rPr>
              <w:t>~1.10:1</w:t>
            </w:r>
          </w:p>
        </w:tc>
      </w:tr>
      <w:tr>
        <w:tc>
          <w:tcPr>
            <w:tcW w:type="dxa" w:w="2016"/>
          </w:tcPr>
          <w:p>
            <w:pPr>
              <w:spacing w:after="20" w:before="0" w:line="240" w:lineRule="auto"/>
            </w:pPr>
            <w:r/>
            <w:r>
              <w:rPr>
                <w:sz w:val="16"/>
              </w:rPr>
              <w:t>B (DoHBrw-2020)</w:t>
            </w:r>
          </w:p>
        </w:tc>
        <w:tc>
          <w:tcPr>
            <w:tcW w:type="dxa" w:w="2016"/>
          </w:tcPr>
          <w:p>
            <w:pPr>
              <w:spacing w:after="20" w:before="0" w:line="240" w:lineRule="auto"/>
            </w:pPr>
            <w:r/>
            <w:r>
              <w:rPr>
                <w:sz w:val="16"/>
              </w:rPr>
              <w:t>hard</w:t>
            </w:r>
          </w:p>
        </w:tc>
        <w:tc>
          <w:tcPr>
            <w:tcW w:type="dxa" w:w="2016"/>
          </w:tcPr>
          <w:p>
            <w:pPr>
              <w:spacing w:after="20" w:before="0" w:line="240" w:lineRule="auto"/>
            </w:pPr>
            <w:r/>
            <w:r>
              <w:rPr>
                <w:sz w:val="16"/>
              </w:rPr>
              <w:t>19,807</w:t>
            </w:r>
          </w:p>
        </w:tc>
        <w:tc>
          <w:tcPr>
            <w:tcW w:type="dxa" w:w="2016"/>
          </w:tcPr>
          <w:p>
            <w:pPr>
              <w:spacing w:after="20" w:before="0" w:line="240" w:lineRule="auto"/>
            </w:pPr>
            <w:r/>
            <w:r>
              <w:rPr>
                <w:sz w:val="16"/>
              </w:rPr>
              <w:t>~19,807 (subsampled from 249,836)</w:t>
            </w:r>
          </w:p>
        </w:tc>
        <w:tc>
          <w:tcPr>
            <w:tcW w:type="dxa" w:w="2016"/>
          </w:tcPr>
          <w:p>
            <w:pPr>
              <w:spacing w:after="20" w:before="0" w:line="240" w:lineRule="auto"/>
            </w:pPr>
            <w:r/>
            <w:r>
              <w:rPr>
                <w:sz w:val="16"/>
              </w:rPr>
              <w:t>~1:1</w:t>
            </w:r>
          </w:p>
        </w:tc>
      </w:tr>
      <w:tr>
        <w:tc>
          <w:tcPr>
            <w:tcW w:type="dxa" w:w="2016"/>
          </w:tcPr>
          <w:p>
            <w:pPr>
              <w:spacing w:after="20" w:before="0" w:line="240" w:lineRule="auto"/>
            </w:pPr>
            <w:r/>
            <w:r>
              <w:rPr>
                <w:sz w:val="16"/>
              </w:rPr>
              <w:t>B (DoHBrw-2020)</w:t>
            </w:r>
          </w:p>
        </w:tc>
        <w:tc>
          <w:tcPr>
            <w:tcW w:type="dxa" w:w="2016"/>
          </w:tcPr>
          <w:p>
            <w:pPr>
              <w:spacing w:after="20" w:before="0" w:line="240" w:lineRule="auto"/>
            </w:pPr>
            <w:r/>
            <w:r>
              <w:rPr>
                <w:sz w:val="16"/>
              </w:rPr>
              <w:t>easy</w:t>
            </w:r>
          </w:p>
        </w:tc>
        <w:tc>
          <w:tcPr>
            <w:tcW w:type="dxa" w:w="2016"/>
          </w:tcPr>
          <w:p>
            <w:pPr>
              <w:spacing w:after="20" w:before="0" w:line="240" w:lineRule="auto"/>
            </w:pPr>
            <w:r/>
            <w:r>
              <w:rPr>
                <w:sz w:val="16"/>
              </w:rPr>
              <w:t>19,807</w:t>
            </w:r>
          </w:p>
        </w:tc>
        <w:tc>
          <w:tcPr>
            <w:tcW w:type="dxa" w:w="2016"/>
          </w:tcPr>
          <w:p>
            <w:pPr>
              <w:spacing w:after="20" w:before="0" w:line="240" w:lineRule="auto"/>
            </w:pPr>
            <w:r/>
            <w:r>
              <w:rPr>
                <w:sz w:val="16"/>
              </w:rPr>
              <w:t>249,836 + ~98% non-DoH negatives</w:t>
            </w:r>
          </w:p>
        </w:tc>
        <w:tc>
          <w:tcPr>
            <w:tcW w:type="dxa" w:w="2016"/>
          </w:tcPr>
          <w:p>
            <w:pPr>
              <w:spacing w:after="20" w:before="0" w:line="240" w:lineRule="auto"/>
            </w:pPr>
            <w:r/>
            <w:r>
              <w:rPr>
                <w:sz w:val="16"/>
              </w:rPr>
              <w:t>heavily imbalanced</w:t>
            </w:r>
          </w:p>
        </w:tc>
      </w:tr>
    </w:tbl>
    <w:p>
      <w:r>
        <w:t>Light class retained at 100% (D5) — the analytical point. Easy framing's non-DoH traffic (ordinary HTTPS, trivially separable) excluded from hard framing so it can't inflate the headline score (D8). Resampling happens per-fold via SMOTE, never on the full dataset.</w:t>
      </w:r>
    </w:p>
    <w:p>
      <w:pPr>
        <w:pStyle w:val="Heading2"/>
      </w:pPr>
      <w:r>
        <w:t>3.2 Statistical significance — Cliff's delta, not p-value</w:t>
      </w:r>
    </w:p>
    <w:p>
      <w:r>
        <w:t xml:space="preserve">At n in the hundreds of thousands, Mann-Whitney p≈0 for nearly any feature, including ones with no practical separation — </w:t>
      </w:r>
      <w:r>
        <w:rPr>
          <w:b/>
        </w:rPr>
        <w:t>a p-value at this n proves nothing about effect size.</w:t>
      </w:r>
      <w:r>
        <w:t xml:space="preserve"> Every feature reported with </w:t>
      </w:r>
      <w:r>
        <w:rPr>
          <w:b/>
        </w:rPr>
        <w:t>Cliff's delta</w:t>
      </w:r>
      <w:r>
        <w:t xml:space="preserve"> (Romano et al. 2006: negligible &lt;0.147, small &lt;0.33, medium &lt;0.474, large ≥0.474).</w:t>
      </w:r>
    </w:p>
    <w:p>
      <w:r>
        <w:t xml:space="preserve">Dataset A (221,315 rows; 4 B_ONLY columns untestable): full table in Appendix D.1. </w:t>
      </w:r>
      <w:r>
        <w:rPr>
          <w:b/>
        </w:rPr>
        <w:t>5 of 7 features carry a large real effect (δ ≥0.474: vol_secondary +0.551, vol_total +0.564, rand_dispersion +0.591, struct_segments +0.533); 2 (`rand_entropy` −0.125, `struct_max_segment` −0.145) do not</w:t>
      </w:r>
      <w:r>
        <w:t>, despite both being "significant" by p-value alone — corroborated in Ch. 4's gain importance. Dataset B, hard framing: all 11 columns testable, 4 large, 6 medium — a richer profile, consistent with richer flow telemetry.</w:t>
      </w:r>
    </w:p>
    <w:p>
      <w:pPr>
        <w:pStyle w:val="Heading2"/>
      </w:pPr>
      <w:r>
        <w:t>3.3 Correlation and multicollinearity</w:t>
      </w:r>
    </w:p>
    <w:p>
      <w:r>
        <w:t xml:space="preserve">Any |r|&gt;0.9 flags a Ch. 4 VIF candidate. Dataset A: </w:t>
      </w:r>
      <w:r>
        <w:rPr>
          <w:rFonts w:ascii="Consolas" w:hAnsi="Consolas"/>
          <w:sz w:val="20"/>
        </w:rPr>
        <w:t>vol_secondary</w:t>
      </w:r>
      <w:r>
        <w:t>↔</w:t>
      </w:r>
      <w:r>
        <w:rPr>
          <w:rFonts w:ascii="Consolas" w:hAnsi="Consolas"/>
          <w:sz w:val="20"/>
        </w:rPr>
        <w:t>struct_segments</w:t>
      </w:r>
      <w:r>
        <w:t xml:space="preserve"> (r=0.926), </w:t>
      </w:r>
      <w:r>
        <w:rPr>
          <w:rFonts w:ascii="Consolas" w:hAnsi="Consolas"/>
          <w:sz w:val="20"/>
        </w:rPr>
        <w:t>rand_dispersion</w:t>
      </w:r>
      <w:r>
        <w:t>↔</w:t>
      </w:r>
      <w:r>
        <w:rPr>
          <w:rFonts w:ascii="Consolas" w:hAnsi="Consolas"/>
          <w:sz w:val="20"/>
        </w:rPr>
        <w:t>struct_segments</w:t>
      </w:r>
      <w:r>
        <w:t xml:space="preserve"> (r=0.905). Dataset B: 4 pairs flagged, including </w:t>
      </w:r>
      <w:r>
        <w:rPr>
          <w:rFonts w:ascii="Consolas" w:hAnsi="Consolas"/>
          <w:sz w:val="20"/>
        </w:rPr>
        <w:t>vol_primary</w:t>
      </w:r>
      <w:r>
        <w:t>↔</w:t>
      </w:r>
      <w:r>
        <w:rPr>
          <w:rFonts w:ascii="Consolas" w:hAnsi="Consolas"/>
          <w:sz w:val="20"/>
        </w:rPr>
        <w:t>struct_max_segment</w:t>
      </w:r>
      <w:r>
        <w:t xml:space="preserve"> (r=0.94) — a different pair than A's, noted in Ch. 5: the two vantage points differ not just in what they observe but in which features are redundant with each other.</w:t>
      </w:r>
    </w:p>
    <w:p>
      <w:pPr>
        <w:pStyle w:val="Heading2"/>
      </w:pPr>
      <w:r>
        <w:t>3.4 Three-way breakdown — benign vs. heavy vs. light (Dataset A)</w:t>
      </w:r>
    </w:p>
    <w:p>
      <w:r>
        <w:t xml:space="preserve">Hypothesis: light attacks sit closer to benign (throttling to look normal). </w:t>
      </w:r>
      <w:r>
        <w:rPr>
          <w:b/>
        </w:rPr>
        <w:t>Data does not bear this out: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feature</w:t>
            </w:r>
          </w:p>
        </w:tc>
        <w:tc>
          <w:tcPr>
            <w:tcW w:type="dxa" w:w="3360"/>
          </w:tcPr>
          <w:p>
            <w:pPr>
              <w:spacing w:after="20" w:before="0" w:line="240" w:lineRule="auto"/>
            </w:pPr>
            <w:r/>
            <w:r>
              <w:rPr>
                <w:b/>
                <w:sz w:val="16"/>
              </w:rPr>
              <w:t>Cliff's δ (light vs. benign)</w:t>
            </w:r>
          </w:p>
        </w:tc>
        <w:tc>
          <w:tcPr>
            <w:tcW w:type="dxa" w:w="3360"/>
          </w:tcPr>
          <w:p>
            <w:pPr>
              <w:spacing w:after="20" w:before="0" w:line="240" w:lineRule="auto"/>
            </w:pPr>
            <w:r/>
            <w:r>
              <w:rPr>
                <w:b/>
                <w:sz w:val="16"/>
              </w:rPr>
              <w:t>Cliff's δ (heavy vs. benign)</w:t>
            </w:r>
          </w:p>
        </w:tc>
      </w:tr>
      <w:tr>
        <w:tc>
          <w:tcPr>
            <w:tcW w:type="dxa" w:w="3360"/>
          </w:tcPr>
          <w:p>
            <w:pPr>
              <w:spacing w:after="20" w:before="0" w:line="240" w:lineRule="auto"/>
            </w:pPr>
            <w:r/>
            <w:r>
              <w:rPr>
                <w:sz w:val="16"/>
              </w:rPr>
              <w:t>vol_total</w:t>
            </w:r>
          </w:p>
        </w:tc>
        <w:tc>
          <w:tcPr>
            <w:tcW w:type="dxa" w:w="3360"/>
          </w:tcPr>
          <w:p>
            <w:pPr>
              <w:spacing w:after="20" w:before="0" w:line="240" w:lineRule="auto"/>
            </w:pPr>
            <w:r/>
            <w:r>
              <w:rPr>
                <w:sz w:val="16"/>
              </w:rPr>
              <w:t>+0.567</w:t>
            </w:r>
          </w:p>
        </w:tc>
        <w:tc>
          <w:tcPr>
            <w:tcW w:type="dxa" w:w="3360"/>
          </w:tcPr>
          <w:p>
            <w:pPr>
              <w:spacing w:after="20" w:before="0" w:line="240" w:lineRule="auto"/>
            </w:pPr>
            <w:r/>
            <w:r>
              <w:rPr>
                <w:sz w:val="16"/>
              </w:rPr>
              <w:t>+0.561</w:t>
            </w:r>
          </w:p>
        </w:tc>
      </w:tr>
      <w:tr>
        <w:tc>
          <w:tcPr>
            <w:tcW w:type="dxa" w:w="3360"/>
          </w:tcPr>
          <w:p>
            <w:pPr>
              <w:spacing w:after="20" w:before="0" w:line="240" w:lineRule="auto"/>
            </w:pPr>
            <w:r/>
            <w:r>
              <w:rPr>
                <w:sz w:val="16"/>
              </w:rPr>
              <w:t>rand_dispersion</w:t>
            </w:r>
          </w:p>
        </w:tc>
        <w:tc>
          <w:tcPr>
            <w:tcW w:type="dxa" w:w="3360"/>
          </w:tcPr>
          <w:p>
            <w:pPr>
              <w:spacing w:after="20" w:before="0" w:line="240" w:lineRule="auto"/>
            </w:pPr>
            <w:r/>
            <w:r>
              <w:rPr>
                <w:sz w:val="16"/>
              </w:rPr>
              <w:t>+0.590</w:t>
            </w:r>
          </w:p>
        </w:tc>
        <w:tc>
          <w:tcPr>
            <w:tcW w:type="dxa" w:w="3360"/>
          </w:tcPr>
          <w:p>
            <w:pPr>
              <w:spacing w:after="20" w:before="0" w:line="240" w:lineRule="auto"/>
            </w:pPr>
            <w:r/>
            <w:r>
              <w:rPr>
                <w:sz w:val="16"/>
              </w:rPr>
              <w:t>+0.592</w:t>
            </w:r>
          </w:p>
        </w:tc>
      </w:tr>
    </w:tbl>
    <w:p>
      <w:r>
        <w:t xml:space="preserve">Light and heavy sit at essentially </w:t>
      </w:r>
      <w:r>
        <w:rPr>
          <w:b/>
        </w:rPr>
        <w:t>equal</w:t>
      </w:r>
      <w:r>
        <w:t xml:space="preserve"> distance from benign on 5 of 7 features, light's delta marginally </w:t>
      </w:r>
      <w:r>
        <w:rPr>
          <w:i/>
        </w:rPr>
        <w:t>larger</w:t>
      </w:r>
      <w:r>
        <w:t xml:space="preserve"> on several — opposite the throughput/stealth prediction. </w:t>
      </w:r>
      <w:r>
        <w:rPr>
          <w:b/>
        </w:rPr>
        <w:t>Carried into Ch. 8:</w:t>
      </w:r>
      <w:r>
        <w:t xml:space="preserve"> on stateless features, "light" describes payload weight, not stealth. Reframes Ch. 8.1's question from "why do light attacks look more like benign" (they don't) to "why are any light attacks missed at all" (mostly they aren't — light/heavy recall statistically indistinguishable).</w:t>
      </w:r>
    </w:p>
    <w:p>
      <w:pPr>
        <w:pStyle w:val="Heading2"/>
      </w:pPr>
      <w:r>
        <w:t>3.5 Near-constant / redundancy audit</w:t>
      </w:r>
    </w:p>
    <w:p>
      <w:r>
        <w:t>Dataset A: 4 B_ONLY columns exactly 100% NaN (</w:t>
      </w:r>
      <w:r>
        <w:rPr>
          <w:rFonts w:ascii="Consolas" w:hAnsi="Consolas"/>
          <w:sz w:val="20"/>
        </w:rPr>
        <w:t>near_constant: true</w:t>
      </w:r>
      <w:r>
        <w:t xml:space="preserve">, post-imputation only); all 7 testable columns have </w:t>
      </w:r>
      <w:r>
        <w:rPr>
          <w:rFonts w:ascii="Consolas" w:hAnsi="Consolas"/>
          <w:sz w:val="20"/>
        </w:rPr>
        <w:t>nan_fraction: 0.0</w:t>
      </w:r>
      <w:r>
        <w:t>, genuine variety (26–1,161 unique values). No dead columns. The multicollinearity pairs above feed directly into Ch. 4's VIF analysis, independently corroborating this chapter's finding.</w:t>
      </w:r>
    </w:p>
    <w:p>
      <w:pPr>
        <w:pStyle w:val="Heading1"/>
      </w:pPr>
      <w:r>
        <w:t>Chapter 4 — Feature Ranking and the Leakage Demonstration</w:t>
      </w:r>
    </w:p>
    <w:p>
      <w:r>
        <w:t xml:space="preserve">We deliberately cheat, catch ourselves, and report the honest number — via two structurally different leakage mechanisms: Dataset A's </w:t>
      </w:r>
      <w:r>
        <w:rPr>
          <w:rFonts w:ascii="Consolas" w:hAnsi="Consolas"/>
          <w:sz w:val="20"/>
        </w:rPr>
        <w:t>sld</w:t>
      </w:r>
      <w:r>
        <w:t xml:space="preserve"> (partial-overlap identifier) and Dataset B's </w:t>
      </w:r>
      <w:r>
        <w:rPr>
          <w:rFonts w:ascii="Consolas" w:hAnsi="Consolas"/>
          <w:sz w:val="20"/>
        </w:rPr>
        <w:t>SourceIP</w:t>
      </w:r>
      <w:r>
        <w:t xml:space="preserve"> (genuinely-exclusive identifier). Both reach the same practical conclusion by different routes.</w:t>
      </w:r>
    </w:p>
    <w:p>
      <w:pPr>
        <w:pStyle w:val="Heading2"/>
      </w:pPr>
      <w:r>
        <w:t xml:space="preserve">4.1 Gain-based feature importance (Dataset A, clean run, </w:t>
      </w:r>
      <w:r>
        <w:rPr>
          <w:rFonts w:ascii="Consolas" w:hAnsi="Consolas"/>
          <w:sz w:val="20"/>
        </w:rPr>
        <w:t>sld</w:t>
      </w:r>
      <w:r>
        <w:t>/timestamp excluded)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5040"/>
        <w:gridCol w:w="5040"/>
      </w:tblGrid>
      <w:tr>
        <w:tc>
          <w:tcPr>
            <w:tcW w:type="dxa" w:w="5040"/>
          </w:tcPr>
          <w:p>
            <w:pPr>
              <w:spacing w:after="20" w:before="0" w:line="240" w:lineRule="auto"/>
            </w:pPr>
            <w:r/>
            <w:r>
              <w:rPr>
                <w:b/>
                <w:sz w:val="16"/>
              </w:rPr>
              <w:t>feature</w:t>
            </w:r>
          </w:p>
        </w:tc>
        <w:tc>
          <w:tcPr>
            <w:tcW w:type="dxa" w:w="5040"/>
          </w:tcPr>
          <w:p>
            <w:pPr>
              <w:spacing w:after="20" w:before="0" w:line="240" w:lineRule="auto"/>
            </w:pPr>
            <w:r/>
            <w:r>
              <w:rPr>
                <w:b/>
                <w:sz w:val="16"/>
              </w:rPr>
              <w:t>gain share</w:t>
            </w:r>
          </w:p>
        </w:tc>
      </w:tr>
      <w:tr>
        <w:tc>
          <w:tcPr>
            <w:tcW w:type="dxa" w:w="5040"/>
          </w:tcPr>
          <w:p>
            <w:pPr>
              <w:spacing w:after="20" w:before="0" w:line="240" w:lineRule="auto"/>
            </w:pPr>
            <w:r/>
            <w:r>
              <w:rPr>
                <w:sz w:val="16"/>
              </w:rPr>
              <w:t>rand_dispersion</w:t>
            </w:r>
          </w:p>
        </w:tc>
        <w:tc>
          <w:tcPr>
            <w:tcW w:type="dxa" w:w="5040"/>
          </w:tcPr>
          <w:p>
            <w:pPr>
              <w:spacing w:after="20" w:before="0" w:line="240" w:lineRule="auto"/>
            </w:pPr>
            <w:r/>
            <w:r>
              <w:rPr>
                <w:sz w:val="16"/>
              </w:rPr>
              <w:t>0.5112</w:t>
            </w:r>
          </w:p>
        </w:tc>
      </w:tr>
      <w:tr>
        <w:tc>
          <w:tcPr>
            <w:tcW w:type="dxa" w:w="5040"/>
          </w:tcPr>
          <w:p>
            <w:pPr>
              <w:spacing w:after="20" w:before="0" w:line="240" w:lineRule="auto"/>
            </w:pPr>
            <w:r/>
            <w:r>
              <w:rPr>
                <w:sz w:val="16"/>
              </w:rPr>
              <w:t>vol_total</w:t>
            </w:r>
          </w:p>
        </w:tc>
        <w:tc>
          <w:tcPr>
            <w:tcW w:type="dxa" w:w="5040"/>
          </w:tcPr>
          <w:p>
            <w:pPr>
              <w:spacing w:after="20" w:before="0" w:line="240" w:lineRule="auto"/>
            </w:pPr>
            <w:r/>
            <w:r>
              <w:rPr>
                <w:sz w:val="16"/>
              </w:rPr>
              <w:t>0.2767</w:t>
            </w:r>
          </w:p>
        </w:tc>
      </w:tr>
      <w:tr>
        <w:tc>
          <w:tcPr>
            <w:tcW w:type="dxa" w:w="5040"/>
          </w:tcPr>
          <w:p>
            <w:pPr>
              <w:spacing w:after="20" w:before="0" w:line="240" w:lineRule="auto"/>
            </w:pPr>
            <w:r/>
            <w:r>
              <w:rPr>
                <w:sz w:val="16"/>
              </w:rPr>
              <w:t>struct_segments</w:t>
            </w:r>
          </w:p>
        </w:tc>
        <w:tc>
          <w:tcPr>
            <w:tcW w:type="dxa" w:w="5040"/>
          </w:tcPr>
          <w:p>
            <w:pPr>
              <w:spacing w:after="20" w:before="0" w:line="240" w:lineRule="auto"/>
            </w:pPr>
            <w:r/>
            <w:r>
              <w:rPr>
                <w:sz w:val="16"/>
              </w:rPr>
              <w:t>0.1046</w:t>
            </w:r>
          </w:p>
        </w:tc>
      </w:tr>
      <w:tr>
        <w:tc>
          <w:tcPr>
            <w:tcW w:type="dxa" w:w="5040"/>
          </w:tcPr>
          <w:p>
            <w:pPr>
              <w:spacing w:after="20" w:before="0" w:line="240" w:lineRule="auto"/>
            </w:pPr>
            <w:r/>
            <w:r>
              <w:rPr>
                <w:sz w:val="16"/>
              </w:rPr>
              <w:t>vol_secondary</w:t>
            </w:r>
          </w:p>
        </w:tc>
        <w:tc>
          <w:tcPr>
            <w:tcW w:type="dxa" w:w="5040"/>
          </w:tcPr>
          <w:p>
            <w:pPr>
              <w:spacing w:after="20" w:before="0" w:line="240" w:lineRule="auto"/>
            </w:pPr>
            <w:r/>
            <w:r>
              <w:rPr>
                <w:sz w:val="16"/>
              </w:rPr>
              <w:t>0.0728</w:t>
            </w:r>
          </w:p>
        </w:tc>
      </w:tr>
      <w:tr>
        <w:tc>
          <w:tcPr>
            <w:tcW w:type="dxa" w:w="5040"/>
          </w:tcPr>
          <w:p>
            <w:pPr>
              <w:spacing w:after="20" w:before="0" w:line="240" w:lineRule="auto"/>
            </w:pPr>
            <w:r/>
            <w:r>
              <w:rPr>
                <w:sz w:val="16"/>
              </w:rPr>
              <w:t>struct_max_segment</w:t>
            </w:r>
          </w:p>
        </w:tc>
        <w:tc>
          <w:tcPr>
            <w:tcW w:type="dxa" w:w="5040"/>
          </w:tcPr>
          <w:p>
            <w:pPr>
              <w:spacing w:after="20" w:before="0" w:line="240" w:lineRule="auto"/>
            </w:pPr>
            <w:r/>
            <w:r>
              <w:rPr>
                <w:sz w:val="16"/>
              </w:rPr>
              <w:t>0.0187</w:t>
            </w:r>
          </w:p>
        </w:tc>
      </w:tr>
      <w:tr>
        <w:tc>
          <w:tcPr>
            <w:tcW w:type="dxa" w:w="5040"/>
          </w:tcPr>
          <w:p>
            <w:pPr>
              <w:spacing w:after="20" w:before="0" w:line="240" w:lineRule="auto"/>
            </w:pPr>
            <w:r/>
            <w:r>
              <w:rPr>
                <w:sz w:val="16"/>
              </w:rPr>
              <w:t>vol_primary</w:t>
            </w:r>
          </w:p>
        </w:tc>
        <w:tc>
          <w:tcPr>
            <w:tcW w:type="dxa" w:w="5040"/>
          </w:tcPr>
          <w:p>
            <w:pPr>
              <w:spacing w:after="20" w:before="0" w:line="240" w:lineRule="auto"/>
            </w:pPr>
            <w:r/>
            <w:r>
              <w:rPr>
                <w:sz w:val="16"/>
              </w:rPr>
              <w:t>0.0105</w:t>
            </w:r>
          </w:p>
        </w:tc>
      </w:tr>
      <w:tr>
        <w:tc>
          <w:tcPr>
            <w:tcW w:type="dxa" w:w="5040"/>
          </w:tcPr>
          <w:p>
            <w:pPr>
              <w:spacing w:after="20" w:before="0" w:line="240" w:lineRule="auto"/>
            </w:pPr>
            <w:r/>
            <w:r>
              <w:rPr>
                <w:sz w:val="16"/>
              </w:rPr>
              <w:t>rand_entropy</w:t>
            </w:r>
          </w:p>
        </w:tc>
        <w:tc>
          <w:tcPr>
            <w:tcW w:type="dxa" w:w="5040"/>
          </w:tcPr>
          <w:p>
            <w:pPr>
              <w:spacing w:after="20" w:before="0" w:line="240" w:lineRule="auto"/>
            </w:pPr>
            <w:r/>
            <w:r>
              <w:rPr>
                <w:sz w:val="16"/>
              </w:rPr>
              <w:t>0.0055</w:t>
            </w:r>
          </w:p>
        </w:tc>
      </w:tr>
      <w:tr>
        <w:tc>
          <w:tcPr>
            <w:tcW w:type="dxa" w:w="5040"/>
          </w:tcPr>
          <w:p>
            <w:pPr>
              <w:spacing w:after="20" w:before="0" w:line="240" w:lineRule="auto"/>
            </w:pPr>
            <w:r/>
            <w:r>
              <w:rPr>
                <w:sz w:val="16"/>
              </w:rPr>
              <w:t>all 4 B_ONLY columns</w:t>
            </w:r>
          </w:p>
        </w:tc>
        <w:tc>
          <w:tcPr>
            <w:tcW w:type="dxa" w:w="5040"/>
          </w:tcPr>
          <w:p>
            <w:pPr>
              <w:spacing w:after="20" w:before="0" w:line="240" w:lineRule="auto"/>
            </w:pPr>
            <w:r/>
            <w:r>
              <w:rPr>
                <w:sz w:val="16"/>
              </w:rPr>
              <w:t>0.0000</w:t>
            </w:r>
          </w:p>
        </w:tc>
      </w:tr>
    </w:tbl>
    <w:p>
      <w:r>
        <w:t>Gain (not weight-based) importance used deliberately — weight is biased toward high-cardinality features, the artifact this chapter's leakage demo exists to catch. B_ONLY columns receive exactly zero gain — XGBoost never splits on a post-imputation constant, third independent confirmation that effective dimensionality is 7, not 11.</w:t>
      </w:r>
    </w:p>
    <w:p>
      <w:pPr>
        <w:pStyle w:val="Heading2"/>
      </w:pPr>
      <w:r>
        <w:t xml:space="preserve">4.2 Leakage demo #1 — Dataset A, </w:t>
      </w:r>
      <w:r>
        <w:rPr>
          <w:rFonts w:ascii="Consolas" w:hAnsi="Consolas"/>
          <w:sz w:val="20"/>
        </w:rPr>
        <w:t>sld</w:t>
      </w:r>
    </w:p>
    <w:p>
      <w:r>
        <w:rPr>
          <w:rFonts w:ascii="Consolas" w:hAnsi="Consolas"/>
          <w:sz w:val="20"/>
        </w:rPr>
        <w:t>sld</w:t>
      </w:r>
      <w:r>
        <w:t xml:space="preserve"> takes 22–33 distinct values in attack traffic but 11,134–40,599 in benign — same trap class as </w:t>
      </w:r>
      <w:r>
        <w:rPr>
          <w:rFonts w:ascii="Consolas" w:hAnsi="Consolas"/>
          <w:sz w:val="20"/>
        </w:rPr>
        <w:t>SourceIP</w:t>
      </w:r>
      <w:r>
        <w:t xml:space="preserve"> (§4.3). Two encodings tested: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p>
        </w:tc>
        <w:tc>
          <w:tcPr>
            <w:tcW w:type="dxa" w:w="2520"/>
          </w:tcPr>
          <w:p>
            <w:pPr>
              <w:spacing w:after="20" w:before="0" w:line="240" w:lineRule="auto"/>
            </w:pPr>
            <w:r/>
            <w:r>
              <w:rPr>
                <w:b/>
                <w:sz w:val="16"/>
              </w:rPr>
              <w:t>F1 (clean)</w:t>
            </w:r>
          </w:p>
        </w:tc>
        <w:tc>
          <w:tcPr>
            <w:tcW w:type="dxa" w:w="2520"/>
          </w:tcPr>
          <w:p>
            <w:pPr>
              <w:spacing w:after="20" w:before="0" w:line="240" w:lineRule="auto"/>
            </w:pPr>
            <w:r/>
            <w:r>
              <w:rPr>
                <w:b/>
                <w:sz w:val="16"/>
              </w:rPr>
              <w:t>F1 (dirty)</w:t>
            </w:r>
          </w:p>
        </w:tc>
        <w:tc>
          <w:tcPr>
            <w:tcW w:type="dxa" w:w="2520"/>
          </w:tcPr>
          <w:p>
            <w:pPr>
              <w:spacing w:after="20" w:before="0" w:line="240" w:lineRule="auto"/>
            </w:pPr>
            <w:r/>
            <w:r>
              <w:rPr>
                <w:b/>
                <w:sz w:val="16"/>
              </w:rPr>
              <w:t>dominant feature, dirty</w:t>
            </w:r>
          </w:p>
        </w:tc>
      </w:tr>
      <w:tr>
        <w:tc>
          <w:tcPr>
            <w:tcW w:type="dxa" w:w="2520"/>
          </w:tcPr>
          <w:p>
            <w:pPr>
              <w:spacing w:after="20" w:before="0" w:line="240" w:lineRule="auto"/>
            </w:pPr>
            <w:r/>
            <w:r>
              <w:rPr>
                <w:sz w:val="16"/>
              </w:rPr>
              <w:t xml:space="preserve">Label-encoded </w:t>
            </w:r>
            <w:r>
              <w:rPr>
                <w:rFonts w:ascii="Consolas" w:hAnsi="Consolas"/>
                <w:sz w:val="16"/>
              </w:rPr>
              <w:t>sld</w:t>
            </w:r>
          </w:p>
        </w:tc>
        <w:tc>
          <w:tcPr>
            <w:tcW w:type="dxa" w:w="2520"/>
          </w:tcPr>
          <w:p>
            <w:pPr>
              <w:spacing w:after="20" w:before="0" w:line="240" w:lineRule="auto"/>
            </w:pPr>
            <w:r/>
            <w:r>
              <w:rPr>
                <w:sz w:val="16"/>
              </w:rPr>
              <w:t>0.8182</w:t>
            </w:r>
          </w:p>
        </w:tc>
        <w:tc>
          <w:tcPr>
            <w:tcW w:type="dxa" w:w="2520"/>
          </w:tcPr>
          <w:p>
            <w:pPr>
              <w:spacing w:after="20" w:before="0" w:line="240" w:lineRule="auto"/>
            </w:pPr>
            <w:r/>
            <w:r>
              <w:rPr>
                <w:sz w:val="16"/>
              </w:rPr>
              <w:t>0.8184</w:t>
            </w:r>
          </w:p>
        </w:tc>
        <w:tc>
          <w:tcPr>
            <w:tcW w:type="dxa" w:w="2520"/>
          </w:tcPr>
          <w:p>
            <w:pPr>
              <w:spacing w:after="20" w:before="0" w:line="240" w:lineRule="auto"/>
            </w:pPr>
            <w:r/>
            <w:r>
              <w:rPr>
                <w:rFonts w:ascii="Consolas" w:hAnsi="Consolas"/>
                <w:sz w:val="16"/>
              </w:rPr>
              <w:t>_leakage_sld</w:t>
            </w:r>
            <w:r>
              <w:rPr>
                <w:sz w:val="16"/>
              </w:rPr>
              <w:t>, 75.5% of gain</w:t>
            </w:r>
          </w:p>
        </w:tc>
      </w:tr>
      <w:tr>
        <w:tc>
          <w:tcPr>
            <w:tcW w:type="dxa" w:w="2520"/>
          </w:tcPr>
          <w:p>
            <w:pPr>
              <w:spacing w:after="20" w:before="0" w:line="240" w:lineRule="auto"/>
            </w:pPr>
            <w:r/>
            <w:r>
              <w:rPr>
                <w:sz w:val="16"/>
              </w:rPr>
              <w:t>Binary known-attack indicator</w:t>
            </w:r>
          </w:p>
        </w:tc>
        <w:tc>
          <w:tcPr>
            <w:tcW w:type="dxa" w:w="2520"/>
          </w:tcPr>
          <w:p>
            <w:pPr>
              <w:spacing w:after="20" w:before="0" w:line="240" w:lineRule="auto"/>
            </w:pPr>
            <w:r/>
            <w:r>
              <w:rPr>
                <w:sz w:val="16"/>
              </w:rPr>
              <w:t>0.8182</w:t>
            </w:r>
          </w:p>
        </w:tc>
        <w:tc>
          <w:tcPr>
            <w:tcW w:type="dxa" w:w="2520"/>
          </w:tcPr>
          <w:p>
            <w:pPr>
              <w:spacing w:after="20" w:before="0" w:line="240" w:lineRule="auto"/>
            </w:pPr>
            <w:r/>
            <w:r>
              <w:rPr>
                <w:sz w:val="16"/>
              </w:rPr>
              <w:t>0.8184</w:t>
            </w:r>
          </w:p>
        </w:tc>
        <w:tc>
          <w:tcPr>
            <w:tcW w:type="dxa" w:w="2520"/>
          </w:tcPr>
          <w:p>
            <w:pPr>
              <w:spacing w:after="20" w:before="0" w:line="240" w:lineRule="auto"/>
            </w:pPr>
            <w:r/>
            <w:r>
              <w:rPr>
                <w:rFonts w:ascii="Consolas" w:hAnsi="Consolas"/>
                <w:sz w:val="16"/>
              </w:rPr>
              <w:t>_leakage_sld</w:t>
            </w:r>
            <w:r>
              <w:rPr>
                <w:sz w:val="16"/>
              </w:rPr>
              <w:t>, 95.4% of gain</w:t>
            </w:r>
          </w:p>
        </w:tc>
      </w:tr>
    </w:tbl>
    <w:p>
      <w:r>
        <w:t xml:space="preserve">Importance dominates in both encodings, but score barely moves (+0.0002 F1) — muted vs. a </w:t>
      </w:r>
      <w:r>
        <w:rPr>
          <w:rFonts w:ascii="Consolas" w:hAnsi="Consolas"/>
          <w:sz w:val="20"/>
        </w:rPr>
        <w:t>SourceIP</w:t>
      </w:r>
      <w:r>
        <w:t xml:space="preserve">-style memorised lookup. Direct check: of 33 attack-side </w:t>
      </w:r>
      <w:r>
        <w:rPr>
          <w:rFonts w:ascii="Consolas" w:hAnsi="Consolas"/>
          <w:sz w:val="20"/>
        </w:rPr>
        <w:t>sld</w:t>
      </w:r>
      <w:r>
        <w:t xml:space="preserve"> values, </w:t>
      </w:r>
      <w:r>
        <w:rPr>
          <w:b/>
        </w:rPr>
        <w:t>30 also appear in benign traffic</w:t>
      </w:r>
      <w:r>
        <w:t xml:space="preserve"> — only 3 attack-exclusive. Low attack-side cardinality is real, but the value set is mostly </w:t>
      </w:r>
      <w:r>
        <w:rPr>
          <w:i/>
        </w:rPr>
        <w:t>shared</w:t>
      </w:r>
      <w:r>
        <w:t xml:space="preserve">, a structurally weaker leakage mechanism than </w:t>
      </w:r>
      <w:r>
        <w:rPr>
          <w:rFonts w:ascii="Consolas" w:hAnsi="Consolas"/>
          <w:sz w:val="20"/>
        </w:rPr>
        <w:t>SourceIP</w:t>
      </w:r>
      <w:r>
        <w:t xml:space="preserve"> — dropped by the production loader regardless.</w:t>
      </w:r>
    </w:p>
    <w:p>
      <w:pPr>
        <w:pStyle w:val="Heading2"/>
      </w:pPr>
      <w:r>
        <w:t xml:space="preserve">4.3 Leakage demo #2 — Dataset B, </w:t>
      </w:r>
      <w:r>
        <w:rPr>
          <w:rFonts w:ascii="Consolas" w:hAnsi="Consolas"/>
          <w:sz w:val="20"/>
        </w:rPr>
        <w:t>SourceIP</w:t>
      </w:r>
    </w:p>
    <w:p>
      <w:r>
        <w:t xml:space="preserve">Real data, hard framing (39,614 rows). </w:t>
      </w:r>
      <w:r>
        <w:rPr>
          <w:rFonts w:ascii="Consolas" w:hAnsi="Consolas"/>
          <w:sz w:val="20"/>
        </w:rPr>
        <w:t>SourceIP</w:t>
      </w:r>
      <w:r>
        <w:t xml:space="preserve"> has only </w:t>
      </w:r>
      <w:r>
        <w:rPr>
          <w:b/>
        </w:rPr>
        <w:t>21 distinct values</w:t>
      </w:r>
      <w:r>
        <w:t xml:space="preserve"> — </w:t>
      </w:r>
      <w:r>
        <w:rPr>
          <w:rFonts w:ascii="Consolas" w:hAnsi="Consolas"/>
          <w:sz w:val="20"/>
        </w:rPr>
        <w:t>192.168.20.111</w:t>
      </w:r>
      <w:r>
        <w:t xml:space="preserve"> alone 27.7% of rows; top 5 IPs over half.</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variant</w:t>
            </w:r>
          </w:p>
        </w:tc>
        <w:tc>
          <w:tcPr>
            <w:tcW w:type="dxa" w:w="3360"/>
          </w:tcPr>
          <w:p>
            <w:pPr>
              <w:spacing w:after="20" w:before="0" w:line="240" w:lineRule="auto"/>
            </w:pPr>
            <w:r/>
            <w:r>
              <w:rPr>
                <w:b/>
                <w:sz w:val="16"/>
              </w:rPr>
              <w:t>F1</w:t>
            </w:r>
          </w:p>
        </w:tc>
        <w:tc>
          <w:tcPr>
            <w:tcW w:type="dxa" w:w="3360"/>
          </w:tcPr>
          <w:p>
            <w:pPr>
              <w:spacing w:after="20" w:before="0" w:line="240" w:lineRule="auto"/>
            </w:pPr>
            <w:r/>
            <w:r>
              <w:rPr>
                <w:b/>
                <w:sz w:val="16"/>
              </w:rPr>
              <w:t>top-3 gain importance</w:t>
            </w:r>
          </w:p>
        </w:tc>
      </w:tr>
      <w:tr>
        <w:tc>
          <w:tcPr>
            <w:tcW w:type="dxa" w:w="3360"/>
          </w:tcPr>
          <w:p>
            <w:pPr>
              <w:spacing w:after="20" w:before="0" w:line="240" w:lineRule="auto"/>
            </w:pPr>
            <w:r/>
            <w:r>
              <w:rPr>
                <w:sz w:val="16"/>
              </w:rPr>
              <w:t xml:space="preserve">with </w:t>
            </w:r>
            <w:r>
              <w:rPr>
                <w:rFonts w:ascii="Consolas" w:hAnsi="Consolas"/>
                <w:sz w:val="16"/>
              </w:rPr>
              <w:t>_leakage_sourceip</w:t>
            </w:r>
          </w:p>
        </w:tc>
        <w:tc>
          <w:tcPr>
            <w:tcW w:type="dxa" w:w="3360"/>
          </w:tcPr>
          <w:p>
            <w:pPr>
              <w:spacing w:after="20" w:before="0" w:line="240" w:lineRule="auto"/>
            </w:pPr>
            <w:r/>
            <w:r>
              <w:rPr>
                <w:sz w:val="16"/>
              </w:rPr>
              <w:t>0.9998</w:t>
            </w:r>
          </w:p>
        </w:tc>
        <w:tc>
          <w:tcPr>
            <w:tcW w:type="dxa" w:w="3360"/>
          </w:tcPr>
          <w:p>
            <w:pPr>
              <w:spacing w:after="20" w:before="0" w:line="240" w:lineRule="auto"/>
            </w:pPr>
            <w:r/>
            <w:r>
              <w:rPr>
                <w:rFonts w:ascii="Consolas" w:hAnsi="Consolas"/>
                <w:sz w:val="16"/>
              </w:rPr>
              <w:t>_leakage_sourceip</w:t>
            </w:r>
            <w:r>
              <w:rPr>
                <w:sz w:val="16"/>
              </w:rPr>
              <w:t xml:space="preserve"> 0.3818, </w:t>
            </w:r>
            <w:r>
              <w:rPr>
                <w:rFonts w:ascii="Consolas" w:hAnsi="Consolas"/>
                <w:sz w:val="16"/>
              </w:rPr>
              <w:t>struct_segments</w:t>
            </w:r>
            <w:r>
              <w:rPr>
                <w:sz w:val="16"/>
              </w:rPr>
              <w:t xml:space="preserve"> 0.1321, </w:t>
            </w:r>
            <w:r>
              <w:rPr>
                <w:rFonts w:ascii="Consolas" w:hAnsi="Consolas"/>
                <w:sz w:val="16"/>
              </w:rPr>
              <w:t>time_dispersion</w:t>
            </w:r>
            <w:r>
              <w:rPr>
                <w:sz w:val="16"/>
              </w:rPr>
              <w:t xml:space="preserve"> 0.1053</w:t>
            </w:r>
          </w:p>
        </w:tc>
      </w:tr>
      <w:tr>
        <w:tc>
          <w:tcPr>
            <w:tcW w:type="dxa" w:w="3360"/>
          </w:tcPr>
          <w:p>
            <w:pPr>
              <w:spacing w:after="20" w:before="0" w:line="240" w:lineRule="auto"/>
            </w:pPr>
            <w:r/>
            <w:r>
              <w:rPr>
                <w:sz w:val="16"/>
              </w:rPr>
              <w:t>clean (production default)</w:t>
            </w:r>
          </w:p>
        </w:tc>
        <w:tc>
          <w:tcPr>
            <w:tcW w:type="dxa" w:w="3360"/>
          </w:tcPr>
          <w:p>
            <w:pPr>
              <w:spacing w:after="20" w:before="0" w:line="240" w:lineRule="auto"/>
            </w:pPr>
            <w:r/>
            <w:r>
              <w:rPr>
                <w:b/>
                <w:sz w:val="16"/>
              </w:rPr>
              <w:t>0.9999</w:t>
            </w:r>
          </w:p>
        </w:tc>
        <w:tc>
          <w:tcPr>
            <w:tcW w:type="dxa" w:w="3360"/>
          </w:tcPr>
          <w:p>
            <w:pPr>
              <w:spacing w:after="20" w:before="0" w:line="240" w:lineRule="auto"/>
            </w:pPr>
            <w:r/>
            <w:r>
              <w:rPr>
                <w:rFonts w:ascii="Consolas" w:hAnsi="Consolas"/>
                <w:sz w:val="16"/>
              </w:rPr>
              <w:t>struct_segments</w:t>
            </w:r>
            <w:r>
              <w:rPr>
                <w:sz w:val="16"/>
              </w:rPr>
              <w:t xml:space="preserve"> 0.3057, </w:t>
            </w:r>
            <w:r>
              <w:rPr>
                <w:rFonts w:ascii="Consolas" w:hAnsi="Consolas"/>
                <w:sz w:val="16"/>
              </w:rPr>
              <w:t>time_dispersion</w:t>
            </w:r>
            <w:r>
              <w:rPr>
                <w:sz w:val="16"/>
              </w:rPr>
              <w:t xml:space="preserve"> 0.1923, </w:t>
            </w:r>
            <w:r>
              <w:rPr>
                <w:rFonts w:ascii="Consolas" w:hAnsi="Consolas"/>
                <w:sz w:val="16"/>
              </w:rPr>
              <w:t>time_central</w:t>
            </w:r>
            <w:r>
              <w:rPr>
                <w:sz w:val="16"/>
              </w:rPr>
              <w:t xml:space="preserve"> 0.1304</w:t>
            </w:r>
          </w:p>
        </w:tc>
      </w:tr>
    </w:tbl>
    <w:p>
      <w:r>
        <w:t xml:space="preserve">Sharper than §4.2: leakage column dominates gain (0.3818) yet the clean model is marginally </w:t>
      </w:r>
      <w:r>
        <w:rPr>
          <w:i/>
        </w:rPr>
        <w:t>better</w:t>
      </w:r>
      <w:r>
        <w:t>. Step 2D already established near-perfect separability on packet-shape features alone, so no residual error even an exclusive lookup can recover. High gain importance measures "how much splits routed through this column," not "how much removing it would cost" — why both are checked, both datasets.</w:t>
      </w:r>
    </w:p>
    <w:p>
      <w:pPr>
        <w:pStyle w:val="Heading2"/>
      </w:pPr>
      <w:r>
        <w:t>4.4 Multicollinearity — Variance Inflation Factor (Dataset A, all 11 columns)</w:t>
      </w:r>
    </w:p>
    <w:p>
      <w:r>
        <w:t xml:space="preserve">Full table in Appendix D.2. </w:t>
      </w:r>
      <w:r>
        <w:rPr>
          <w:b/>
        </w:rPr>
        <w:t>6 of 7 testable columns heavily collinear</w:t>
      </w:r>
      <w:r>
        <w:t xml:space="preserve"> (VIF&gt;10: vol_primary 128.3, vol_secondary 113.6, vol_total 136.3, rand_dispersion 14.4, struct_segments 100.5, struct_max_segment 168.0) — F1/F3 almost entirely redundant, consistent with Ch. 3's correlation pairs. Not acted on for XGBoost (tree splits robust to collinearity); flagged for Ch. 6's CNN/Autoencoder discussion. </w:t>
      </w:r>
      <w:r>
        <w:rPr>
          <w:rFonts w:ascii="Consolas" w:hAnsi="Consolas"/>
          <w:sz w:val="20"/>
        </w:rPr>
        <w:t>rand_entropy</w:t>
      </w:r>
      <w:r>
        <w:t xml:space="preserve"> lowest VIF (2.33) — least redundant, sharpening its near-zero gain importance: genuinely little independent signal (third corroboration, after Ch. 3's Cliff's delta).</w:t>
      </w:r>
    </w:p>
    <w:p>
      <w:pPr>
        <w:pStyle w:val="Heading2"/>
      </w:pPr>
      <w:r>
        <w:t>4.5 Discrepancy analysis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Surprise</w:t>
            </w:r>
          </w:p>
        </w:tc>
        <w:tc>
          <w:tcPr>
            <w:tcW w:type="dxa" w:w="3360"/>
          </w:tcPr>
          <w:p>
            <w:pPr>
              <w:spacing w:after="20" w:before="0" w:line="240" w:lineRule="auto"/>
            </w:pPr>
            <w:r/>
            <w:r>
              <w:rPr>
                <w:b/>
                <w:sz w:val="16"/>
              </w:rPr>
              <w:t>Classification</w:t>
            </w:r>
          </w:p>
        </w:tc>
        <w:tc>
          <w:tcPr>
            <w:tcW w:type="dxa" w:w="3360"/>
          </w:tcPr>
          <w:p>
            <w:pPr>
              <w:spacing w:after="20" w:before="0" w:line="240" w:lineRule="auto"/>
            </w:pPr>
            <w:r/>
            <w:r>
              <w:rPr>
                <w:b/>
                <w:sz w:val="16"/>
              </w:rPr>
              <w:t>Evidence</w:t>
            </w:r>
          </w:p>
        </w:tc>
      </w:tr>
      <w:tr>
        <w:tc>
          <w:tcPr>
            <w:tcW w:type="dxa" w:w="3360"/>
          </w:tcPr>
          <w:p>
            <w:pPr>
              <w:spacing w:after="20" w:before="0" w:line="240" w:lineRule="auto"/>
            </w:pPr>
            <w:r/>
            <w:r>
              <w:rPr>
                <w:rFonts w:ascii="Consolas" w:hAnsi="Consolas"/>
                <w:sz w:val="16"/>
              </w:rPr>
              <w:t>rand_entropy</w:t>
            </w:r>
            <w:r>
              <w:rPr>
                <w:sz w:val="16"/>
              </w:rPr>
              <w:t>'s near-zero importance</w:t>
            </w:r>
          </w:p>
        </w:tc>
        <w:tc>
          <w:tcPr>
            <w:tcW w:type="dxa" w:w="3360"/>
          </w:tcPr>
          <w:p>
            <w:pPr>
              <w:spacing w:after="20" w:before="0" w:line="240" w:lineRule="auto"/>
            </w:pPr>
            <w:r/>
            <w:r>
              <w:rPr>
                <w:sz w:val="16"/>
              </w:rPr>
              <w:t>Genuine latent pattern</w:t>
            </w:r>
          </w:p>
        </w:tc>
        <w:tc>
          <w:tcPr>
            <w:tcW w:type="dxa" w:w="3360"/>
          </w:tcPr>
          <w:p>
            <w:pPr>
              <w:spacing w:after="20" w:before="0" w:line="240" w:lineRule="auto"/>
            </w:pPr>
            <w:r/>
            <w:r>
              <w:rPr>
                <w:sz w:val="16"/>
              </w:rPr>
              <w:t>VIF=2.33 (rules out collinearity); Cliff's δ=−0.125, negligible (Ch. 3)</w:t>
            </w:r>
          </w:p>
        </w:tc>
      </w:tr>
      <w:tr>
        <w:tc>
          <w:tcPr>
            <w:tcW w:type="dxa" w:w="3360"/>
          </w:tcPr>
          <w:p>
            <w:pPr>
              <w:spacing w:after="20" w:before="0" w:line="240" w:lineRule="auto"/>
            </w:pPr>
            <w:r/>
            <w:r>
              <w:rPr>
                <w:rFonts w:ascii="Consolas" w:hAnsi="Consolas"/>
                <w:sz w:val="16"/>
              </w:rPr>
              <w:t>sld</w:t>
            </w:r>
            <w:r>
              <w:rPr>
                <w:sz w:val="16"/>
              </w:rPr>
              <w:t xml:space="preserve"> dominates importance but barely moves score</w:t>
            </w:r>
          </w:p>
        </w:tc>
        <w:tc>
          <w:tcPr>
            <w:tcW w:type="dxa" w:w="3360"/>
          </w:tcPr>
          <w:p>
            <w:pPr>
              <w:spacing w:after="20" w:before="0" w:line="240" w:lineRule="auto"/>
            </w:pPr>
            <w:r/>
            <w:r>
              <w:rPr>
                <w:sz w:val="16"/>
              </w:rPr>
              <w:t>Refinement of leakage, not straightforward</w:t>
            </w:r>
          </w:p>
        </w:tc>
        <w:tc>
          <w:tcPr>
            <w:tcW w:type="dxa" w:w="3360"/>
          </w:tcPr>
          <w:p>
            <w:pPr>
              <w:spacing w:after="20" w:before="0" w:line="240" w:lineRule="auto"/>
            </w:pPr>
            <w:r/>
            <w:r>
              <w:rPr>
                <w:sz w:val="16"/>
              </w:rPr>
              <w:t xml:space="preserve">30/33 attack </w:t>
            </w:r>
            <w:r>
              <w:rPr>
                <w:rFonts w:ascii="Consolas" w:hAnsi="Consolas"/>
                <w:sz w:val="16"/>
              </w:rPr>
              <w:t>sld</w:t>
            </w:r>
            <w:r>
              <w:rPr>
                <w:sz w:val="16"/>
              </w:rPr>
              <w:t xml:space="preserve"> values also appear in benign (§4.2)</w:t>
            </w:r>
          </w:p>
        </w:tc>
      </w:tr>
      <w:tr>
        <w:tc>
          <w:tcPr>
            <w:tcW w:type="dxa" w:w="3360"/>
          </w:tcPr>
          <w:p>
            <w:pPr>
              <w:spacing w:after="20" w:before="0" w:line="240" w:lineRule="auto"/>
            </w:pPr>
            <w:r/>
            <w:r>
              <w:rPr>
                <w:sz w:val="16"/>
              </w:rPr>
              <w:t>Near-universal high VIF across F1/F3</w:t>
            </w:r>
          </w:p>
        </w:tc>
        <w:tc>
          <w:tcPr>
            <w:tcW w:type="dxa" w:w="3360"/>
          </w:tcPr>
          <w:p>
            <w:pPr>
              <w:spacing w:after="20" w:before="0" w:line="240" w:lineRule="auto"/>
            </w:pPr>
            <w:r/>
            <w:r>
              <w:rPr>
                <w:sz w:val="16"/>
              </w:rPr>
              <w:t>Multicollinearity, confirmed directly</w:t>
            </w:r>
          </w:p>
        </w:tc>
        <w:tc>
          <w:tcPr>
            <w:tcW w:type="dxa" w:w="3360"/>
          </w:tcPr>
          <w:p>
            <w:pPr>
              <w:spacing w:after="20" w:before="0" w:line="240" w:lineRule="auto"/>
            </w:pPr>
            <w:r/>
            <w:r>
              <w:rPr>
                <w:sz w:val="16"/>
              </w:rPr>
              <w:t>Consistent with Ch. 3; larger in scope than predicted</w:t>
            </w:r>
          </w:p>
        </w:tc>
      </w:tr>
    </w:tbl>
    <w:p>
      <w:r>
        <w:t xml:space="preserve">Two independent methods (Ch. 3's effect size, this chapter's gain importance) agree </w:t>
      </w:r>
      <w:r>
        <w:rPr>
          <w:rFonts w:ascii="Consolas" w:hAnsi="Consolas"/>
          <w:sz w:val="20"/>
        </w:rPr>
        <w:t>rand_entropy</w:t>
      </w:r>
      <w:r>
        <w:t xml:space="preserve"> underperforms its security-literature reputation on this dataset — stated plainly in Ch. 8.3.</w:t>
      </w:r>
    </w:p>
    <w:p>
      <w:pPr>
        <w:pStyle w:val="Heading1"/>
      </w:pPr>
      <w:r>
        <w:t>Chapter 5 — Harmonisation Across the Encryption Boundary</w:t>
      </w:r>
    </w:p>
    <w:p>
      <w:pPr>
        <w:pStyle w:val="Heading2"/>
      </w:pPr>
      <w:r>
        <w:t>5.1 Unified schema specification</w:t>
      </w:r>
    </w:p>
    <w:p>
      <w:r>
        <w:t>Every loader emits the same 11 columns, same order, grouped into five behavioural families (</w:t>
      </w:r>
      <w:r>
        <w:rPr>
          <w:rFonts w:ascii="Consolas" w:hAnsi="Consolas"/>
          <w:sz w:val="20"/>
        </w:rPr>
        <w:t>schema/unified.py</w:t>
      </w:r>
      <w:r>
        <w:t>). Column order matters: the 1D-CNN's receptive field (Ch. 6.1) only works because related features sit physically adjacent.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r>
              <w:rPr>
                <w:b/>
                <w:sz w:val="16"/>
              </w:rPr>
              <w:t>Family</w:t>
            </w:r>
          </w:p>
        </w:tc>
        <w:tc>
          <w:tcPr>
            <w:tcW w:type="dxa" w:w="2520"/>
          </w:tcPr>
          <w:p>
            <w:pPr>
              <w:spacing w:after="20" w:before="0" w:line="240" w:lineRule="auto"/>
            </w:pPr>
            <w:r/>
            <w:r>
              <w:rPr>
                <w:b/>
                <w:sz w:val="16"/>
              </w:rPr>
              <w:t>Columns</w:t>
            </w:r>
          </w:p>
        </w:tc>
        <w:tc>
          <w:tcPr>
            <w:tcW w:type="dxa" w:w="2520"/>
          </w:tcPr>
          <w:p>
            <w:pPr>
              <w:spacing w:after="20" w:before="0" w:line="240" w:lineRule="auto"/>
            </w:pPr>
            <w:r/>
            <w:r>
              <w:rPr>
                <w:b/>
                <w:sz w:val="16"/>
              </w:rPr>
              <w:t>Role</w:t>
            </w:r>
          </w:p>
        </w:tc>
        <w:tc>
          <w:tcPr>
            <w:tcW w:type="dxa" w:w="2520"/>
          </w:tcPr>
          <w:p>
            <w:pPr>
              <w:spacing w:after="20" w:before="0" w:line="240" w:lineRule="auto"/>
            </w:pPr>
            <w:r/>
            <w:r>
              <w:rPr>
                <w:b/>
                <w:sz w:val="16"/>
              </w:rPr>
              <w:t>Security meaning</w:t>
            </w:r>
          </w:p>
        </w:tc>
      </w:tr>
      <w:tr>
        <w:tc>
          <w:tcPr>
            <w:tcW w:type="dxa" w:w="2520"/>
          </w:tcPr>
          <w:p>
            <w:pPr>
              <w:spacing w:after="20" w:before="0" w:line="240" w:lineRule="auto"/>
            </w:pPr>
            <w:r/>
            <w:r>
              <w:rPr>
                <w:b/>
                <w:sz w:val="16"/>
              </w:rPr>
              <w:t>F1</w:t>
            </w:r>
            <w:r>
              <w:rPr>
                <w:sz w:val="16"/>
              </w:rPr>
              <w:t xml:space="preserve"> Payload volume</w:t>
            </w:r>
          </w:p>
        </w:tc>
        <w:tc>
          <w:tcPr>
            <w:tcW w:type="dxa" w:w="2520"/>
          </w:tcPr>
          <w:p>
            <w:pPr>
              <w:spacing w:after="20" w:before="0" w:line="240" w:lineRule="auto"/>
            </w:pPr>
            <w:r/>
            <w:r>
              <w:rPr>
                <w:rFonts w:ascii="Consolas" w:hAnsi="Consolas"/>
                <w:sz w:val="16"/>
              </w:rPr>
              <w:t>vol_primary/secondary/total</w:t>
            </w:r>
          </w:p>
        </w:tc>
        <w:tc>
          <w:tcPr>
            <w:tcW w:type="dxa" w:w="2520"/>
          </w:tcPr>
          <w:p>
            <w:pPr>
              <w:spacing w:after="20" w:before="0" w:line="240" w:lineRule="auto"/>
            </w:pPr>
            <w:r/>
            <w:r>
              <w:rPr>
                <w:sz w:val="16"/>
              </w:rPr>
              <w:t>INTERSECTION</w:t>
            </w:r>
          </w:p>
        </w:tc>
        <w:tc>
          <w:tcPr>
            <w:tcW w:type="dxa" w:w="2520"/>
          </w:tcPr>
          <w:p>
            <w:pPr>
              <w:spacing w:after="20" w:before="0" w:line="240" w:lineRule="auto"/>
            </w:pPr>
            <w:r/>
            <w:r>
              <w:rPr>
                <w:sz w:val="16"/>
              </w:rPr>
              <w:t>Exfiltration pushes more bytes than normal</w:t>
            </w:r>
          </w:p>
        </w:tc>
      </w:tr>
      <w:tr>
        <w:tc>
          <w:tcPr>
            <w:tcW w:type="dxa" w:w="2520"/>
          </w:tcPr>
          <w:p>
            <w:pPr>
              <w:spacing w:after="20" w:before="0" w:line="240" w:lineRule="auto"/>
            </w:pPr>
            <w:r/>
            <w:r>
              <w:rPr>
                <w:b/>
                <w:sz w:val="16"/>
              </w:rPr>
              <w:t>F2</w:t>
            </w:r>
            <w:r>
              <w:rPr>
                <w:sz w:val="16"/>
              </w:rPr>
              <w:t xml:space="preserve"> Encoding randomness</w:t>
            </w:r>
          </w:p>
        </w:tc>
        <w:tc>
          <w:tcPr>
            <w:tcW w:type="dxa" w:w="2520"/>
          </w:tcPr>
          <w:p>
            <w:pPr>
              <w:spacing w:after="20" w:before="0" w:line="240" w:lineRule="auto"/>
            </w:pPr>
            <w:r/>
            <w:r>
              <w:rPr>
                <w:rFonts w:ascii="Consolas" w:hAnsi="Consolas"/>
                <w:sz w:val="16"/>
              </w:rPr>
              <w:t>rand_entropy</w:t>
            </w:r>
            <w:r>
              <w:rPr>
                <w:sz w:val="16"/>
              </w:rPr>
              <w:t xml:space="preserve">, </w:t>
            </w:r>
            <w:r>
              <w:rPr>
                <w:rFonts w:ascii="Consolas" w:hAnsi="Consolas"/>
                <w:sz w:val="16"/>
              </w:rPr>
              <w:t>rand_dispersion</w:t>
            </w:r>
          </w:p>
        </w:tc>
        <w:tc>
          <w:tcPr>
            <w:tcW w:type="dxa" w:w="2520"/>
          </w:tcPr>
          <w:p>
            <w:pPr>
              <w:spacing w:after="20" w:before="0" w:line="240" w:lineRule="auto"/>
            </w:pPr>
            <w:r/>
            <w:r>
              <w:rPr>
                <w:sz w:val="16"/>
              </w:rPr>
              <w:t>INTERSECTION</w:t>
            </w:r>
          </w:p>
        </w:tc>
        <w:tc>
          <w:tcPr>
            <w:tcW w:type="dxa" w:w="2520"/>
          </w:tcPr>
          <w:p>
            <w:pPr>
              <w:spacing w:after="20" w:before="0" w:line="240" w:lineRule="auto"/>
            </w:pPr>
            <w:r/>
            <w:r>
              <w:rPr>
                <w:sz w:val="16"/>
              </w:rPr>
              <w:t>Encoded binary looks statistically random</w:t>
            </w:r>
          </w:p>
        </w:tc>
      </w:tr>
      <w:tr>
        <w:tc>
          <w:tcPr>
            <w:tcW w:type="dxa" w:w="2520"/>
          </w:tcPr>
          <w:p>
            <w:pPr>
              <w:spacing w:after="20" w:before="0" w:line="240" w:lineRule="auto"/>
            </w:pPr>
            <w:r/>
            <w:r>
              <w:rPr>
                <w:b/>
                <w:sz w:val="16"/>
              </w:rPr>
              <w:t>F3</w:t>
            </w:r>
            <w:r>
              <w:rPr>
                <w:sz w:val="16"/>
              </w:rPr>
              <w:t xml:space="preserve"> Structural complexity</w:t>
            </w:r>
          </w:p>
        </w:tc>
        <w:tc>
          <w:tcPr>
            <w:tcW w:type="dxa" w:w="2520"/>
          </w:tcPr>
          <w:p>
            <w:pPr>
              <w:spacing w:after="20" w:before="0" w:line="240" w:lineRule="auto"/>
            </w:pPr>
            <w:r/>
            <w:r>
              <w:rPr>
                <w:rFonts w:ascii="Consolas" w:hAnsi="Consolas"/>
                <w:sz w:val="16"/>
              </w:rPr>
              <w:t>struct_segments</w:t>
            </w:r>
            <w:r>
              <w:rPr>
                <w:sz w:val="16"/>
              </w:rPr>
              <w:t xml:space="preserve">, </w:t>
            </w:r>
            <w:r>
              <w:rPr>
                <w:rFonts w:ascii="Consolas" w:hAnsi="Consolas"/>
                <w:sz w:val="16"/>
              </w:rPr>
              <w:t>struct_max_segment</w:t>
            </w:r>
          </w:p>
        </w:tc>
        <w:tc>
          <w:tcPr>
            <w:tcW w:type="dxa" w:w="2520"/>
          </w:tcPr>
          <w:p>
            <w:pPr>
              <w:spacing w:after="20" w:before="0" w:line="240" w:lineRule="auto"/>
            </w:pPr>
            <w:r/>
            <w:r>
              <w:rPr>
                <w:sz w:val="16"/>
              </w:rPr>
              <w:t>INTERSECTION</w:t>
            </w:r>
          </w:p>
        </w:tc>
        <w:tc>
          <w:tcPr>
            <w:tcW w:type="dxa" w:w="2520"/>
          </w:tcPr>
          <w:p>
            <w:pPr>
              <w:spacing w:after="20" w:before="0" w:line="240" w:lineRule="auto"/>
            </w:pPr>
            <w:r/>
            <w:r>
              <w:rPr>
                <w:sz w:val="16"/>
              </w:rPr>
              <w:t>Chunking produces unusual names</w:t>
            </w:r>
          </w:p>
        </w:tc>
      </w:tr>
      <w:tr>
        <w:tc>
          <w:tcPr>
            <w:tcW w:type="dxa" w:w="2520"/>
          </w:tcPr>
          <w:p>
            <w:pPr>
              <w:spacing w:after="20" w:before="0" w:line="240" w:lineRule="auto"/>
            </w:pPr>
            <w:r/>
            <w:r>
              <w:rPr>
                <w:b/>
                <w:sz w:val="16"/>
              </w:rPr>
              <w:t>F4</w:t>
            </w:r>
            <w:r>
              <w:rPr>
                <w:sz w:val="16"/>
              </w:rPr>
              <w:t xml:space="preserve"> Temporal rhythm</w:t>
            </w:r>
          </w:p>
        </w:tc>
        <w:tc>
          <w:tcPr>
            <w:tcW w:type="dxa" w:w="2520"/>
          </w:tcPr>
          <w:p>
            <w:pPr>
              <w:spacing w:after="20" w:before="0" w:line="240" w:lineRule="auto"/>
            </w:pPr>
            <w:r/>
            <w:r>
              <w:rPr>
                <w:rFonts w:ascii="Consolas" w:hAnsi="Consolas"/>
                <w:sz w:val="16"/>
              </w:rPr>
              <w:t>time_central/dispersion/skew</w:t>
            </w:r>
          </w:p>
        </w:tc>
        <w:tc>
          <w:tcPr>
            <w:tcW w:type="dxa" w:w="2520"/>
          </w:tcPr>
          <w:p>
            <w:pPr>
              <w:spacing w:after="20" w:before="0" w:line="240" w:lineRule="auto"/>
            </w:pPr>
            <w:r/>
            <w:r>
              <w:rPr>
                <w:sz w:val="16"/>
              </w:rPr>
              <w:t>B_ONLY</w:t>
            </w:r>
          </w:p>
        </w:tc>
        <w:tc>
          <w:tcPr>
            <w:tcW w:type="dxa" w:w="2520"/>
          </w:tcPr>
          <w:p>
            <w:pPr>
              <w:spacing w:after="20" w:before="0" w:line="240" w:lineRule="auto"/>
            </w:pPr>
            <w:r/>
            <w:r>
              <w:rPr>
                <w:sz w:val="16"/>
              </w:rPr>
              <w:t>Automated exfiltration has regular timing</w:t>
            </w:r>
          </w:p>
        </w:tc>
      </w:tr>
      <w:tr>
        <w:tc>
          <w:tcPr>
            <w:tcW w:type="dxa" w:w="2520"/>
          </w:tcPr>
          <w:p>
            <w:pPr>
              <w:spacing w:after="20" w:before="0" w:line="240" w:lineRule="auto"/>
            </w:pPr>
            <w:r/>
            <w:r>
              <w:rPr>
                <w:b/>
                <w:sz w:val="16"/>
              </w:rPr>
              <w:t>F5</w:t>
            </w:r>
            <w:r>
              <w:rPr>
                <w:sz w:val="16"/>
              </w:rPr>
              <w:t xml:space="preserve"> Endpoint dispersion</w:t>
            </w:r>
          </w:p>
        </w:tc>
        <w:tc>
          <w:tcPr>
            <w:tcW w:type="dxa" w:w="2520"/>
          </w:tcPr>
          <w:p>
            <w:pPr>
              <w:spacing w:after="20" w:before="0" w:line="240" w:lineRule="auto"/>
            </w:pPr>
            <w:r/>
            <w:r>
              <w:rPr>
                <w:rFonts w:ascii="Consolas" w:hAnsi="Consolas"/>
                <w:sz w:val="16"/>
              </w:rPr>
              <w:t>disp_uniqueness</w:t>
            </w:r>
          </w:p>
        </w:tc>
        <w:tc>
          <w:tcPr>
            <w:tcW w:type="dxa" w:w="2520"/>
          </w:tcPr>
          <w:p>
            <w:pPr>
              <w:spacing w:after="20" w:before="0" w:line="240" w:lineRule="auto"/>
            </w:pPr>
            <w:r/>
            <w:r>
              <w:rPr>
                <w:sz w:val="16"/>
              </w:rPr>
              <w:t>B_ONLY</w:t>
            </w:r>
          </w:p>
        </w:tc>
        <w:tc>
          <w:tcPr>
            <w:tcW w:type="dxa" w:w="2520"/>
          </w:tcPr>
          <w:p>
            <w:pPr>
              <w:spacing w:after="20" w:before="0" w:line="240" w:lineRule="auto"/>
            </w:pPr>
            <w:r/>
            <w:r>
              <w:rPr>
                <w:sz w:val="16"/>
              </w:rPr>
              <w:t>Traffic concentrates on few endpoints</w:t>
            </w:r>
          </w:p>
        </w:tc>
      </w:tr>
    </w:tbl>
    <w:p>
      <w:r>
        <w:t xml:space="preserve">F1–F3 have a genuine, if imperfect, counterpart on both sides; F4–F5 exist only in B (A is restricted to </w:t>
      </w:r>
      <w:r>
        <w:rPr>
          <w:i/>
        </w:rPr>
        <w:t>stateless</w:t>
      </w:r>
      <w:r>
        <w:t xml:space="preserve"> per-query features, D1). B's F2/F3 are statistical proxies for, not equivalents of, A's direct string measures — motivating the ablation below.</w:t>
      </w:r>
    </w:p>
    <w:p>
      <w:pPr>
        <w:pStyle w:val="Heading2"/>
      </w:pPr>
      <w:r>
        <w:t>5.2 Cross-dataset transfer, ablation, distribution shift</w:t>
      </w:r>
    </w:p>
    <w:p>
      <w:r>
        <w:t>Run against real data, all four models (</w:t>
      </w:r>
      <w:r>
        <w:rPr>
          <w:rFonts w:ascii="Consolas" w:hAnsi="Consolas"/>
          <w:sz w:val="20"/>
        </w:rPr>
        <w:t>evaluation/cross_dataset.py</w:t>
      </w:r>
      <w:r>
        <w:t xml:space="preserve">). </w:t>
      </w:r>
      <w:r>
        <w:rPr>
          <w:b/>
        </w:rPr>
        <w:t>Headline: transfer collapses to a trivial classifier in 7 of 8 cells, all four models.</w:t>
      </w:r>
      <w:r>
        <w:t xml:space="preserve"> In-domain (5-fold CV) vs. transfer (fit-on-source/score-on-target), </w:t>
      </w:r>
      <w:r>
        <w:rPr>
          <w:rFonts w:ascii="Consolas" w:hAnsi="Consolas"/>
          <w:sz w:val="20"/>
        </w:rPr>
        <w:t>mode="intersection"</w:t>
      </w:r>
      <w:r>
        <w:t xml:space="preserve"> (7 shared columns). Scaler fit on source only, simulating honest deployment.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model</w:t>
            </w:r>
          </w:p>
        </w:tc>
        <w:tc>
          <w:tcPr>
            <w:tcW w:type="dxa" w:w="2016"/>
          </w:tcPr>
          <w:p>
            <w:pPr>
              <w:spacing w:after="20" w:before="0" w:line="240" w:lineRule="auto"/>
            </w:pPr>
            <w:r/>
            <w:r>
              <w:rPr>
                <w:b/>
                <w:sz w:val="16"/>
              </w:rPr>
              <w:t>A→A</w:t>
            </w:r>
          </w:p>
        </w:tc>
        <w:tc>
          <w:tcPr>
            <w:tcW w:type="dxa" w:w="2016"/>
          </w:tcPr>
          <w:p>
            <w:pPr>
              <w:spacing w:after="20" w:before="0" w:line="240" w:lineRule="auto"/>
            </w:pPr>
            <w:r/>
            <w:r>
              <w:rPr>
                <w:b/>
                <w:sz w:val="16"/>
              </w:rPr>
              <w:t>B→B</w:t>
            </w:r>
          </w:p>
        </w:tc>
        <w:tc>
          <w:tcPr>
            <w:tcW w:type="dxa" w:w="2016"/>
          </w:tcPr>
          <w:p>
            <w:pPr>
              <w:spacing w:after="20" w:before="0" w:line="240" w:lineRule="auto"/>
            </w:pPr>
            <w:r/>
            <w:r>
              <w:rPr>
                <w:b/>
                <w:sz w:val="16"/>
              </w:rPr>
              <w:t>A→B (transfer)</w:t>
            </w:r>
          </w:p>
        </w:tc>
        <w:tc>
          <w:tcPr>
            <w:tcW w:type="dxa" w:w="2016"/>
          </w:tcPr>
          <w:p>
            <w:pPr>
              <w:spacing w:after="20" w:before="0" w:line="240" w:lineRule="auto"/>
            </w:pPr>
            <w:r/>
            <w:r>
              <w:rPr>
                <w:b/>
                <w:sz w:val="16"/>
              </w:rPr>
              <w:t>B→A (transfer)</w:t>
            </w:r>
          </w:p>
        </w:tc>
      </w:tr>
      <w:tr>
        <w:tc>
          <w:tcPr>
            <w:tcW w:type="dxa" w:w="2016"/>
          </w:tcPr>
          <w:p>
            <w:pPr>
              <w:spacing w:after="20" w:before="0" w:line="240" w:lineRule="auto"/>
            </w:pPr>
            <w:r/>
            <w:r>
              <w:rPr>
                <w:sz w:val="16"/>
              </w:rPr>
              <w:t>XGBoost</w:t>
            </w:r>
          </w:p>
        </w:tc>
        <w:tc>
          <w:tcPr>
            <w:tcW w:type="dxa" w:w="2016"/>
          </w:tcPr>
          <w:p>
            <w:pPr>
              <w:spacing w:after="20" w:before="0" w:line="240" w:lineRule="auto"/>
            </w:pPr>
            <w:r/>
            <w:r>
              <w:rPr>
                <w:sz w:val="16"/>
              </w:rPr>
              <w:t>F1=0.8182</w:t>
            </w:r>
          </w:p>
        </w:tc>
        <w:tc>
          <w:tcPr>
            <w:tcW w:type="dxa" w:w="2016"/>
          </w:tcPr>
          <w:p>
            <w:pPr>
              <w:spacing w:after="20" w:before="0" w:line="240" w:lineRule="auto"/>
            </w:pPr>
            <w:r/>
            <w:r>
              <w:rPr>
                <w:sz w:val="16"/>
              </w:rPr>
              <w:t>F1=0.9999</w:t>
            </w:r>
          </w:p>
        </w:tc>
        <w:tc>
          <w:tcPr>
            <w:tcW w:type="dxa" w:w="2016"/>
          </w:tcPr>
          <w:p>
            <w:pPr>
              <w:spacing w:after="20" w:before="0" w:line="240" w:lineRule="auto"/>
            </w:pPr>
            <w:r/>
            <w:r>
              <w:rPr>
                <w:sz w:val="16"/>
              </w:rPr>
              <w:t>F1=0.6667, FPR=1.0, AUC=0.707</w:t>
            </w:r>
          </w:p>
        </w:tc>
        <w:tc>
          <w:tcPr>
            <w:tcW w:type="dxa" w:w="2016"/>
          </w:tcPr>
          <w:p>
            <w:pPr>
              <w:spacing w:after="20" w:before="0" w:line="240" w:lineRule="auto"/>
            </w:pPr>
            <w:r/>
            <w:r>
              <w:rPr>
                <w:sz w:val="16"/>
              </w:rPr>
              <w:t>F1=0.0000, AUC=0.490</w:t>
            </w:r>
          </w:p>
        </w:tc>
      </w:tr>
      <w:tr>
        <w:tc>
          <w:tcPr>
            <w:tcW w:type="dxa" w:w="2016"/>
          </w:tcPr>
          <w:p>
            <w:pPr>
              <w:spacing w:after="20" w:before="0" w:line="240" w:lineRule="auto"/>
            </w:pPr>
            <w:r/>
            <w:r>
              <w:rPr>
                <w:sz w:val="16"/>
              </w:rPr>
              <w:t>Isolation Forest</w:t>
            </w:r>
          </w:p>
        </w:tc>
        <w:tc>
          <w:tcPr>
            <w:tcW w:type="dxa" w:w="2016"/>
          </w:tcPr>
          <w:p>
            <w:pPr>
              <w:spacing w:after="20" w:before="0" w:line="240" w:lineRule="auto"/>
            </w:pPr>
            <w:r/>
            <w:r>
              <w:rPr>
                <w:sz w:val="16"/>
              </w:rPr>
              <w:t>F1=0.1051</w:t>
            </w:r>
          </w:p>
        </w:tc>
        <w:tc>
          <w:tcPr>
            <w:tcW w:type="dxa" w:w="2016"/>
          </w:tcPr>
          <w:p>
            <w:pPr>
              <w:spacing w:after="20" w:before="0" w:line="240" w:lineRule="auto"/>
            </w:pPr>
            <w:r/>
            <w:r>
              <w:rPr>
                <w:sz w:val="16"/>
              </w:rPr>
              <w:t>F1=0.3954</w:t>
            </w:r>
          </w:p>
        </w:tc>
        <w:tc>
          <w:tcPr>
            <w:tcW w:type="dxa" w:w="2016"/>
          </w:tcPr>
          <w:p>
            <w:pPr>
              <w:spacing w:after="20" w:before="0" w:line="240" w:lineRule="auto"/>
            </w:pPr>
            <w:r/>
            <w:r>
              <w:rPr>
                <w:sz w:val="16"/>
              </w:rPr>
              <w:t>F1=0.6667, FPR=1.0, AUC=0.579</w:t>
            </w:r>
          </w:p>
        </w:tc>
        <w:tc>
          <w:tcPr>
            <w:tcW w:type="dxa" w:w="2016"/>
          </w:tcPr>
          <w:p>
            <w:pPr>
              <w:spacing w:after="20" w:before="0" w:line="240" w:lineRule="auto"/>
            </w:pPr>
            <w:r/>
            <w:r>
              <w:rPr>
                <w:sz w:val="16"/>
              </w:rPr>
              <w:t>F1=0.6460, FPR=1.0, AUC=0.379</w:t>
            </w:r>
          </w:p>
        </w:tc>
      </w:tr>
      <w:tr>
        <w:tc>
          <w:tcPr>
            <w:tcW w:type="dxa" w:w="2016"/>
          </w:tcPr>
          <w:p>
            <w:pPr>
              <w:spacing w:after="20" w:before="0" w:line="240" w:lineRule="auto"/>
            </w:pPr>
            <w:r/>
            <w:r>
              <w:rPr>
                <w:sz w:val="16"/>
              </w:rPr>
              <w:t>CNN</w:t>
            </w:r>
          </w:p>
        </w:tc>
        <w:tc>
          <w:tcPr>
            <w:tcW w:type="dxa" w:w="2016"/>
          </w:tcPr>
          <w:p>
            <w:pPr>
              <w:spacing w:after="20" w:before="0" w:line="240" w:lineRule="auto"/>
            </w:pPr>
            <w:r/>
            <w:r>
              <w:rPr>
                <w:sz w:val="16"/>
              </w:rPr>
              <w:t>F1=0.8176</w:t>
            </w:r>
          </w:p>
        </w:tc>
        <w:tc>
          <w:tcPr>
            <w:tcW w:type="dxa" w:w="2016"/>
          </w:tcPr>
          <w:p>
            <w:pPr>
              <w:spacing w:after="20" w:before="0" w:line="240" w:lineRule="auto"/>
            </w:pPr>
            <w:r/>
            <w:r>
              <w:rPr>
                <w:sz w:val="16"/>
              </w:rPr>
              <w:t>F1=0.9927</w:t>
            </w:r>
          </w:p>
        </w:tc>
        <w:tc>
          <w:tcPr>
            <w:tcW w:type="dxa" w:w="2016"/>
          </w:tcPr>
          <w:p>
            <w:pPr>
              <w:spacing w:after="20" w:before="0" w:line="240" w:lineRule="auto"/>
            </w:pPr>
            <w:r/>
            <w:r>
              <w:rPr>
                <w:sz w:val="16"/>
              </w:rPr>
              <w:t>F1=0.6667, FPR=1.0, AUC=0.708</w:t>
            </w:r>
          </w:p>
        </w:tc>
        <w:tc>
          <w:tcPr>
            <w:tcW w:type="dxa" w:w="2016"/>
          </w:tcPr>
          <w:p>
            <w:pPr>
              <w:spacing w:after="20" w:before="0" w:line="240" w:lineRule="auto"/>
            </w:pPr>
            <w:r/>
            <w:r>
              <w:rPr>
                <w:sz w:val="16"/>
              </w:rPr>
              <w:t xml:space="preserve">F1=0.0000, </w:t>
            </w:r>
            <w:r>
              <w:rPr>
                <w:b/>
                <w:sz w:val="16"/>
              </w:rPr>
              <w:t>AUC=0.773</w:t>
            </w:r>
          </w:p>
        </w:tc>
      </w:tr>
      <w:tr>
        <w:tc>
          <w:tcPr>
            <w:tcW w:type="dxa" w:w="2016"/>
          </w:tcPr>
          <w:p>
            <w:pPr>
              <w:spacing w:after="20" w:before="0" w:line="240" w:lineRule="auto"/>
            </w:pPr>
            <w:r/>
            <w:r>
              <w:rPr>
                <w:sz w:val="16"/>
              </w:rPr>
              <w:t>Autoencoder</w:t>
            </w:r>
          </w:p>
        </w:tc>
        <w:tc>
          <w:tcPr>
            <w:tcW w:type="dxa" w:w="2016"/>
          </w:tcPr>
          <w:p>
            <w:pPr>
              <w:spacing w:after="20" w:before="0" w:line="240" w:lineRule="auto"/>
            </w:pPr>
            <w:r/>
            <w:r>
              <w:rPr>
                <w:sz w:val="16"/>
              </w:rPr>
              <w:t>F1=0.0474</w:t>
            </w:r>
          </w:p>
        </w:tc>
        <w:tc>
          <w:tcPr>
            <w:tcW w:type="dxa" w:w="2016"/>
          </w:tcPr>
          <w:p>
            <w:pPr>
              <w:spacing w:after="20" w:before="0" w:line="240" w:lineRule="auto"/>
            </w:pPr>
            <w:r/>
            <w:r>
              <w:rPr>
                <w:sz w:val="16"/>
              </w:rPr>
              <w:t>F1=0.6773</w:t>
            </w:r>
          </w:p>
        </w:tc>
        <w:tc>
          <w:tcPr>
            <w:tcW w:type="dxa" w:w="2016"/>
          </w:tcPr>
          <w:p>
            <w:pPr>
              <w:spacing w:after="20" w:before="0" w:line="240" w:lineRule="auto"/>
            </w:pPr>
            <w:r/>
            <w:r>
              <w:rPr>
                <w:sz w:val="16"/>
              </w:rPr>
              <w:t>F1=0.6667, FPR=1.0, AUC=0.671</w:t>
            </w:r>
          </w:p>
        </w:tc>
        <w:tc>
          <w:tcPr>
            <w:tcW w:type="dxa" w:w="2016"/>
          </w:tcPr>
          <w:p>
            <w:pPr>
              <w:spacing w:after="20" w:before="0" w:line="240" w:lineRule="auto"/>
            </w:pPr>
            <w:r/>
            <w:r>
              <w:rPr>
                <w:sz w:val="16"/>
              </w:rPr>
              <w:t>F1=0.6460, FPR=1.0, AUC=0.359</w:t>
            </w:r>
          </w:p>
        </w:tc>
      </w:tr>
    </w:tbl>
    <w:p>
      <w:r>
        <w:t xml:space="preserve">In-domain cells match each model's own single-dataset result. Every transfer cell collapses to (or near) a trivial fixed-guess: F1=0.6667/FPR=1.0 always-positive for B (rate≈0.50); F1=0.6460 same for A (0.4772); F1=0.0000 always-negative. </w:t>
      </w:r>
      <w:r>
        <w:rPr>
          <w:b/>
        </w:rPr>
        <w:t>No model, of four structurally different, produces a working cross-dataset detector.</w:t>
      </w:r>
      <w:r>
        <w:t xml:space="preserve"> Exception: CNN's B→A cell, F1=0.0000 but </w:t>
      </w:r>
      <w:r>
        <w:rPr>
          <w:b/>
        </w:rPr>
        <w:t>AUC=0.773</w:t>
      </w:r>
      <w:r>
        <w:t xml:space="preserve"> — ranking survives transfer; it simply lands a threshold (calibrated on B's scale) that calls zero of A's rows positive.</w:t>
      </w:r>
    </w:p>
    <w:p>
      <w:r>
        <w:rPr>
          <w:b/>
        </w:rPr>
        <w:t>Ablation (D3) — falsified unanimously.</w:t>
      </w:r>
      <w:r>
        <w:t xml:space="preserve"> </w:t>
      </w:r>
      <w:r>
        <w:rPr>
          <w:rFonts w:ascii="Consolas" w:hAnsi="Consolas"/>
          <w:sz w:val="20"/>
        </w:rPr>
        <w:t>families="F1_only"</w:t>
      </w:r>
      <w:r>
        <w:t xml:space="preserve"> vs. </w:t>
      </w:r>
      <w:r>
        <w:rPr>
          <w:rFonts w:ascii="Consolas" w:hAnsi="Consolas"/>
          <w:sz w:val="20"/>
        </w:rPr>
        <w:t>intersection</w:t>
      </w:r>
      <w:r>
        <w:t xml:space="preserve">: F1-only transfers better in </w:t>
      </w:r>
      <w:r>
        <w:rPr>
          <w:b/>
        </w:rPr>
        <w:t>zero of eight cells</w:t>
      </w:r>
      <w:r>
        <w:t xml:space="preserve"> (mostly tied; XGBoost A→B strictly worse, 0.0000 vs. 0.6667). Payload volume alone does not survive the encryption boundary intact.</w:t>
      </w:r>
    </w:p>
    <w:p>
      <w:r>
        <w:rPr>
          <w:b/>
        </w:rPr>
        <w:t>Distribution shift.</w:t>
      </w:r>
      <w:r>
        <w:t xml:space="preserve"> KS per intersection column (full table Appendix D.3): every column 0.89 (</w:t>
      </w:r>
      <w:r>
        <w:rPr>
          <w:rFonts w:ascii="Consolas" w:hAnsi="Consolas"/>
          <w:sz w:val="20"/>
        </w:rPr>
        <w:t>rand_entropy</w:t>
      </w:r>
      <w:r>
        <w:t>) to 1.0000 (</w:t>
      </w:r>
      <w:r>
        <w:rPr>
          <w:rFonts w:ascii="Consolas" w:hAnsi="Consolas"/>
          <w:sz w:val="20"/>
        </w:rPr>
        <w:t>vol_primary/secondary/total</w:t>
      </w:r>
      <w:r>
        <w:t xml:space="preserve">, </w:t>
      </w:r>
      <w:r>
        <w:rPr>
          <w:rFonts w:ascii="Consolas" w:hAnsi="Consolas"/>
          <w:sz w:val="20"/>
        </w:rPr>
        <w:t>struct_segments</w:t>
      </w:r>
      <w:r>
        <w:t xml:space="preserve">) — near-total or fully disjoint support. </w:t>
      </w:r>
      <w:r>
        <w:rPr>
          <w:rFonts w:ascii="Consolas" w:hAnsi="Consolas"/>
          <w:sz w:val="20"/>
        </w:rPr>
        <w:t>vol_total</w:t>
      </w:r>
      <w:r>
        <w:t xml:space="preserve"> differs ~1,859× — A's realisation (</w:t>
      </w:r>
      <w:r>
        <w:rPr>
          <w:rFonts w:ascii="Consolas" w:hAnsi="Consolas"/>
          <w:sz w:val="20"/>
        </w:rPr>
        <w:t>FQDN_count</w:t>
      </w:r>
      <w:r>
        <w:t>, small integer) and B's (</w:t>
      </w:r>
      <w:r>
        <w:rPr>
          <w:rFonts w:ascii="Consolas" w:hAnsi="Consolas"/>
          <w:sz w:val="20"/>
        </w:rPr>
        <w:t>FlowBytesSent</w:t>
      </w:r>
      <w:r>
        <w:t xml:space="preserve">, cumulative flow bytes) are behaviourally analogous but not numerically comparable, contradicting the premise that F1 is "the family with a genuinely direct counterpart." Z-scoring (source-only fit) doesn't repair this — it preserves each dataset's distribution </w:t>
      </w:r>
      <w:r>
        <w:rPr>
          <w:i/>
        </w:rPr>
        <w:t>shape</w:t>
      </w:r>
      <w:r>
        <w:t xml:space="preserve">, and the shapes differ enough that a boundary learned in one standardised space doesn't carve the other the same way. </w:t>
      </w:r>
      <w:r>
        <w:rPr>
          <w:b/>
        </w:rPr>
        <w:t>Not tried, given the deadline:</w:t>
      </w:r>
      <w:r>
        <w:t xml:space="preserve"> </w:t>
      </w:r>
      <w:r>
        <w:rPr>
          <w:rFonts w:ascii="Consolas" w:hAnsi="Consolas"/>
          <w:sz w:val="20"/>
        </w:rPr>
        <w:t>log1p</w:t>
      </w:r>
      <w:r>
        <w:t xml:space="preserve"> on F1 before scaling, or a jointly-fit scaler.</w:t>
      </w:r>
    </w:p>
    <w:p>
      <w:pPr>
        <w:pStyle w:val="Heading2"/>
      </w:pPr>
      <w:r>
        <w:t>5.3 Scaling remedies</w:t>
      </w:r>
    </w:p>
    <w:p>
      <w:r>
        <w:t xml:space="preserve">Inside </w:t>
      </w:r>
      <w:r>
        <w:rPr>
          <w:rFonts w:ascii="Consolas" w:hAnsi="Consolas"/>
          <w:sz w:val="20"/>
        </w:rPr>
        <w:t>build_pipeline()</w:t>
      </w:r>
      <w:r>
        <w:t xml:space="preserve">: </w:t>
      </w:r>
      <w:r>
        <w:rPr>
          <w:b/>
        </w:rPr>
        <w:t>z-scoring within dataset</w:t>
      </w:r>
      <w:r>
        <w:t xml:space="preserve"> (fit per-fold/source only, transfer cells stay an honest simulation); </w:t>
      </w:r>
      <w:r>
        <w:rPr>
          <w:b/>
        </w:rPr>
        <w:t>`log1p` on heavy-tailed volume features</w:t>
      </w:r>
      <w:r>
        <w:t xml:space="preserve"> (</w:t>
      </w:r>
      <w:r>
        <w:rPr>
          <w:rFonts w:ascii="Consolas" w:hAnsi="Consolas"/>
          <w:sz w:val="20"/>
        </w:rPr>
        <w:t>rand_dispersion</w:t>
      </w:r>
      <w:r>
        <w:t xml:space="preserve">'s B realisation is </w:t>
      </w:r>
      <w:r>
        <w:rPr>
          <w:rFonts w:ascii="Consolas" w:hAnsi="Consolas"/>
          <w:sz w:val="20"/>
        </w:rPr>
        <w:t>log1p(PacketLengthVariance)</w:t>
      </w:r>
      <w:r>
        <w:t xml:space="preserve">); </w:t>
      </w:r>
      <w:r>
        <w:rPr>
          <w:b/>
        </w:rPr>
        <w:t>median imputation</w:t>
      </w:r>
      <w:r>
        <w:t xml:space="preserve"> (</w:t>
      </w:r>
      <w:r>
        <w:rPr>
          <w:rFonts w:ascii="Consolas" w:hAnsi="Consolas"/>
          <w:sz w:val="20"/>
        </w:rPr>
        <w:t>keep_empty_features=True</w:t>
      </w:r>
      <w:r>
        <w:t xml:space="preserve"> — A's all-NaN B_ONLY columns imputed to a constant rather than silently dropped, so "no signal here" becomes structural).</w:t>
      </w:r>
    </w:p>
    <w:p>
      <w:pPr>
        <w:pStyle w:val="Heading2"/>
      </w:pPr>
      <w:r>
        <w:t>5.4 The observability finding (D2)</w:t>
      </w:r>
    </w:p>
    <w:p>
      <w:r>
        <w:rPr>
          <w:b/>
        </w:rPr>
        <w:t>Three of five behavioural families are unobservable, or observable only as a weak proxy, once traffic crosses the plaintext-to-encrypted boundary</w:t>
      </w:r>
      <w:r>
        <w:t xml:space="preserve"> — this project's central empirical claim. F4/F5 entirely unobservable on A (100% NaN by construction, no session key). F2/F3 survive only as reconstructed proxies (§5.2 ablation). </w:t>
      </w:r>
      <w:r>
        <w:rPr>
          <w:b/>
        </w:rPr>
        <w:t>F1 was predicted the one family with a genuinely direct counterpart — that did not hold:</w:t>
      </w:r>
      <w:r>
        <w:t xml:space="preserve"> its columns are among the </w:t>
      </w:r>
      <w:r>
        <w:rPr>
          <w:i/>
        </w:rPr>
        <w:t>most</w:t>
      </w:r>
      <w:r>
        <w:t xml:space="preserve"> distributionally shifted of the intersection set. "Computable on both sides" ≠ "means the same numeric thing on both sides"; F1 satisfies only the first, no better than F2/F3.</w:t>
      </w:r>
    </w:p>
    <w:p>
      <w:r>
        <w:rPr>
          <w:b/>
        </w:rPr>
        <w:t>Practical implication:</w:t>
      </w:r>
      <w:r>
        <w:t xml:space="preserve"> an operator with only encrypted DoH captures retains conceptual visibility into volume, randomness, structural complexity, zero visibility into rhythm or fan-out — but visibility ≠ </w:t>
      </w:r>
      <w:r>
        <w:rPr>
          <w:b/>
        </w:rPr>
        <w:t>transferability</w:t>
      </w:r>
      <w:r>
        <w:t xml:space="preserve">. Defender's takeaway: </w:t>
      </w:r>
      <w:r>
        <w:rPr>
          <w:b/>
        </w:rPr>
        <w:t>train and calibrate separately per vantage point.</w:t>
      </w:r>
    </w:p>
    <w:p>
      <w:pPr>
        <w:pStyle w:val="Heading1"/>
      </w:pPr>
      <w:r>
        <w:t>Chapter 6 — Model Architectures</w:t>
      </w:r>
    </w:p>
    <w:p>
      <w:pPr>
        <w:pStyle w:val="Heading2"/>
      </w:pPr>
      <w:r>
        <w:t>6.1 Per-model justification</w:t>
      </w:r>
    </w:p>
    <w:p>
      <w:r>
        <w:t>Four architectures span the relevant inductive biases — axis-aligned rules, local-pattern convolution, density-based isolation, reconstruction-based novelty.</w:t>
      </w:r>
    </w:p>
    <w:p>
      <w:r>
        <w:rPr>
          <w:b/>
        </w:rPr>
        <w:t>XGBoost — axis-aligned splits match threshold-like exfiltration signals.</w:t>
      </w:r>
      <w:r>
        <w:t xml:space="preserve"> </w:t>
      </w:r>
      <w:r>
        <w:rPr>
          <w:rFonts w:ascii="Consolas" w:hAnsi="Consolas"/>
          <w:sz w:val="20"/>
        </w:rPr>
        <w:t>feature ≤ threshold</w:t>
      </w:r>
      <w:r>
        <w:t xml:space="preserve"> splits match F1/F3's physics (a payload does or doesn't exceed a normal lookup; a label does or doesn't approach the 63-byte limit). </w:t>
      </w:r>
      <w:r>
        <w:rPr>
          <w:rFonts w:ascii="Consolas" w:hAnsi="Consolas"/>
          <w:sz w:val="20"/>
        </w:rPr>
        <w:t>scale_pos_weight</w:t>
      </w:r>
      <w:r>
        <w:t xml:space="preserve"> gives cost-sensitive reweighting without synthesising rows. Primary supervised detector — tree ensembles are the natural fit for tabular, threshold-driven telemetry, matching Mahdavifar et al.'s own best classical model (Random Forest).</w:t>
      </w:r>
    </w:p>
    <w:p>
      <w:r>
        <w:rPr>
          <w:b/>
        </w:rPr>
        <w:t>1D-CNN — local receptive field over a family-ordered vector.</w:t>
      </w:r>
      <w:r>
        <w:t xml:space="preserve"> </w:t>
      </w:r>
      <w:r>
        <w:rPr>
          <w:rFonts w:ascii="Consolas" w:hAnsi="Consolas"/>
          <w:sz w:val="20"/>
        </w:rPr>
        <w:t>UNIFIED_COLUMNS</w:t>
      </w:r>
      <w:r>
        <w:t xml:space="preserve"> groups the 11 features by family, so a kernel-3 convolution (two blocks, 32/64 filters) learns within-family interactions as </w:t>
      </w:r>
      <w:r>
        <w:rPr>
          <w:i/>
        </w:rPr>
        <w:t>local</w:t>
      </w:r>
      <w:r>
        <w:t xml:space="preserve"> structure — an MLP would need to learn each as a global weight pattern from scratch. BatchNorm + dropout (0.3) regularise against 11 inputs being a narrow signal.</w:t>
      </w:r>
    </w:p>
    <w:p>
      <w:r>
        <w:rPr>
          <w:b/>
        </w:rPr>
        <w:t>Isolation Forest — cheap, high-recall isolation depth as a first-stage filter.</w:t>
      </w:r>
      <w:r>
        <w:t xml:space="preserve"> Scores by how few random splits isolate a point; no labels needed, only that anomalies are few and different. Fits exactly one role: cascade Stage 1 — a cheap pre-filter before a supervised model, deliberately not the primary detector. Recall-first tuning (</w:t>
      </w:r>
      <w:r>
        <w:rPr>
          <w:rFonts w:ascii="Consolas" w:hAnsi="Consolas"/>
          <w:sz w:val="20"/>
        </w:rPr>
        <w:t>select_cascade_contamination</w:t>
      </w:r>
      <w:r>
        <w:t>) exists because a first-stage miss is unrecoverable downstream; Ch. 8.4's Dataset B result (best recall 33%) is the honest limit case.</w:t>
      </w:r>
    </w:p>
    <w:p>
      <w:r>
        <w:rPr>
          <w:b/>
        </w:rPr>
        <w:t>Autoencoder — benign-only reconstruction manifold.</w:t>
      </w:r>
      <w:r>
        <w:t xml:space="preserve"> </w:t>
      </w:r>
      <w:r>
        <w:rPr>
          <w:rFonts w:ascii="Consolas" w:hAnsi="Consolas"/>
          <w:sz w:val="20"/>
        </w:rPr>
        <w:t>11→8→4→8→11</w:t>
      </w:r>
      <w:r>
        <w:t>, fit exclusively on benign rows; reconstruction error above the 95th-percentile benign threshold needs no attack examples at fit time — matters for detecting a tool the training data never saw. Kept in the cascade (Stage 3) as an independent signal for the XGBoost/Autoencoder disagreement check.</w:t>
      </w:r>
    </w:p>
    <w:p>
      <w:pPr>
        <w:pStyle w:val="Heading2"/>
      </w:pPr>
      <w:r>
        <w:t>6.2 Literature benchmark table</w:t>
      </w:r>
    </w:p>
    <w:p>
      <w:r>
        <w:t xml:space="preserve">See </w:t>
      </w:r>
      <w:r>
        <w:rPr>
          <w:rFonts w:ascii="Consolas" w:hAnsi="Consolas"/>
          <w:sz w:val="20"/>
        </w:rPr>
        <w:t>ch06_2_benchmark_papers.md</w:t>
      </w:r>
      <w:r>
        <w:t xml:space="preserve"> — four architecture-specific papers, reused in Ch. 8.3.</w:t>
      </w:r>
    </w:p>
    <w:p>
      <w:pPr>
        <w:pStyle w:val="Heading1"/>
      </w:pPr>
      <w:r>
        <w:t>Chapter 6.2 — Architecture-Specific Literature Benchmarks</w:t>
      </w:r>
    </w:p>
    <w:p>
      <w:r>
        <w:t xml:space="preserve">Four papers, one per architecture, applying it to DNS tunneling/exfiltration or DoH detection. Reused in Ch. 8.3. Two entries carry </w:t>
      </w:r>
      <w:r>
        <w:rPr>
          <w:b/>
        </w:rPr>
        <w:t>"not independently verified"</w:t>
      </w:r>
      <w:r>
        <w:t xml:space="preserve"> — ResearchGate/MDPI/ScienceDirect all returned HTTP 403; the citations themselves are confirmed in every case.</w:t>
      </w:r>
    </w:p>
    <w:p>
      <w:pPr>
        <w:pStyle w:val="ListBullet"/>
      </w:pPr>
      <w:r>
        <w:rPr>
          <w:b/>
        </w:rPr>
        <w:t>Abrahim, H., Hou, W., Zhuang, Y., &amp; Rahman, H. U. (2026).</w:t>
      </w:r>
      <w:r>
        <w:t xml:space="preserve"> "Enhancing intrusion detection in</w:t>
      </w:r>
    </w:p>
    <w:p>
      <w:r>
        <w:t xml:space="preserve">  encrypted DoH traffic through a robust ensemble learning framework." </w:t>
      </w:r>
      <w:r>
        <w:rPr>
          <w:i/>
        </w:rPr>
        <w:t>PLOS ONE</w:t>
      </w:r>
      <w:r>
        <w:t>.   DOI: 10.1371/journal.pone.0345880. Dataset: CIRA-CIC-DoHBrw-2020 (B's family) + DoH-Tunnel-Traffic-HKD.   XGBoost as meta-learner atop LSTM/GRU. Reported (ensemble-level): Recall=0.9996, Precision=0.9967,   F1=0.9981.</w:t>
      </w:r>
    </w:p>
    <w:p>
      <w:pPr>
        <w:pStyle w:val="ListBullet"/>
      </w:pPr>
      <w:r>
        <w:rPr>
          <w:b/>
        </w:rPr>
        <w:t>Li, H., Li, Z., Zhang, S., &amp; Pu, X. (2024).</w:t>
      </w:r>
      <w:r>
        <w:t xml:space="preserve"> "Malicious DNS detection by combining improved</w:t>
      </w:r>
    </w:p>
    <w:p>
      <w:r>
        <w:t xml:space="preserve">  transformer and CNN." </w:t>
      </w:r>
      <w:r>
        <w:rPr>
          <w:i/>
        </w:rPr>
        <w:t>Scientific Reports</w:t>
      </w:r>
      <w:r>
        <w:t>. DOI: 10.1038/s41598-024-81189-1. Dataset: DGA + MDND, tested   against CIC-Bell-DNS (A's family). 1D-CNN + improved Transformer ("ITransformer-CNN"). Reported:   Accuracy=95.67%, Recall=83.21%, F1=88.43%; Precision/FPR not reported.</w:t>
      </w:r>
    </w:p>
    <w:p>
      <w:pPr>
        <w:pStyle w:val="ListBullet"/>
      </w:pPr>
      <w:r>
        <w:rPr>
          <w:b/>
        </w:rPr>
        <w:t>Wang, S., Sun, L., Qin, S., Li, W., &amp; Liu, W. (2022).</w:t>
      </w:r>
      <w:r>
        <w:t xml:space="preserve"> "KRTunnel: DNS channel detector for mobile</w:t>
      </w:r>
    </w:p>
    <w:p>
      <w:r>
        <w:t xml:space="preserve">  devices." </w:t>
      </w:r>
      <w:r>
        <w:rPr>
          <w:i/>
        </w:rPr>
        <w:t>Computers &amp; Security</w:t>
      </w:r>
      <w:r>
        <w:t xml:space="preserve">, 120, 102818. DOI: 10.1016/j.cose.2022.102818. Isolation Forest over   mobile DNS features. Reported: accuracy 98.1%. </w:t>
      </w:r>
      <w:r>
        <w:rPr>
          <w:b/>
        </w:rPr>
        <w:t>Not independently verified</w:t>
      </w:r>
      <w:r>
        <w:t xml:space="preserve"> — from search snippets,   not the paper itself.</w:t>
      </w:r>
    </w:p>
    <w:p>
      <w:pPr>
        <w:pStyle w:val="ListBullet"/>
      </w:pPr>
      <w:r>
        <w:rPr>
          <w:b/>
        </w:rPr>
        <w:t>De Bernardi, G., Gaggero, G. B., Patrone, F., Zappatore, S., Marchese, M., &amp; Mongelli, M. (2025).</w:t>
      </w:r>
    </w:p>
    <w:p>
      <w:r>
        <w:t xml:space="preserve">  "Rule-Based eXplainable Autoencoder for DNS Tunneling Detection." </w:t>
      </w:r>
      <w:r>
        <w:rPr>
          <w:i/>
        </w:rPr>
        <w:t>Computers</w:t>
      </w:r>
      <w:r>
        <w:t xml:space="preserve">, 14(9), 375.   DOI: 10.3390/computers14090375. Citation confirmed; dataset/config/Recall/FPR/F1 </w:t>
      </w:r>
      <w:r>
        <w:rPr>
          <w:b/>
        </w:rPr>
        <w:t>could not be   verified</w:t>
      </w:r>
      <w:r>
        <w:t xml:space="preserve"> — every fetch returned HTTP 403 or no extractable body. Gap stated plainly, no invented   numbers.</w:t>
      </w:r>
    </w:p>
    <w:p>
      <w:pPr>
        <w:pStyle w:val="Heading1"/>
      </w:pPr>
      <w:r>
        <w:t>Chapter 7 — Pipeline, Imbalance Strategy, and Hyperparameters</w:t>
      </w:r>
    </w:p>
    <w:p>
      <w:pPr>
        <w:pStyle w:val="Heading2"/>
      </w:pPr>
      <w:r>
        <w:t>7.1 Block diagram and the abstraction proof</w:t>
      </w:r>
    </w:p>
    <w:p>
      <w:pPr>
        <w:spacing w:line="240" w:lineRule="auto" w:after="160"/>
        <w:shd w:val="clear" w:fill="F2F2F2"/>
      </w:pPr>
      <w:r>
        <w:rPr>
          <w:rFonts w:ascii="Consolas" w:hAnsi="Consolas"/>
          <w:sz w:val="18"/>
        </w:rPr>
        <w:t xml:space="preserve"> CLI --&gt; registry.get(dataset_name) --&gt; loader.load() -&gt; (X, y, meta)</w:t>
        <w:br/>
        <w:t xml:space="preserve">      --&gt; schema.validate_schema(X, mode=families)</w:t>
        <w:br/>
        <w:t xml:space="preserve">      === EVERYTHING BELOW IS DATASET-BLIND ===</w:t>
        <w:br/>
        <w:t xml:space="preserve">      --&gt; preprocessing.build_pipeline (impute -&gt; scale -&gt; [SMOTE] -&gt; estimator)</w:t>
        <w:br/>
        <w:t xml:space="preserve">      --&gt; models/{supervised,unsupervised,deep}.py (XGBoost | IsoForest | CNN | AE)</w:t>
        <w:br/>
        <w:t xml:space="preserve">      --&gt; evaluation.metrics.evaluate()</w:t>
        <w:br/>
        <w:t xml:space="preserve">      --&gt; ensemble/cascade.py (Step 3C: IsoForest -&gt; XGBoost -&gt; escalation)</w:t>
      </w:r>
    </w:p>
    <w:p>
      <w:r>
        <w:t>Load boundary (</w:t>
      </w:r>
      <w:r>
        <w:rPr>
          <w:rFonts w:ascii="Consolas" w:hAnsi="Consolas"/>
          <w:sz w:val="20"/>
        </w:rPr>
        <w:t>loader.load()</w:t>
      </w:r>
      <w:r>
        <w:t xml:space="preserve"> → </w:t>
      </w:r>
      <w:r>
        <w:rPr>
          <w:rFonts w:ascii="Consolas" w:hAnsi="Consolas"/>
          <w:sz w:val="20"/>
        </w:rPr>
        <w:t>(X, y, meta)</w:t>
      </w:r>
      <w:r>
        <w:t xml:space="preserve">) enforced structurally (Dataset Dependency Rule, Step 0D) and verified empirically: Step 1C's abstraction proof greps for dataset-name literals, requires empty output outside three sanctioned exceptions (CLI plumbing, </w:t>
      </w:r>
      <w:r>
        <w:rPr>
          <w:rFonts w:ascii="Consolas" w:hAnsi="Consolas"/>
          <w:sz w:val="20"/>
        </w:rPr>
        <w:t>schema/unified.py</w:t>
      </w:r>
      <w:r>
        <w:t xml:space="preserve">'s </w:t>
      </w:r>
      <w:r>
        <w:rPr>
          <w:rFonts w:ascii="Consolas" w:hAnsi="Consolas"/>
          <w:sz w:val="20"/>
        </w:rPr>
        <w:t>COLUMN_SOURCE</w:t>
      </w:r>
      <w:r>
        <w:t xml:space="preserve">, one test file). No module under </w:t>
      </w:r>
      <w:r>
        <w:rPr>
          <w:rFonts w:ascii="Consolas" w:hAnsi="Consolas"/>
          <w:sz w:val="20"/>
        </w:rPr>
        <w:t>preprocessing/</w:t>
      </w:r>
      <w:r>
        <w:t xml:space="preserve">, </w:t>
      </w:r>
      <w:r>
        <w:rPr>
          <w:rFonts w:ascii="Consolas" w:hAnsi="Consolas"/>
          <w:sz w:val="20"/>
        </w:rPr>
        <w:t>features/</w:t>
      </w:r>
      <w:r>
        <w:t xml:space="preserve">, </w:t>
      </w:r>
      <w:r>
        <w:rPr>
          <w:rFonts w:ascii="Consolas" w:hAnsi="Consolas"/>
          <w:sz w:val="20"/>
        </w:rPr>
        <w:t>models/</w:t>
      </w:r>
      <w:r>
        <w:t xml:space="preserve">, </w:t>
      </w:r>
      <w:r>
        <w:rPr>
          <w:rFonts w:ascii="Consolas" w:hAnsi="Consolas"/>
          <w:sz w:val="20"/>
        </w:rPr>
        <w:t>evaluation/</w:t>
      </w:r>
      <w:r>
        <w:t xml:space="preserve">, </w:t>
      </w:r>
      <w:r>
        <w:rPr>
          <w:rFonts w:ascii="Consolas" w:hAnsi="Consolas"/>
          <w:sz w:val="20"/>
        </w:rPr>
        <w:t>ensemble/</w:t>
      </w:r>
      <w:r>
        <w:t xml:space="preserve"> contains dataset-keyed logic — what makes Ch. 5's transfer matrix a meaningful test rather than a claim on faith.</w:t>
      </w:r>
    </w:p>
    <w:p>
      <w:pPr>
        <w:pStyle w:val="Heading2"/>
      </w:pPr>
      <w:r>
        <w:t>7.2 Imbalance strategy and the structural leakage guard</w:t>
      </w:r>
    </w:p>
    <w:p>
      <w:r>
        <w:rPr>
          <w:b/>
        </w:rPr>
        <w:t>Two non-overlapping answers, per model:</w:t>
      </w:r>
      <w:r>
        <w:t xml:space="preserve"> SMOTE for the CNN (fit-time, inside the Pipeline); </w:t>
      </w:r>
      <w:r>
        <w:rPr>
          <w:rFonts w:ascii="Consolas" w:hAnsi="Consolas"/>
          <w:sz w:val="20"/>
        </w:rPr>
        <w:t>scale_pos_weight</w:t>
      </w:r>
      <w:r>
        <w:t xml:space="preserve"> for XGBoost; neither for Isolation Forest (resampling a density estimator defeats its premise) or the Autoencoder (fit exclusively on benign rows). Rule: </w:t>
      </w:r>
      <w:r>
        <w:rPr>
          <w:b/>
        </w:rPr>
        <w:t>resampling xor reweighting, never both</w:t>
      </w:r>
      <w:r>
        <w:t>.</w:t>
      </w:r>
    </w:p>
    <w:p>
      <w:pPr>
        <w:spacing w:line="240" w:lineRule="auto" w:after="160"/>
        <w:shd w:val="clear" w:fill="F2F2F2"/>
      </w:pPr>
      <w:r>
        <w:rPr>
          <w:rFonts w:ascii="Consolas" w:hAnsi="Consolas"/>
          <w:sz w:val="18"/>
        </w:rPr>
        <w:t>def build_pipeline(estimator, use_smote: bool = True, random_state: int = 42) -&gt; ImbPipeline:</w:t>
        <w:br/>
        <w:t xml:space="preserve">    steps = [</w:t>
        <w:br/>
        <w:t xml:space="preserve">        ("imputer", SimpleImputer(strategy="median", keep_empty_features=True)),</w:t>
        <w:br/>
        <w:t xml:space="preserve">        ("scaler", StandardScaler()),</w:t>
        <w:br/>
        <w:t xml:space="preserve">    ]</w:t>
        <w:br/>
        <w:t xml:space="preserve">    if use_smote:</w:t>
        <w:br/>
        <w:t xml:space="preserve">        steps.append(("smote", SMOTE(random_state=random_state)))</w:t>
        <w:br/>
        <w:t xml:space="preserve">    steps.append(("estimator", estimator))</w:t>
        <w:br/>
        <w:t xml:space="preserve">    return ImbPipeline(steps)</w:t>
      </w:r>
    </w:p>
    <w:p>
      <w:r>
        <w:t xml:space="preserve">Two details matter. </w:t>
      </w:r>
      <w:r>
        <w:rPr>
          <w:b/>
        </w:rPr>
        <w:t>`imblearn.pipeline.Pipeline`, never `sklearn.pipeline.Pipeline`</w:t>
      </w:r>
      <w:r>
        <w:t xml:space="preserve"> — sklearn's would silently apply SMOTE at </w:t>
      </w:r>
      <w:r>
        <w:rPr>
          <w:i/>
        </w:rPr>
        <w:t>transform</w:t>
      </w:r>
      <w:r>
        <w:t xml:space="preserve"> time too, synthesizing fake minority rows inside the test fold with no warning. </w:t>
      </w:r>
      <w:r>
        <w:rPr>
          <w:b/>
        </w:rPr>
        <w:t>The whole object goes to `StratifiedKFold` as one fittable unit</w:t>
      </w:r>
      <w:r>
        <w:t>, so scaler/SMOTE stats recompute from scratch inside every fold, training rows only — verified via a synthetic 400/20 frame across 5 folds confirming test-fold class counts (95/5) never move.</w:t>
      </w:r>
    </w:p>
    <w:p>
      <w:r>
        <w:t xml:space="preserve">Bug caught by this structure: </w:t>
      </w:r>
      <w:r>
        <w:rPr>
          <w:rFonts w:ascii="Consolas" w:hAnsi="Consolas"/>
          <w:sz w:val="20"/>
        </w:rPr>
        <w:t>SimpleImputer(strategy="median")</w:t>
      </w:r>
      <w:r>
        <w:t xml:space="preserve"> </w:t>
      </w:r>
      <w:r>
        <w:rPr>
          <w:b/>
        </w:rPr>
        <w:t>without</w:t>
      </w:r>
      <w:r>
        <w:t xml:space="preserve"> </w:t>
      </w:r>
      <w:r>
        <w:rPr>
          <w:rFonts w:ascii="Consolas" w:hAnsi="Consolas"/>
          <w:sz w:val="20"/>
        </w:rPr>
        <w:t>keep_empty_features=True</w:t>
      </w:r>
      <w:r>
        <w:t xml:space="preserve"> silently drops any all-NaN column instead of imputing to a constant — on real Dataset A this collapsed 11 columns to 7 (the four B_ONLY columns vanished). Fixed by adding the flag.</w:t>
      </w:r>
    </w:p>
    <w:p>
      <w:pPr>
        <w:pStyle w:val="Heading2"/>
      </w:pPr>
      <w:r>
        <w:t>7.3 Hyperparameters and sensitivity sweeps</w:t>
      </w:r>
    </w:p>
    <w:p>
      <w:r>
        <w:t xml:space="preserve">Every hyperparameter explicit in </w:t>
      </w:r>
      <w:r>
        <w:rPr>
          <w:rFonts w:ascii="Consolas" w:hAnsi="Consolas"/>
          <w:sz w:val="20"/>
        </w:rPr>
        <w:t>config/config.yaml</w:t>
      </w:r>
      <w:r>
        <w:t xml:space="preserve"> — no library defaults relied on.</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Model</w:t>
            </w:r>
          </w:p>
        </w:tc>
        <w:tc>
          <w:tcPr>
            <w:tcW w:type="dxa" w:w="3360"/>
          </w:tcPr>
          <w:p>
            <w:pPr>
              <w:spacing w:after="20" w:before="0" w:line="240" w:lineRule="auto"/>
            </w:pPr>
            <w:r/>
            <w:r>
              <w:rPr>
                <w:b/>
                <w:sz w:val="16"/>
              </w:rPr>
              <w:t>Hyperparameter</w:t>
            </w:r>
          </w:p>
        </w:tc>
        <w:tc>
          <w:tcPr>
            <w:tcW w:type="dxa" w:w="3360"/>
          </w:tcPr>
          <w:p>
            <w:pPr>
              <w:spacing w:after="20" w:before="0" w:line="240" w:lineRule="auto"/>
            </w:pPr>
            <w:r/>
            <w:r>
              <w:rPr>
                <w:b/>
                <w:sz w:val="16"/>
              </w:rPr>
              <w:t>Value</w:t>
            </w:r>
          </w:p>
        </w:tc>
      </w:tr>
      <w:tr>
        <w:tc>
          <w:tcPr>
            <w:tcW w:type="dxa" w:w="3360"/>
          </w:tcPr>
          <w:p>
            <w:pPr>
              <w:spacing w:after="20" w:before="0" w:line="240" w:lineRule="auto"/>
            </w:pPr>
            <w:r/>
            <w:r>
              <w:rPr>
                <w:sz w:val="16"/>
              </w:rPr>
              <w:t>XGBoost</w:t>
            </w:r>
          </w:p>
        </w:tc>
        <w:tc>
          <w:tcPr>
            <w:tcW w:type="dxa" w:w="3360"/>
          </w:tcPr>
          <w:p>
            <w:pPr>
              <w:spacing w:after="20" w:before="0" w:line="240" w:lineRule="auto"/>
            </w:pPr>
            <w:r/>
            <w:r>
              <w:rPr>
                <w:rFonts w:ascii="Consolas" w:hAnsi="Consolas"/>
                <w:sz w:val="16"/>
              </w:rPr>
              <w:t>n_estimators</w:t>
            </w:r>
            <w:r>
              <w:rPr>
                <w:sz w:val="16"/>
              </w:rPr>
              <w:t>/</w:t>
            </w:r>
            <w:r>
              <w:rPr>
                <w:rFonts w:ascii="Consolas" w:hAnsi="Consolas"/>
                <w:sz w:val="16"/>
              </w:rPr>
              <w:t>max_depth</w:t>
            </w:r>
            <w:r>
              <w:rPr>
                <w:sz w:val="16"/>
              </w:rPr>
              <w:t>/</w:t>
            </w:r>
            <w:r>
              <w:rPr>
                <w:rFonts w:ascii="Consolas" w:hAnsi="Consolas"/>
                <w:sz w:val="16"/>
              </w:rPr>
              <w:t>learning_rate</w:t>
            </w:r>
          </w:p>
        </w:tc>
        <w:tc>
          <w:tcPr>
            <w:tcW w:type="dxa" w:w="3360"/>
          </w:tcPr>
          <w:p>
            <w:pPr>
              <w:spacing w:after="20" w:before="0" w:line="240" w:lineRule="auto"/>
            </w:pPr>
            <w:r/>
            <w:r>
              <w:rPr>
                <w:sz w:val="16"/>
              </w:rPr>
              <w:t>400 / 6 / 0.05</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subsample</w:t>
            </w:r>
            <w:r>
              <w:rPr>
                <w:sz w:val="16"/>
              </w:rPr>
              <w:t>/</w:t>
            </w:r>
            <w:r>
              <w:rPr>
                <w:rFonts w:ascii="Consolas" w:hAnsi="Consolas"/>
                <w:sz w:val="16"/>
              </w:rPr>
              <w:t>colsample_bytree</w:t>
            </w:r>
            <w:r>
              <w:rPr>
                <w:sz w:val="16"/>
              </w:rPr>
              <w:t>/</w:t>
            </w:r>
            <w:r>
              <w:rPr>
                <w:rFonts w:ascii="Consolas" w:hAnsi="Consolas"/>
                <w:sz w:val="16"/>
              </w:rPr>
              <w:t>min_child_weight</w:t>
            </w:r>
          </w:p>
        </w:tc>
        <w:tc>
          <w:tcPr>
            <w:tcW w:type="dxa" w:w="3360"/>
          </w:tcPr>
          <w:p>
            <w:pPr>
              <w:spacing w:after="20" w:before="0" w:line="240" w:lineRule="auto"/>
            </w:pPr>
            <w:r/>
            <w:r>
              <w:rPr>
                <w:sz w:val="16"/>
              </w:rPr>
              <w:t>0.8 / 0.8 / 3</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scale_pos_weight</w:t>
            </w:r>
          </w:p>
        </w:tc>
        <w:tc>
          <w:tcPr>
            <w:tcW w:type="dxa" w:w="3360"/>
          </w:tcPr>
          <w:p>
            <w:pPr>
              <w:spacing w:after="20" w:before="0" w:line="240" w:lineRule="auto"/>
            </w:pPr>
            <w:r/>
            <w:r>
              <w:rPr>
                <w:sz w:val="16"/>
              </w:rPr>
              <w:t>computed per dataset+framing</w:t>
            </w:r>
          </w:p>
        </w:tc>
      </w:tr>
      <w:tr>
        <w:tc>
          <w:tcPr>
            <w:tcW w:type="dxa" w:w="3360"/>
          </w:tcPr>
          <w:p>
            <w:pPr>
              <w:spacing w:after="20" w:before="0" w:line="240" w:lineRule="auto"/>
            </w:pPr>
            <w:r/>
            <w:r>
              <w:rPr>
                <w:sz w:val="16"/>
              </w:rPr>
              <w:t>Isolation Forest</w:t>
            </w:r>
          </w:p>
        </w:tc>
        <w:tc>
          <w:tcPr>
            <w:tcW w:type="dxa" w:w="3360"/>
          </w:tcPr>
          <w:p>
            <w:pPr>
              <w:spacing w:after="20" w:before="0" w:line="240" w:lineRule="auto"/>
            </w:pPr>
            <w:r/>
            <w:r>
              <w:rPr>
                <w:rFonts w:ascii="Consolas" w:hAnsi="Consolas"/>
                <w:sz w:val="16"/>
              </w:rPr>
              <w:t>n_estimators</w:t>
            </w:r>
            <w:r>
              <w:rPr>
                <w:sz w:val="16"/>
              </w:rPr>
              <w:t>/</w:t>
            </w:r>
            <w:r>
              <w:rPr>
                <w:rFonts w:ascii="Consolas" w:hAnsi="Consolas"/>
                <w:sz w:val="16"/>
              </w:rPr>
              <w:t>max_samples</w:t>
            </w:r>
            <w:r>
              <w:rPr>
                <w:sz w:val="16"/>
              </w:rPr>
              <w:t>/</w:t>
            </w:r>
            <w:r>
              <w:rPr>
                <w:rFonts w:ascii="Consolas" w:hAnsi="Consolas"/>
                <w:sz w:val="16"/>
              </w:rPr>
              <w:t>max_features</w:t>
            </w:r>
          </w:p>
        </w:tc>
        <w:tc>
          <w:tcPr>
            <w:tcW w:type="dxa" w:w="3360"/>
          </w:tcPr>
          <w:p>
            <w:pPr>
              <w:spacing w:after="20" w:before="0" w:line="240" w:lineRule="auto"/>
            </w:pPr>
            <w:r/>
            <w:r>
              <w:rPr>
                <w:sz w:val="16"/>
              </w:rPr>
              <w:t>200 / 256 / 0.8</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contamination</w:t>
            </w:r>
          </w:p>
        </w:tc>
        <w:tc>
          <w:tcPr>
            <w:tcW w:type="dxa" w:w="3360"/>
          </w:tcPr>
          <w:p>
            <w:pPr>
              <w:spacing w:after="20" w:before="0" w:line="240" w:lineRule="auto"/>
            </w:pPr>
            <w:r/>
            <w:r>
              <w:rPr>
                <w:sz w:val="16"/>
              </w:rPr>
              <w:t>0.2 baseline (swept — Appendix C)</w:t>
            </w:r>
          </w:p>
        </w:tc>
      </w:tr>
      <w:tr>
        <w:tc>
          <w:tcPr>
            <w:tcW w:type="dxa" w:w="3360"/>
          </w:tcPr>
          <w:p>
            <w:pPr>
              <w:spacing w:after="20" w:before="0" w:line="240" w:lineRule="auto"/>
            </w:pPr>
            <w:r/>
            <w:r>
              <w:rPr>
                <w:sz w:val="16"/>
              </w:rPr>
              <w:t>1D-CNN</w:t>
            </w:r>
          </w:p>
        </w:tc>
        <w:tc>
          <w:tcPr>
            <w:tcW w:type="dxa" w:w="3360"/>
          </w:tcPr>
          <w:p>
            <w:pPr>
              <w:spacing w:after="20" w:before="0" w:line="240" w:lineRule="auto"/>
            </w:pPr>
            <w:r/>
            <w:r>
              <w:rPr>
                <w:rFonts w:ascii="Consolas" w:hAnsi="Consolas"/>
                <w:sz w:val="16"/>
              </w:rPr>
              <w:t>conv_filters</w:t>
            </w:r>
            <w:r>
              <w:rPr>
                <w:sz w:val="16"/>
              </w:rPr>
              <w:t>/</w:t>
            </w:r>
            <w:r>
              <w:rPr>
                <w:rFonts w:ascii="Consolas" w:hAnsi="Consolas"/>
                <w:sz w:val="16"/>
              </w:rPr>
              <w:t>kernel_size</w:t>
            </w:r>
            <w:r>
              <w:rPr>
                <w:sz w:val="16"/>
              </w:rPr>
              <w:t>/</w:t>
            </w:r>
            <w:r>
              <w:rPr>
                <w:rFonts w:ascii="Consolas" w:hAnsi="Consolas"/>
                <w:sz w:val="16"/>
              </w:rPr>
              <w:t>dropout</w:t>
            </w:r>
            <w:r>
              <w:rPr>
                <w:sz w:val="16"/>
              </w:rPr>
              <w:t>/</w:t>
            </w:r>
            <w:r>
              <w:rPr>
                <w:rFonts w:ascii="Consolas" w:hAnsi="Consolas"/>
                <w:sz w:val="16"/>
              </w:rPr>
              <w:t>dense_units</w:t>
            </w:r>
          </w:p>
        </w:tc>
        <w:tc>
          <w:tcPr>
            <w:tcW w:type="dxa" w:w="3360"/>
          </w:tcPr>
          <w:p>
            <w:pPr>
              <w:spacing w:after="20" w:before="0" w:line="240" w:lineRule="auto"/>
            </w:pPr>
            <w:r/>
            <w:r>
              <w:rPr>
                <w:sz w:val="16"/>
              </w:rPr>
              <w:t>[32,64] / 3 / 0.3 / 64</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optimizer</w:t>
            </w:r>
            <w:r>
              <w:rPr>
                <w:sz w:val="16"/>
              </w:rPr>
              <w:t>/</w:t>
            </w:r>
            <w:r>
              <w:rPr>
                <w:rFonts w:ascii="Consolas" w:hAnsi="Consolas"/>
                <w:sz w:val="16"/>
              </w:rPr>
              <w:t>learning_rate</w:t>
            </w:r>
            <w:r>
              <w:rPr>
                <w:sz w:val="16"/>
              </w:rPr>
              <w:t>/</w:t>
            </w:r>
            <w:r>
              <w:rPr>
                <w:rFonts w:ascii="Consolas" w:hAnsi="Consolas"/>
                <w:sz w:val="16"/>
              </w:rPr>
              <w:t>batch_size</w:t>
            </w:r>
          </w:p>
        </w:tc>
        <w:tc>
          <w:tcPr>
            <w:tcW w:type="dxa" w:w="3360"/>
          </w:tcPr>
          <w:p>
            <w:pPr>
              <w:spacing w:after="20" w:before="0" w:line="240" w:lineRule="auto"/>
            </w:pPr>
            <w:r/>
            <w:r>
              <w:rPr>
                <w:sz w:val="16"/>
              </w:rPr>
              <w:t>Adam / 0.001 / 256</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early_stopping</w:t>
            </w:r>
            <w:r>
              <w:rPr>
                <w:sz w:val="16"/>
              </w:rPr>
              <w:t>/</w:t>
            </w:r>
            <w:r>
              <w:rPr>
                <w:rFonts w:ascii="Consolas" w:hAnsi="Consolas"/>
                <w:sz w:val="16"/>
              </w:rPr>
              <w:t>max_epochs</w:t>
            </w:r>
            <w:r>
              <w:rPr>
                <w:sz w:val="16"/>
              </w:rPr>
              <w:t>/</w:t>
            </w:r>
            <w:r>
              <w:rPr>
                <w:rFonts w:ascii="Consolas" w:hAnsi="Consolas"/>
                <w:sz w:val="16"/>
              </w:rPr>
              <w:t>val_frac</w:t>
            </w:r>
          </w:p>
        </w:tc>
        <w:tc>
          <w:tcPr>
            <w:tcW w:type="dxa" w:w="3360"/>
          </w:tcPr>
          <w:p>
            <w:pPr>
              <w:spacing w:after="20" w:before="0" w:line="240" w:lineRule="auto"/>
            </w:pPr>
            <w:r/>
            <w:r>
              <w:rPr>
                <w:sz w:val="16"/>
              </w:rPr>
              <w:t>5 (val PR-AUC) / 100 / 0.2</w:t>
            </w:r>
          </w:p>
        </w:tc>
      </w:tr>
      <w:tr>
        <w:tc>
          <w:tcPr>
            <w:tcW w:type="dxa" w:w="3360"/>
          </w:tcPr>
          <w:p>
            <w:pPr>
              <w:spacing w:after="20" w:before="0" w:line="240" w:lineRule="auto"/>
            </w:pPr>
            <w:r/>
            <w:r>
              <w:rPr>
                <w:sz w:val="16"/>
              </w:rPr>
              <w:t>Autoencoder</w:t>
            </w:r>
          </w:p>
        </w:tc>
        <w:tc>
          <w:tcPr>
            <w:tcW w:type="dxa" w:w="3360"/>
          </w:tcPr>
          <w:p>
            <w:pPr>
              <w:spacing w:after="20" w:before="0" w:line="240" w:lineRule="auto"/>
            </w:pPr>
            <w:r/>
            <w:r>
              <w:rPr>
                <w:rFonts w:ascii="Consolas" w:hAnsi="Consolas"/>
                <w:sz w:val="16"/>
              </w:rPr>
              <w:t>layers</w:t>
            </w:r>
          </w:p>
        </w:tc>
        <w:tc>
          <w:tcPr>
            <w:tcW w:type="dxa" w:w="3360"/>
          </w:tcPr>
          <w:p>
            <w:pPr>
              <w:spacing w:after="20" w:before="0" w:line="240" w:lineRule="auto"/>
            </w:pPr>
            <w:r/>
            <w:r>
              <w:rPr>
                <w:sz w:val="16"/>
              </w:rPr>
              <w:t>[11, 8, 4, 8, 11]</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activation</w:t>
            </w:r>
            <w:r>
              <w:rPr>
                <w:sz w:val="16"/>
              </w:rPr>
              <w:t>/</w:t>
            </w:r>
            <w:r>
              <w:rPr>
                <w:rFonts w:ascii="Consolas" w:hAnsi="Consolas"/>
                <w:sz w:val="16"/>
              </w:rPr>
              <w:t>loss</w:t>
            </w:r>
            <w:r>
              <w:rPr>
                <w:sz w:val="16"/>
              </w:rPr>
              <w:t>/</w:t>
            </w:r>
            <w:r>
              <w:rPr>
                <w:rFonts w:ascii="Consolas" w:hAnsi="Consolas"/>
                <w:sz w:val="16"/>
              </w:rPr>
              <w:t>optimizer</w:t>
            </w:r>
            <w:r>
              <w:rPr>
                <w:sz w:val="16"/>
              </w:rPr>
              <w:t>/</w:t>
            </w:r>
            <w:r>
              <w:rPr>
                <w:rFonts w:ascii="Consolas" w:hAnsi="Consolas"/>
                <w:sz w:val="16"/>
              </w:rPr>
              <w:t>learning_rate</w:t>
            </w:r>
          </w:p>
        </w:tc>
        <w:tc>
          <w:tcPr>
            <w:tcW w:type="dxa" w:w="3360"/>
          </w:tcPr>
          <w:p>
            <w:pPr>
              <w:spacing w:after="20" w:before="0" w:line="240" w:lineRule="auto"/>
            </w:pPr>
            <w:r/>
            <w:r>
              <w:rPr>
                <w:sz w:val="16"/>
              </w:rPr>
              <w:t>ReLU / MSE / Adam / 0.001</w:t>
            </w:r>
          </w:p>
        </w:tc>
      </w:tr>
      <w:tr>
        <w:tc>
          <w:tcPr>
            <w:tcW w:type="dxa" w:w="3360"/>
          </w:tcPr>
          <w:p>
            <w:pPr>
              <w:spacing w:after="20" w:before="0" w:line="240" w:lineRule="auto"/>
            </w:pPr>
            <w:r/>
          </w:p>
        </w:tc>
        <w:tc>
          <w:tcPr>
            <w:tcW w:type="dxa" w:w="3360"/>
          </w:tcPr>
          <w:p>
            <w:pPr>
              <w:spacing w:after="20" w:before="0" w:line="240" w:lineRule="auto"/>
            </w:pPr>
            <w:r/>
            <w:r>
              <w:rPr>
                <w:rFonts w:ascii="Consolas" w:hAnsi="Consolas"/>
                <w:sz w:val="16"/>
              </w:rPr>
              <w:t>batch_size</w:t>
            </w:r>
            <w:r>
              <w:rPr>
                <w:sz w:val="16"/>
              </w:rPr>
              <w:t>/</w:t>
            </w:r>
            <w:r>
              <w:rPr>
                <w:rFonts w:ascii="Consolas" w:hAnsi="Consolas"/>
                <w:sz w:val="16"/>
              </w:rPr>
              <w:t>max_epochs</w:t>
            </w:r>
            <w:r>
              <w:rPr>
                <w:sz w:val="16"/>
              </w:rPr>
              <w:t>/</w:t>
            </w:r>
            <w:r>
              <w:rPr>
                <w:rFonts w:ascii="Consolas" w:hAnsi="Consolas"/>
                <w:sz w:val="16"/>
              </w:rPr>
              <w:t>threshold</w:t>
            </w:r>
          </w:p>
        </w:tc>
        <w:tc>
          <w:tcPr>
            <w:tcW w:type="dxa" w:w="3360"/>
          </w:tcPr>
          <w:p>
            <w:pPr>
              <w:spacing w:after="20" w:before="0" w:line="240" w:lineRule="auto"/>
            </w:pPr>
            <w:r/>
            <w:r>
              <w:rPr>
                <w:sz w:val="16"/>
              </w:rPr>
              <w:t>256 / 100 / 95th pct. benign error</w:t>
            </w:r>
          </w:p>
        </w:tc>
      </w:tr>
    </w:tbl>
    <w:p>
      <w:r>
        <w:t xml:space="preserve">All models fix </w:t>
      </w:r>
      <w:r>
        <w:rPr>
          <w:rFonts w:ascii="Consolas" w:hAnsi="Consolas"/>
          <w:sz w:val="20"/>
        </w:rPr>
        <w:t>random_state=42</w:t>
      </w:r>
      <w:r>
        <w:t xml:space="preserve">; 5-fold </w:t>
      </w:r>
      <w:r>
        <w:rPr>
          <w:rFonts w:ascii="Consolas" w:hAnsi="Consolas"/>
          <w:sz w:val="20"/>
        </w:rPr>
        <w:t>StratifiedKFold</w:t>
      </w:r>
      <w:r>
        <w:t xml:space="preserve"> shared across every model/dataset. Two sensitivity sweeps (Appendix C) confirm headline results aren't artifacts of an untuned hyperparameter: XGBoost F1/FPR move under 0.001 across </w:t>
      </w:r>
      <w:r>
        <w:rPr>
          <w:rFonts w:ascii="Consolas" w:hAnsi="Consolas"/>
          <w:sz w:val="20"/>
        </w:rPr>
        <w:t>max_depth ∈ {3,6,9,12}</w:t>
      </w:r>
      <w:r>
        <w:t xml:space="preserve">; Isolation Forest recall/FPR rise monotonically with </w:t>
      </w:r>
      <w:r>
        <w:rPr>
          <w:rFonts w:ascii="Consolas" w:hAnsi="Consolas"/>
          <w:sz w:val="20"/>
        </w:rPr>
        <w:t>contamination</w:t>
      </w:r>
      <w:r>
        <w:t xml:space="preserve"> (0.30 chosen for the cascade — the ceiling Ch. 8.4 traces back to).</w:t>
      </w:r>
    </w:p>
    <w:p>
      <w:pPr>
        <w:pStyle w:val="Heading1"/>
      </w:pPr>
      <w:r>
        <w:t>Chapter 8.1 — Sample-Level Forensic Error Analysis</w:t>
      </w:r>
    </w:p>
    <w:p>
      <w:r>
        <w:rPr>
          <w:rFonts w:ascii="Consolas" w:hAnsi="Consolas"/>
          <w:sz w:val="20"/>
        </w:rPr>
        <w:t>evaluation/error_analysis.py</w:t>
      </w:r>
      <w:r>
        <w:t xml:space="preserve"> ran against all four architectures, both datasets, zero code changes — harness is model-agnostic by construction.</w:t>
      </w:r>
    </w:p>
    <w:p>
      <w:pPr>
        <w:pStyle w:val="Heading2"/>
      </w:pPr>
      <w:r>
        <w:t>8.1.1 Confusion matrices</w:t>
      </w:r>
    </w:p>
    <w:p>
      <w:r>
        <w:rPr>
          <w:b/>
        </w:rPr>
        <w:t>Dataset A — all four models</w:t>
      </w:r>
      <w:r>
        <w:t xml:space="preserve"> (out-of-fold, 5-fold CV, 221,315 rows):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260"/>
        <w:gridCol w:w="1260"/>
        <w:gridCol w:w="1260"/>
        <w:gridCol w:w="1260"/>
        <w:gridCol w:w="1260"/>
        <w:gridCol w:w="1260"/>
        <w:gridCol w:w="1260"/>
        <w:gridCol w:w="1260"/>
      </w:tblGrid>
      <w:tr>
        <w:tc>
          <w:tcPr>
            <w:tcW w:type="dxa" w:w="1260"/>
          </w:tcPr>
          <w:p>
            <w:pPr>
              <w:spacing w:after="20" w:before="0" w:line="240" w:lineRule="auto"/>
            </w:pPr>
            <w:r/>
            <w:r>
              <w:rPr>
                <w:b/>
                <w:sz w:val="16"/>
              </w:rPr>
              <w:t>model</w:t>
            </w:r>
          </w:p>
        </w:tc>
        <w:tc>
          <w:tcPr>
            <w:tcW w:type="dxa" w:w="1260"/>
          </w:tcPr>
          <w:p>
            <w:pPr>
              <w:spacing w:after="20" w:before="0" w:line="240" w:lineRule="auto"/>
            </w:pPr>
            <w:r/>
            <w:r>
              <w:rPr>
                <w:b/>
                <w:sz w:val="16"/>
              </w:rPr>
              <w:t>TN</w:t>
            </w:r>
          </w:p>
        </w:tc>
        <w:tc>
          <w:tcPr>
            <w:tcW w:type="dxa" w:w="1260"/>
          </w:tcPr>
          <w:p>
            <w:pPr>
              <w:spacing w:after="20" w:before="0" w:line="240" w:lineRule="auto"/>
            </w:pPr>
            <w:r/>
            <w:r>
              <w:rPr>
                <w:b/>
                <w:sz w:val="16"/>
              </w:rPr>
              <w:t>FP</w:t>
            </w:r>
          </w:p>
        </w:tc>
        <w:tc>
          <w:tcPr>
            <w:tcW w:type="dxa" w:w="1260"/>
          </w:tcPr>
          <w:p>
            <w:pPr>
              <w:spacing w:after="20" w:before="0" w:line="240" w:lineRule="auto"/>
            </w:pPr>
            <w:r/>
            <w:r>
              <w:rPr>
                <w:b/>
                <w:sz w:val="16"/>
              </w:rPr>
              <w:t>FN</w:t>
            </w:r>
          </w:p>
        </w:tc>
        <w:tc>
          <w:tcPr>
            <w:tcW w:type="dxa" w:w="1260"/>
          </w:tcPr>
          <w:p>
            <w:pPr>
              <w:spacing w:after="20" w:before="0" w:line="240" w:lineRule="auto"/>
            </w:pPr>
            <w:r/>
            <w:r>
              <w:rPr>
                <w:b/>
                <w:sz w:val="16"/>
              </w:rPr>
              <w:t>TP</w:t>
            </w:r>
          </w:p>
        </w:tc>
        <w:tc>
          <w:tcPr>
            <w:tcW w:type="dxa" w:w="1260"/>
          </w:tcPr>
          <w:p>
            <w:pPr>
              <w:spacing w:after="20" w:before="0" w:line="240" w:lineRule="auto"/>
            </w:pPr>
            <w:r/>
            <w:r>
              <w:rPr>
                <w:b/>
                <w:sz w:val="16"/>
              </w:rPr>
              <w:t>recall</w:t>
            </w:r>
          </w:p>
        </w:tc>
        <w:tc>
          <w:tcPr>
            <w:tcW w:type="dxa" w:w="1260"/>
          </w:tcPr>
          <w:p>
            <w:pPr>
              <w:spacing w:after="20" w:before="0" w:line="240" w:lineRule="auto"/>
            </w:pPr>
            <w:r/>
            <w:r>
              <w:rPr>
                <w:b/>
                <w:sz w:val="16"/>
              </w:rPr>
              <w:t>FPR</w:t>
            </w:r>
          </w:p>
        </w:tc>
        <w:tc>
          <w:tcPr>
            <w:tcW w:type="dxa" w:w="1260"/>
          </w:tcPr>
          <w:p>
            <w:pPr>
              <w:spacing w:after="20" w:before="0" w:line="240" w:lineRule="auto"/>
            </w:pPr>
            <w:r/>
            <w:r>
              <w:rPr>
                <w:b/>
                <w:sz w:val="16"/>
              </w:rPr>
              <w:t>F1</w:t>
            </w:r>
          </w:p>
        </w:tc>
      </w:tr>
      <w:tr>
        <w:tc>
          <w:tcPr>
            <w:tcW w:type="dxa" w:w="1260"/>
          </w:tcPr>
          <w:p>
            <w:pPr>
              <w:spacing w:after="20" w:before="0" w:line="240" w:lineRule="auto"/>
            </w:pPr>
            <w:r/>
            <w:r>
              <w:rPr>
                <w:sz w:val="16"/>
              </w:rPr>
              <w:t>XGBoost (t=0.50)</w:t>
            </w:r>
          </w:p>
        </w:tc>
        <w:tc>
          <w:tcPr>
            <w:tcW w:type="dxa" w:w="1260"/>
          </w:tcPr>
          <w:p>
            <w:pPr>
              <w:spacing w:after="20" w:before="0" w:line="240" w:lineRule="auto"/>
            </w:pPr>
            <w:r/>
            <w:r>
              <w:rPr>
                <w:sz w:val="16"/>
              </w:rPr>
              <w:t>68,868</w:t>
            </w:r>
          </w:p>
        </w:tc>
        <w:tc>
          <w:tcPr>
            <w:tcW w:type="dxa" w:w="1260"/>
          </w:tcPr>
          <w:p>
            <w:pPr>
              <w:spacing w:after="20" w:before="0" w:line="240" w:lineRule="auto"/>
            </w:pPr>
            <w:r/>
            <w:r>
              <w:rPr>
                <w:sz w:val="16"/>
              </w:rPr>
              <w:t>46,846</w:t>
            </w:r>
          </w:p>
        </w:tc>
        <w:tc>
          <w:tcPr>
            <w:tcW w:type="dxa" w:w="1260"/>
          </w:tcPr>
          <w:p>
            <w:pPr>
              <w:spacing w:after="20" w:before="0" w:line="240" w:lineRule="auto"/>
            </w:pPr>
            <w:r/>
            <w:r>
              <w:rPr>
                <w:sz w:val="16"/>
              </w:rPr>
              <w:t>58</w:t>
            </w:r>
          </w:p>
        </w:tc>
        <w:tc>
          <w:tcPr>
            <w:tcW w:type="dxa" w:w="1260"/>
          </w:tcPr>
          <w:p>
            <w:pPr>
              <w:spacing w:after="20" w:before="0" w:line="240" w:lineRule="auto"/>
            </w:pPr>
            <w:r/>
            <w:r>
              <w:rPr>
                <w:sz w:val="16"/>
              </w:rPr>
              <w:t>105,543</w:t>
            </w:r>
          </w:p>
        </w:tc>
        <w:tc>
          <w:tcPr>
            <w:tcW w:type="dxa" w:w="1260"/>
          </w:tcPr>
          <w:p>
            <w:pPr>
              <w:spacing w:after="20" w:before="0" w:line="240" w:lineRule="auto"/>
            </w:pPr>
            <w:r/>
            <w:r>
              <w:rPr>
                <w:sz w:val="16"/>
              </w:rPr>
              <w:t>99.95%</w:t>
            </w:r>
          </w:p>
        </w:tc>
        <w:tc>
          <w:tcPr>
            <w:tcW w:type="dxa" w:w="1260"/>
          </w:tcPr>
          <w:p>
            <w:pPr>
              <w:spacing w:after="20" w:before="0" w:line="240" w:lineRule="auto"/>
            </w:pPr>
            <w:r/>
            <w:r>
              <w:rPr>
                <w:sz w:val="16"/>
              </w:rPr>
              <w:t>40.48%</w:t>
            </w:r>
          </w:p>
        </w:tc>
        <w:tc>
          <w:tcPr>
            <w:tcW w:type="dxa" w:w="1260"/>
          </w:tcPr>
          <w:p>
            <w:pPr>
              <w:spacing w:after="20" w:before="0" w:line="240" w:lineRule="auto"/>
            </w:pPr>
            <w:r/>
            <w:r>
              <w:rPr>
                <w:sz w:val="16"/>
              </w:rPr>
              <w:t>81.82%</w:t>
            </w:r>
          </w:p>
        </w:tc>
      </w:tr>
      <w:tr>
        <w:tc>
          <w:tcPr>
            <w:tcW w:type="dxa" w:w="1260"/>
          </w:tcPr>
          <w:p>
            <w:pPr>
              <w:spacing w:after="20" w:before="0" w:line="240" w:lineRule="auto"/>
            </w:pPr>
            <w:r/>
            <w:r>
              <w:rPr>
                <w:sz w:val="16"/>
              </w:rPr>
              <w:t>XGBoost (t=0.70, optimised)</w:t>
            </w:r>
          </w:p>
        </w:tc>
        <w:tc>
          <w:tcPr>
            <w:tcW w:type="dxa" w:w="1260"/>
          </w:tcPr>
          <w:p>
            <w:pPr>
              <w:spacing w:after="20" w:before="0" w:line="240" w:lineRule="auto"/>
            </w:pPr>
            <w:r/>
            <w:r>
              <w:rPr>
                <w:sz w:val="16"/>
              </w:rPr>
              <w:t>69,747</w:t>
            </w:r>
          </w:p>
        </w:tc>
        <w:tc>
          <w:tcPr>
            <w:tcW w:type="dxa" w:w="1260"/>
          </w:tcPr>
          <w:p>
            <w:pPr>
              <w:spacing w:after="20" w:before="0" w:line="240" w:lineRule="auto"/>
            </w:pPr>
            <w:r/>
            <w:r>
              <w:rPr>
                <w:sz w:val="16"/>
              </w:rPr>
              <w:t>45,967</w:t>
            </w:r>
          </w:p>
        </w:tc>
        <w:tc>
          <w:tcPr>
            <w:tcW w:type="dxa" w:w="1260"/>
          </w:tcPr>
          <w:p>
            <w:pPr>
              <w:spacing w:after="20" w:before="0" w:line="240" w:lineRule="auto"/>
            </w:pPr>
            <w:r/>
            <w:r>
              <w:rPr>
                <w:sz w:val="16"/>
              </w:rPr>
              <w:t>2,081</w:t>
            </w:r>
          </w:p>
        </w:tc>
        <w:tc>
          <w:tcPr>
            <w:tcW w:type="dxa" w:w="1260"/>
          </w:tcPr>
          <w:p>
            <w:pPr>
              <w:spacing w:after="20" w:before="0" w:line="240" w:lineRule="auto"/>
            </w:pPr>
            <w:r/>
            <w:r>
              <w:rPr>
                <w:sz w:val="16"/>
              </w:rPr>
              <w:t>103,520</w:t>
            </w:r>
          </w:p>
        </w:tc>
        <w:tc>
          <w:tcPr>
            <w:tcW w:type="dxa" w:w="1260"/>
          </w:tcPr>
          <w:p>
            <w:pPr>
              <w:spacing w:after="20" w:before="0" w:line="240" w:lineRule="auto"/>
            </w:pPr>
            <w:r/>
            <w:r>
              <w:rPr>
                <w:sz w:val="16"/>
              </w:rPr>
              <w:t>98.03%</w:t>
            </w:r>
          </w:p>
        </w:tc>
        <w:tc>
          <w:tcPr>
            <w:tcW w:type="dxa" w:w="1260"/>
          </w:tcPr>
          <w:p>
            <w:pPr>
              <w:spacing w:after="20" w:before="0" w:line="240" w:lineRule="auto"/>
            </w:pPr>
            <w:r/>
            <w:r>
              <w:rPr>
                <w:sz w:val="16"/>
              </w:rPr>
              <w:t>39.72%</w:t>
            </w:r>
          </w:p>
        </w:tc>
        <w:tc>
          <w:tcPr>
            <w:tcW w:type="dxa" w:w="1260"/>
          </w:tcPr>
          <w:p>
            <w:pPr>
              <w:spacing w:after="20" w:before="0" w:line="240" w:lineRule="auto"/>
            </w:pPr>
            <w:r/>
            <w:r>
              <w:rPr>
                <w:sz w:val="16"/>
              </w:rPr>
              <w:t>81.16%</w:t>
            </w:r>
          </w:p>
        </w:tc>
      </w:tr>
      <w:tr>
        <w:tc>
          <w:tcPr>
            <w:tcW w:type="dxa" w:w="1260"/>
          </w:tcPr>
          <w:p>
            <w:pPr>
              <w:spacing w:after="20" w:before="0" w:line="240" w:lineRule="auto"/>
            </w:pPr>
            <w:r/>
            <w:r>
              <w:rPr>
                <w:sz w:val="16"/>
              </w:rPr>
              <w:t>CNN</w:t>
            </w:r>
          </w:p>
        </w:tc>
        <w:tc>
          <w:tcPr>
            <w:tcW w:type="dxa" w:w="1260"/>
          </w:tcPr>
          <w:p>
            <w:pPr>
              <w:spacing w:after="20" w:before="0" w:line="240" w:lineRule="auto"/>
            </w:pPr>
            <w:r/>
            <w:r>
              <w:rPr>
                <w:sz w:val="16"/>
              </w:rPr>
              <w:t>68,896</w:t>
            </w:r>
          </w:p>
        </w:tc>
        <w:tc>
          <w:tcPr>
            <w:tcW w:type="dxa" w:w="1260"/>
          </w:tcPr>
          <w:p>
            <w:pPr>
              <w:spacing w:after="20" w:before="0" w:line="240" w:lineRule="auto"/>
            </w:pPr>
            <w:r/>
            <w:r>
              <w:rPr>
                <w:sz w:val="16"/>
              </w:rPr>
              <w:t>46,818</w:t>
            </w:r>
          </w:p>
        </w:tc>
        <w:tc>
          <w:tcPr>
            <w:tcW w:type="dxa" w:w="1260"/>
          </w:tcPr>
          <w:p>
            <w:pPr>
              <w:spacing w:after="20" w:before="0" w:line="240" w:lineRule="auto"/>
            </w:pPr>
            <w:r/>
            <w:r>
              <w:rPr>
                <w:sz w:val="16"/>
              </w:rPr>
              <w:t>188</w:t>
            </w:r>
          </w:p>
        </w:tc>
        <w:tc>
          <w:tcPr>
            <w:tcW w:type="dxa" w:w="1260"/>
          </w:tcPr>
          <w:p>
            <w:pPr>
              <w:spacing w:after="20" w:before="0" w:line="240" w:lineRule="auto"/>
            </w:pPr>
            <w:r/>
            <w:r>
              <w:rPr>
                <w:sz w:val="16"/>
              </w:rPr>
              <w:t>105,413</w:t>
            </w:r>
          </w:p>
        </w:tc>
        <w:tc>
          <w:tcPr>
            <w:tcW w:type="dxa" w:w="1260"/>
          </w:tcPr>
          <w:p>
            <w:pPr>
              <w:spacing w:after="20" w:before="0" w:line="240" w:lineRule="auto"/>
            </w:pPr>
            <w:r/>
            <w:r>
              <w:rPr>
                <w:sz w:val="16"/>
              </w:rPr>
              <w:t>99.82%</w:t>
            </w:r>
          </w:p>
        </w:tc>
        <w:tc>
          <w:tcPr>
            <w:tcW w:type="dxa" w:w="1260"/>
          </w:tcPr>
          <w:p>
            <w:pPr>
              <w:spacing w:after="20" w:before="0" w:line="240" w:lineRule="auto"/>
            </w:pPr>
            <w:r/>
            <w:r>
              <w:rPr>
                <w:sz w:val="16"/>
              </w:rPr>
              <w:t>40.46%</w:t>
            </w:r>
          </w:p>
        </w:tc>
        <w:tc>
          <w:tcPr>
            <w:tcW w:type="dxa" w:w="1260"/>
          </w:tcPr>
          <w:p>
            <w:pPr>
              <w:spacing w:after="20" w:before="0" w:line="240" w:lineRule="auto"/>
            </w:pPr>
            <w:r/>
            <w:r>
              <w:rPr>
                <w:sz w:val="16"/>
              </w:rPr>
              <w:t>81.77%</w:t>
            </w:r>
          </w:p>
        </w:tc>
      </w:tr>
      <w:tr>
        <w:tc>
          <w:tcPr>
            <w:tcW w:type="dxa" w:w="1260"/>
          </w:tcPr>
          <w:p>
            <w:pPr>
              <w:spacing w:after="20" w:before="0" w:line="240" w:lineRule="auto"/>
            </w:pPr>
            <w:r/>
            <w:r>
              <w:rPr>
                <w:sz w:val="16"/>
              </w:rPr>
              <w:t>Isolation Forest (contam.=0.20)</w:t>
            </w:r>
          </w:p>
        </w:tc>
        <w:tc>
          <w:tcPr>
            <w:tcW w:type="dxa" w:w="1260"/>
          </w:tcPr>
          <w:p>
            <w:pPr>
              <w:spacing w:after="20" w:before="0" w:line="240" w:lineRule="auto"/>
            </w:pPr>
            <w:r/>
            <w:r>
              <w:rPr>
                <w:sz w:val="16"/>
              </w:rPr>
              <w:t>79,354</w:t>
            </w:r>
          </w:p>
        </w:tc>
        <w:tc>
          <w:tcPr>
            <w:tcW w:type="dxa" w:w="1260"/>
          </w:tcPr>
          <w:p>
            <w:pPr>
              <w:spacing w:after="20" w:before="0" w:line="240" w:lineRule="auto"/>
            </w:pPr>
            <w:r/>
            <w:r>
              <w:rPr>
                <w:sz w:val="16"/>
              </w:rPr>
              <w:t>36,360</w:t>
            </w:r>
          </w:p>
        </w:tc>
        <w:tc>
          <w:tcPr>
            <w:tcW w:type="dxa" w:w="1260"/>
          </w:tcPr>
          <w:p>
            <w:pPr>
              <w:spacing w:after="20" w:before="0" w:line="240" w:lineRule="auto"/>
            </w:pPr>
            <w:r/>
            <w:r>
              <w:rPr>
                <w:sz w:val="16"/>
              </w:rPr>
              <w:t>97,738</w:t>
            </w:r>
          </w:p>
        </w:tc>
        <w:tc>
          <w:tcPr>
            <w:tcW w:type="dxa" w:w="1260"/>
          </w:tcPr>
          <w:p>
            <w:pPr>
              <w:spacing w:after="20" w:before="0" w:line="240" w:lineRule="auto"/>
            </w:pPr>
            <w:r/>
            <w:r>
              <w:rPr>
                <w:sz w:val="16"/>
              </w:rPr>
              <w:t>7,863</w:t>
            </w:r>
          </w:p>
        </w:tc>
        <w:tc>
          <w:tcPr>
            <w:tcW w:type="dxa" w:w="1260"/>
          </w:tcPr>
          <w:p>
            <w:pPr>
              <w:spacing w:after="20" w:before="0" w:line="240" w:lineRule="auto"/>
            </w:pPr>
            <w:r/>
            <w:r>
              <w:rPr>
                <w:sz w:val="16"/>
              </w:rPr>
              <w:t>7.45%</w:t>
            </w:r>
          </w:p>
        </w:tc>
        <w:tc>
          <w:tcPr>
            <w:tcW w:type="dxa" w:w="1260"/>
          </w:tcPr>
          <w:p>
            <w:pPr>
              <w:spacing w:after="20" w:before="0" w:line="240" w:lineRule="auto"/>
            </w:pPr>
            <w:r/>
            <w:r>
              <w:rPr>
                <w:sz w:val="16"/>
              </w:rPr>
              <w:t>31.42%</w:t>
            </w:r>
          </w:p>
        </w:tc>
        <w:tc>
          <w:tcPr>
            <w:tcW w:type="dxa" w:w="1260"/>
          </w:tcPr>
          <w:p>
            <w:pPr>
              <w:spacing w:after="20" w:before="0" w:line="240" w:lineRule="auto"/>
            </w:pPr>
            <w:r/>
            <w:r>
              <w:rPr>
                <w:sz w:val="16"/>
              </w:rPr>
              <w:t>10.50%</w:t>
            </w:r>
          </w:p>
        </w:tc>
      </w:tr>
      <w:tr>
        <w:tc>
          <w:tcPr>
            <w:tcW w:type="dxa" w:w="1260"/>
          </w:tcPr>
          <w:p>
            <w:pPr>
              <w:spacing w:after="20" w:before="0" w:line="240" w:lineRule="auto"/>
            </w:pPr>
            <w:r/>
            <w:r>
              <w:rPr>
                <w:sz w:val="16"/>
              </w:rPr>
              <w:t>Autoencoder (benign-only, 95th-pct)</w:t>
            </w:r>
          </w:p>
        </w:tc>
        <w:tc>
          <w:tcPr>
            <w:tcW w:type="dxa" w:w="1260"/>
          </w:tcPr>
          <w:p>
            <w:pPr>
              <w:spacing w:after="20" w:before="0" w:line="240" w:lineRule="auto"/>
            </w:pPr>
            <w:r/>
            <w:r>
              <w:rPr>
                <w:sz w:val="16"/>
              </w:rPr>
              <w:t>110,007</w:t>
            </w:r>
          </w:p>
        </w:tc>
        <w:tc>
          <w:tcPr>
            <w:tcW w:type="dxa" w:w="1260"/>
          </w:tcPr>
          <w:p>
            <w:pPr>
              <w:spacing w:after="20" w:before="0" w:line="240" w:lineRule="auto"/>
            </w:pPr>
            <w:r/>
            <w:r>
              <w:rPr>
                <w:sz w:val="16"/>
              </w:rPr>
              <w:t>5,707</w:t>
            </w:r>
          </w:p>
        </w:tc>
        <w:tc>
          <w:tcPr>
            <w:tcW w:type="dxa" w:w="1260"/>
          </w:tcPr>
          <w:p>
            <w:pPr>
              <w:spacing w:after="20" w:before="0" w:line="240" w:lineRule="auto"/>
            </w:pPr>
            <w:r/>
            <w:r>
              <w:rPr>
                <w:sz w:val="16"/>
              </w:rPr>
              <w:t>103,131</w:t>
            </w:r>
          </w:p>
        </w:tc>
        <w:tc>
          <w:tcPr>
            <w:tcW w:type="dxa" w:w="1260"/>
          </w:tcPr>
          <w:p>
            <w:pPr>
              <w:spacing w:after="20" w:before="0" w:line="240" w:lineRule="auto"/>
            </w:pPr>
            <w:r/>
            <w:r>
              <w:rPr>
                <w:sz w:val="16"/>
              </w:rPr>
              <w:t>2,470</w:t>
            </w:r>
          </w:p>
        </w:tc>
        <w:tc>
          <w:tcPr>
            <w:tcW w:type="dxa" w:w="1260"/>
          </w:tcPr>
          <w:p>
            <w:pPr>
              <w:spacing w:after="20" w:before="0" w:line="240" w:lineRule="auto"/>
            </w:pPr>
            <w:r/>
            <w:r>
              <w:rPr>
                <w:sz w:val="16"/>
              </w:rPr>
              <w:t>2.34%</w:t>
            </w:r>
          </w:p>
        </w:tc>
        <w:tc>
          <w:tcPr>
            <w:tcW w:type="dxa" w:w="1260"/>
          </w:tcPr>
          <w:p>
            <w:pPr>
              <w:spacing w:after="20" w:before="0" w:line="240" w:lineRule="auto"/>
            </w:pPr>
            <w:r/>
            <w:r>
              <w:rPr>
                <w:sz w:val="16"/>
              </w:rPr>
              <w:t>4.93%</w:t>
            </w:r>
          </w:p>
        </w:tc>
        <w:tc>
          <w:tcPr>
            <w:tcW w:type="dxa" w:w="1260"/>
          </w:tcPr>
          <w:p>
            <w:pPr>
              <w:spacing w:after="20" w:before="0" w:line="240" w:lineRule="auto"/>
            </w:pPr>
            <w:r/>
            <w:r>
              <w:rPr>
                <w:sz w:val="16"/>
              </w:rPr>
              <w:t>4.34%</w:t>
            </w:r>
          </w:p>
        </w:tc>
      </w:tr>
    </w:tbl>
    <w:p>
      <w:r>
        <w:t>Supervised models land almost on top of each other (F1 within 0.05, recall &gt;99.8%, FPR ~40.5%) despite unrelated architectures. Both unsupervised models fail the same direction (recall &lt;8%); Autoencoder's lower FPR isn't favourable — next to 2.34% recall, close to constant-negative.</w:t>
      </w:r>
    </w:p>
    <w:p>
      <w:r>
        <w:rPr>
          <w:b/>
        </w:rPr>
        <w:t>Dataset B — XGBoost:</w:t>
      </w:r>
      <w:r>
        <w:t xml:space="preserve"> TN=19,807, FP=0, FN=4, TP=19,803 — recall 99.98%, FPR </w:t>
      </w:r>
      <w:r>
        <w:rPr>
          <w:b/>
        </w:rPr>
        <w:t>0.0000%</w:t>
      </w:r>
      <w:r>
        <w:t xml:space="preserve">, F1 0.9999. 2 of 4 FNs route through </w:t>
      </w:r>
      <w:r>
        <w:rPr>
          <w:rFonts w:ascii="Consolas" w:hAnsi="Consolas"/>
          <w:sz w:val="20"/>
        </w:rPr>
        <w:t>SourceIP=1.1.1.1</w:t>
      </w:r>
      <w:r>
        <w:t xml:space="preserve"> (Cloudflare's public DoH resolver), not the fixed testbed IPs every other malicious row uses.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40"/>
        <w:gridCol w:w="1440"/>
        <w:gridCol w:w="1440"/>
        <w:gridCol w:w="1440"/>
        <w:gridCol w:w="1440"/>
        <w:gridCol w:w="1440"/>
        <w:gridCol w:w="1440"/>
      </w:tblGrid>
      <w:tr>
        <w:tc>
          <w:tcPr>
            <w:tcW w:type="dxa" w:w="1440"/>
          </w:tcPr>
          <w:p>
            <w:pPr>
              <w:spacing w:after="20" w:before="0" w:line="240" w:lineRule="auto"/>
            </w:pPr>
            <w:r/>
            <w:r>
              <w:rPr>
                <w:b/>
                <w:sz w:val="16"/>
              </w:rPr>
              <w:t>model</w:t>
            </w:r>
          </w:p>
        </w:tc>
        <w:tc>
          <w:tcPr>
            <w:tcW w:type="dxa" w:w="1440"/>
          </w:tcPr>
          <w:p>
            <w:pPr>
              <w:spacing w:after="20" w:before="0" w:line="240" w:lineRule="auto"/>
            </w:pPr>
            <w:r/>
            <w:r>
              <w:rPr>
                <w:b/>
                <w:sz w:val="16"/>
              </w:rPr>
              <w:t>framing</w:t>
            </w:r>
          </w:p>
        </w:tc>
        <w:tc>
          <w:tcPr>
            <w:tcW w:type="dxa" w:w="1440"/>
          </w:tcPr>
          <w:p>
            <w:pPr>
              <w:spacing w:after="20" w:before="0" w:line="240" w:lineRule="auto"/>
            </w:pPr>
            <w:r/>
            <w:r>
              <w:rPr>
                <w:b/>
                <w:sz w:val="16"/>
              </w:rPr>
              <w:t>precision</w:t>
            </w:r>
          </w:p>
        </w:tc>
        <w:tc>
          <w:tcPr>
            <w:tcW w:type="dxa" w:w="1440"/>
          </w:tcPr>
          <w:p>
            <w:pPr>
              <w:spacing w:after="20" w:before="0" w:line="240" w:lineRule="auto"/>
            </w:pPr>
            <w:r/>
            <w:r>
              <w:rPr>
                <w:b/>
                <w:sz w:val="16"/>
              </w:rPr>
              <w:t>recall</w:t>
            </w:r>
          </w:p>
        </w:tc>
        <w:tc>
          <w:tcPr>
            <w:tcW w:type="dxa" w:w="1440"/>
          </w:tcPr>
          <w:p>
            <w:pPr>
              <w:spacing w:after="20" w:before="0" w:line="240" w:lineRule="auto"/>
            </w:pPr>
            <w:r/>
            <w:r>
              <w:rPr>
                <w:b/>
                <w:sz w:val="16"/>
              </w:rPr>
              <w:t>FPR</w:t>
            </w:r>
          </w:p>
        </w:tc>
        <w:tc>
          <w:tcPr>
            <w:tcW w:type="dxa" w:w="1440"/>
          </w:tcPr>
          <w:p>
            <w:pPr>
              <w:spacing w:after="20" w:before="0" w:line="240" w:lineRule="auto"/>
            </w:pPr>
            <w:r/>
            <w:r>
              <w:rPr>
                <w:b/>
                <w:sz w:val="16"/>
              </w:rPr>
              <w:t>F1</w:t>
            </w:r>
          </w:p>
        </w:tc>
        <w:tc>
          <w:tcPr>
            <w:tcW w:type="dxa" w:w="1440"/>
          </w:tcPr>
          <w:p>
            <w:pPr>
              <w:spacing w:after="20" w:before="0" w:line="240" w:lineRule="auto"/>
            </w:pPr>
            <w:r/>
            <w:r>
              <w:rPr>
                <w:b/>
                <w:sz w:val="16"/>
              </w:rPr>
              <w:t>ROC-AUC</w:t>
            </w:r>
          </w:p>
        </w:tc>
      </w:tr>
      <w:tr>
        <w:tc>
          <w:tcPr>
            <w:tcW w:type="dxa" w:w="1440"/>
          </w:tcPr>
          <w:p>
            <w:pPr>
              <w:spacing w:after="20" w:before="0" w:line="240" w:lineRule="auto"/>
            </w:pPr>
            <w:r/>
            <w:r>
              <w:rPr>
                <w:sz w:val="16"/>
              </w:rPr>
              <w:t>CNN</w:t>
            </w:r>
          </w:p>
        </w:tc>
        <w:tc>
          <w:tcPr>
            <w:tcW w:type="dxa" w:w="1440"/>
          </w:tcPr>
          <w:p>
            <w:pPr>
              <w:spacing w:after="20" w:before="0" w:line="240" w:lineRule="auto"/>
            </w:pPr>
            <w:r/>
            <w:r>
              <w:rPr>
                <w:sz w:val="16"/>
              </w:rPr>
              <w:t>hard</w:t>
            </w:r>
          </w:p>
        </w:tc>
        <w:tc>
          <w:tcPr>
            <w:tcW w:type="dxa" w:w="1440"/>
          </w:tcPr>
          <w:p>
            <w:pPr>
              <w:spacing w:after="20" w:before="0" w:line="240" w:lineRule="auto"/>
            </w:pPr>
            <w:r/>
            <w:r>
              <w:rPr>
                <w:sz w:val="16"/>
              </w:rPr>
              <w:t>0.9956</w:t>
            </w:r>
          </w:p>
        </w:tc>
        <w:tc>
          <w:tcPr>
            <w:tcW w:type="dxa" w:w="1440"/>
          </w:tcPr>
          <w:p>
            <w:pPr>
              <w:spacing w:after="20" w:before="0" w:line="240" w:lineRule="auto"/>
            </w:pPr>
            <w:r/>
            <w:r>
              <w:rPr>
                <w:sz w:val="16"/>
              </w:rPr>
              <w:t>0.9920</w:t>
            </w:r>
          </w:p>
        </w:tc>
        <w:tc>
          <w:tcPr>
            <w:tcW w:type="dxa" w:w="1440"/>
          </w:tcPr>
          <w:p>
            <w:pPr>
              <w:spacing w:after="20" w:before="0" w:line="240" w:lineRule="auto"/>
            </w:pPr>
            <w:r/>
            <w:r>
              <w:rPr>
                <w:sz w:val="16"/>
              </w:rPr>
              <w:t>0.0044</w:t>
            </w:r>
          </w:p>
        </w:tc>
        <w:tc>
          <w:tcPr>
            <w:tcW w:type="dxa" w:w="1440"/>
          </w:tcPr>
          <w:p>
            <w:pPr>
              <w:spacing w:after="20" w:before="0" w:line="240" w:lineRule="auto"/>
            </w:pPr>
            <w:r/>
            <w:r>
              <w:rPr>
                <w:sz w:val="16"/>
              </w:rPr>
              <w:t>0.9938</w:t>
            </w:r>
          </w:p>
        </w:tc>
        <w:tc>
          <w:tcPr>
            <w:tcW w:type="dxa" w:w="1440"/>
          </w:tcPr>
          <w:p>
            <w:pPr>
              <w:spacing w:after="20" w:before="0" w:line="240" w:lineRule="auto"/>
            </w:pPr>
            <w:r/>
            <w:r>
              <w:rPr>
                <w:sz w:val="16"/>
              </w:rPr>
              <w:t>0.9995</w:t>
            </w:r>
          </w:p>
        </w:tc>
      </w:tr>
      <w:tr>
        <w:tc>
          <w:tcPr>
            <w:tcW w:type="dxa" w:w="1440"/>
          </w:tcPr>
          <w:p>
            <w:pPr>
              <w:spacing w:after="20" w:before="0" w:line="240" w:lineRule="auto"/>
            </w:pPr>
            <w:r/>
            <w:r>
              <w:rPr>
                <w:sz w:val="16"/>
              </w:rPr>
              <w:t>Isolation Forest</w:t>
            </w:r>
          </w:p>
        </w:tc>
        <w:tc>
          <w:tcPr>
            <w:tcW w:type="dxa" w:w="1440"/>
          </w:tcPr>
          <w:p>
            <w:pPr>
              <w:spacing w:after="20" w:before="0" w:line="240" w:lineRule="auto"/>
            </w:pPr>
            <w:r/>
            <w:r>
              <w:rPr>
                <w:sz w:val="16"/>
              </w:rPr>
              <w:t>hard</w:t>
            </w:r>
          </w:p>
        </w:tc>
        <w:tc>
          <w:tcPr>
            <w:tcW w:type="dxa" w:w="1440"/>
          </w:tcPr>
          <w:p>
            <w:pPr>
              <w:spacing w:after="20" w:before="0" w:line="240" w:lineRule="auto"/>
            </w:pPr>
            <w:r/>
            <w:r>
              <w:rPr>
                <w:sz w:val="16"/>
              </w:rPr>
              <w:t>0.5951</w:t>
            </w:r>
          </w:p>
        </w:tc>
        <w:tc>
          <w:tcPr>
            <w:tcW w:type="dxa" w:w="1440"/>
          </w:tcPr>
          <w:p>
            <w:pPr>
              <w:spacing w:after="20" w:before="0" w:line="240" w:lineRule="auto"/>
            </w:pPr>
            <w:r/>
            <w:r>
              <w:rPr>
                <w:sz w:val="16"/>
              </w:rPr>
              <w:t>0.2391</w:t>
            </w:r>
          </w:p>
        </w:tc>
        <w:tc>
          <w:tcPr>
            <w:tcW w:type="dxa" w:w="1440"/>
          </w:tcPr>
          <w:p>
            <w:pPr>
              <w:spacing w:after="20" w:before="0" w:line="240" w:lineRule="auto"/>
            </w:pPr>
            <w:r/>
            <w:r>
              <w:rPr>
                <w:sz w:val="16"/>
              </w:rPr>
              <w:t>0.1627</w:t>
            </w:r>
          </w:p>
        </w:tc>
        <w:tc>
          <w:tcPr>
            <w:tcW w:type="dxa" w:w="1440"/>
          </w:tcPr>
          <w:p>
            <w:pPr>
              <w:spacing w:after="20" w:before="0" w:line="240" w:lineRule="auto"/>
            </w:pPr>
            <w:r/>
            <w:r>
              <w:rPr>
                <w:sz w:val="16"/>
              </w:rPr>
              <w:t>0.3411</w:t>
            </w:r>
          </w:p>
        </w:tc>
        <w:tc>
          <w:tcPr>
            <w:tcW w:type="dxa" w:w="1440"/>
          </w:tcPr>
          <w:p>
            <w:pPr>
              <w:spacing w:after="20" w:before="0" w:line="240" w:lineRule="auto"/>
            </w:pPr>
            <w:r/>
            <w:r>
              <w:rPr>
                <w:sz w:val="16"/>
              </w:rPr>
              <w:t>0.4611</w:t>
            </w:r>
          </w:p>
        </w:tc>
      </w:tr>
      <w:tr>
        <w:tc>
          <w:tcPr>
            <w:tcW w:type="dxa" w:w="1440"/>
          </w:tcPr>
          <w:p>
            <w:pPr>
              <w:spacing w:after="20" w:before="0" w:line="240" w:lineRule="auto"/>
            </w:pPr>
            <w:r/>
            <w:r>
              <w:rPr>
                <w:sz w:val="16"/>
              </w:rPr>
              <w:t>Isolation Forest</w:t>
            </w:r>
          </w:p>
        </w:tc>
        <w:tc>
          <w:tcPr>
            <w:tcW w:type="dxa" w:w="1440"/>
          </w:tcPr>
          <w:p>
            <w:pPr>
              <w:spacing w:after="20" w:before="0" w:line="240" w:lineRule="auto"/>
            </w:pPr>
            <w:r/>
            <w:r>
              <w:rPr>
                <w:sz w:val="16"/>
              </w:rPr>
              <w:t>easy</w:t>
            </w:r>
          </w:p>
        </w:tc>
        <w:tc>
          <w:tcPr>
            <w:tcW w:type="dxa" w:w="1440"/>
          </w:tcPr>
          <w:p>
            <w:pPr>
              <w:spacing w:after="20" w:before="0" w:line="240" w:lineRule="auto"/>
            </w:pPr>
            <w:r/>
            <w:r>
              <w:rPr>
                <w:sz w:val="16"/>
              </w:rPr>
              <w:t>0.3441</w:t>
            </w:r>
          </w:p>
        </w:tc>
        <w:tc>
          <w:tcPr>
            <w:tcW w:type="dxa" w:w="1440"/>
          </w:tcPr>
          <w:p>
            <w:pPr>
              <w:spacing w:after="20" w:before="0" w:line="240" w:lineRule="auto"/>
            </w:pPr>
            <w:r/>
            <w:r>
              <w:rPr>
                <w:sz w:val="16"/>
              </w:rPr>
              <w:t>0.3218</w:t>
            </w:r>
          </w:p>
        </w:tc>
        <w:tc>
          <w:tcPr>
            <w:tcW w:type="dxa" w:w="1440"/>
          </w:tcPr>
          <w:p>
            <w:pPr>
              <w:spacing w:after="20" w:before="0" w:line="240" w:lineRule="auto"/>
            </w:pPr>
            <w:r/>
            <w:r>
              <w:rPr>
                <w:sz w:val="16"/>
              </w:rPr>
              <w:t>0.1671</w:t>
            </w:r>
          </w:p>
        </w:tc>
        <w:tc>
          <w:tcPr>
            <w:tcW w:type="dxa" w:w="1440"/>
          </w:tcPr>
          <w:p>
            <w:pPr>
              <w:spacing w:after="20" w:before="0" w:line="240" w:lineRule="auto"/>
            </w:pPr>
            <w:r/>
            <w:r>
              <w:rPr>
                <w:sz w:val="16"/>
              </w:rPr>
              <w:t>0.3326</w:t>
            </w:r>
          </w:p>
        </w:tc>
        <w:tc>
          <w:tcPr>
            <w:tcW w:type="dxa" w:w="1440"/>
          </w:tcPr>
          <w:p>
            <w:pPr>
              <w:spacing w:after="20" w:before="0" w:line="240" w:lineRule="auto"/>
            </w:pPr>
            <w:r/>
            <w:r>
              <w:rPr>
                <w:sz w:val="16"/>
              </w:rPr>
              <w:t>0.5572</w:t>
            </w:r>
          </w:p>
        </w:tc>
      </w:tr>
      <w:tr>
        <w:tc>
          <w:tcPr>
            <w:tcW w:type="dxa" w:w="1440"/>
          </w:tcPr>
          <w:p>
            <w:pPr>
              <w:spacing w:after="20" w:before="0" w:line="240" w:lineRule="auto"/>
            </w:pPr>
            <w:r/>
            <w:r>
              <w:rPr>
                <w:sz w:val="16"/>
              </w:rPr>
              <w:t>Autoencoder</w:t>
            </w:r>
          </w:p>
        </w:tc>
        <w:tc>
          <w:tcPr>
            <w:tcW w:type="dxa" w:w="1440"/>
          </w:tcPr>
          <w:p>
            <w:pPr>
              <w:spacing w:after="20" w:before="0" w:line="240" w:lineRule="auto"/>
            </w:pPr>
            <w:r/>
            <w:r>
              <w:rPr>
                <w:sz w:val="16"/>
              </w:rPr>
              <w:t>hard</w:t>
            </w:r>
          </w:p>
        </w:tc>
        <w:tc>
          <w:tcPr>
            <w:tcW w:type="dxa" w:w="1440"/>
          </w:tcPr>
          <w:p>
            <w:pPr>
              <w:spacing w:after="20" w:before="0" w:line="240" w:lineRule="auto"/>
            </w:pPr>
            <w:r/>
            <w:r>
              <w:rPr>
                <w:sz w:val="16"/>
              </w:rPr>
              <w:t>0.8400</w:t>
            </w:r>
          </w:p>
        </w:tc>
        <w:tc>
          <w:tcPr>
            <w:tcW w:type="dxa" w:w="1440"/>
          </w:tcPr>
          <w:p>
            <w:pPr>
              <w:spacing w:after="20" w:before="0" w:line="240" w:lineRule="auto"/>
            </w:pPr>
            <w:r/>
            <w:r>
              <w:rPr>
                <w:sz w:val="16"/>
              </w:rPr>
              <w:t>0.2681</w:t>
            </w:r>
          </w:p>
        </w:tc>
        <w:tc>
          <w:tcPr>
            <w:tcW w:type="dxa" w:w="1440"/>
          </w:tcPr>
          <w:p>
            <w:pPr>
              <w:spacing w:after="20" w:before="0" w:line="240" w:lineRule="auto"/>
            </w:pPr>
            <w:r/>
            <w:r>
              <w:rPr>
                <w:sz w:val="16"/>
              </w:rPr>
              <w:t>0.0508</w:t>
            </w:r>
          </w:p>
        </w:tc>
        <w:tc>
          <w:tcPr>
            <w:tcW w:type="dxa" w:w="1440"/>
          </w:tcPr>
          <w:p>
            <w:pPr>
              <w:spacing w:after="20" w:before="0" w:line="240" w:lineRule="auto"/>
            </w:pPr>
            <w:r/>
            <w:r>
              <w:rPr>
                <w:sz w:val="16"/>
              </w:rPr>
              <w:t>0.4064</w:t>
            </w:r>
          </w:p>
        </w:tc>
        <w:tc>
          <w:tcPr>
            <w:tcW w:type="dxa" w:w="1440"/>
          </w:tcPr>
          <w:p>
            <w:pPr>
              <w:spacing w:after="20" w:before="0" w:line="240" w:lineRule="auto"/>
            </w:pPr>
            <w:r/>
            <w:r>
              <w:rPr>
                <w:sz w:val="16"/>
              </w:rPr>
              <w:t>0.7903</w:t>
            </w:r>
          </w:p>
        </w:tc>
      </w:tr>
    </w:tbl>
    <w:p>
      <w:r>
        <w:t>Dataset B: XGBoost/CNN stay excellent; unsupervised models better than on A (F1 0.34–0.41 vs. 0.10–0.04), neither clears a useful threshold.</w:t>
      </w:r>
    </w:p>
    <w:p>
      <w:pPr>
        <w:pStyle w:val="Heading2"/>
      </w:pPr>
      <w:r>
        <w:t>8.1.2 Per-subclass recall — heavy vs. light (Dataset A)</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model</w:t>
            </w:r>
          </w:p>
        </w:tc>
        <w:tc>
          <w:tcPr>
            <w:tcW w:type="dxa" w:w="2016"/>
          </w:tcPr>
          <w:p>
            <w:pPr>
              <w:spacing w:after="20" w:before="0" w:line="240" w:lineRule="auto"/>
            </w:pPr>
            <w:r/>
            <w:r>
              <w:rPr>
                <w:b/>
                <w:sz w:val="16"/>
              </w:rPr>
              <w:t>heavy recall</w:t>
            </w:r>
          </w:p>
        </w:tc>
        <w:tc>
          <w:tcPr>
            <w:tcW w:type="dxa" w:w="2016"/>
          </w:tcPr>
          <w:p>
            <w:pPr>
              <w:spacing w:after="20" w:before="0" w:line="240" w:lineRule="auto"/>
            </w:pPr>
            <w:r/>
            <w:r>
              <w:rPr>
                <w:b/>
                <w:sz w:val="16"/>
              </w:rPr>
              <w:t>light recall</w:t>
            </w:r>
          </w:p>
        </w:tc>
        <w:tc>
          <w:tcPr>
            <w:tcW w:type="dxa" w:w="2016"/>
          </w:tcPr>
          <w:p>
            <w:pPr>
              <w:spacing w:after="20" w:before="0" w:line="240" w:lineRule="auto"/>
            </w:pPr>
            <w:r/>
            <w:r>
              <w:rPr>
                <w:b/>
                <w:sz w:val="16"/>
              </w:rPr>
              <w:t>overall recall</w:t>
            </w:r>
          </w:p>
        </w:tc>
        <w:tc>
          <w:tcPr>
            <w:tcW w:type="dxa" w:w="2016"/>
          </w:tcPr>
          <w:p>
            <w:pPr>
              <w:spacing w:after="20" w:before="0" w:line="240" w:lineRule="auto"/>
            </w:pPr>
            <w:r/>
            <w:r>
              <w:rPr>
                <w:b/>
                <w:sz w:val="16"/>
              </w:rPr>
              <w:t>gap</w:t>
            </w:r>
          </w:p>
        </w:tc>
      </w:tr>
      <w:tr>
        <w:tc>
          <w:tcPr>
            <w:tcW w:type="dxa" w:w="2016"/>
          </w:tcPr>
          <w:p>
            <w:pPr>
              <w:spacing w:after="20" w:before="0" w:line="240" w:lineRule="auto"/>
            </w:pPr>
            <w:r/>
            <w:r>
              <w:rPr>
                <w:sz w:val="16"/>
              </w:rPr>
              <w:t>XGBoost</w:t>
            </w:r>
          </w:p>
        </w:tc>
        <w:tc>
          <w:tcPr>
            <w:tcW w:type="dxa" w:w="2016"/>
          </w:tcPr>
          <w:p>
            <w:pPr>
              <w:spacing w:after="20" w:before="0" w:line="240" w:lineRule="auto"/>
            </w:pPr>
            <w:r/>
            <w:r>
              <w:rPr>
                <w:sz w:val="16"/>
              </w:rPr>
              <w:t>99.94%</w:t>
            </w:r>
          </w:p>
        </w:tc>
        <w:tc>
          <w:tcPr>
            <w:tcW w:type="dxa" w:w="2016"/>
          </w:tcPr>
          <w:p>
            <w:pPr>
              <w:spacing w:after="20" w:before="0" w:line="240" w:lineRule="auto"/>
            </w:pPr>
            <w:r/>
            <w:r>
              <w:rPr>
                <w:sz w:val="16"/>
              </w:rPr>
              <w:t>99.95%</w:t>
            </w:r>
          </w:p>
        </w:tc>
        <w:tc>
          <w:tcPr>
            <w:tcW w:type="dxa" w:w="2016"/>
          </w:tcPr>
          <w:p>
            <w:pPr>
              <w:spacing w:after="20" w:before="0" w:line="240" w:lineRule="auto"/>
            </w:pPr>
            <w:r/>
            <w:r>
              <w:rPr>
                <w:sz w:val="16"/>
              </w:rPr>
              <w:t>99.95%</w:t>
            </w:r>
          </w:p>
        </w:tc>
        <w:tc>
          <w:tcPr>
            <w:tcW w:type="dxa" w:w="2016"/>
          </w:tcPr>
          <w:p>
            <w:pPr>
              <w:spacing w:after="20" w:before="0" w:line="240" w:lineRule="auto"/>
            </w:pPr>
            <w:r/>
            <w:r>
              <w:rPr>
                <w:sz w:val="16"/>
              </w:rPr>
              <w:t>−0.01 pp</w:t>
            </w:r>
          </w:p>
        </w:tc>
      </w:tr>
      <w:tr>
        <w:tc>
          <w:tcPr>
            <w:tcW w:type="dxa" w:w="2016"/>
          </w:tcPr>
          <w:p>
            <w:pPr>
              <w:spacing w:after="20" w:before="0" w:line="240" w:lineRule="auto"/>
            </w:pPr>
            <w:r/>
            <w:r>
              <w:rPr>
                <w:sz w:val="16"/>
              </w:rPr>
              <w:t>CNN</w:t>
            </w:r>
          </w:p>
        </w:tc>
        <w:tc>
          <w:tcPr>
            <w:tcW w:type="dxa" w:w="2016"/>
          </w:tcPr>
          <w:p>
            <w:pPr>
              <w:spacing w:after="20" w:before="0" w:line="240" w:lineRule="auto"/>
            </w:pPr>
            <w:r/>
            <w:r>
              <w:rPr>
                <w:sz w:val="16"/>
              </w:rPr>
              <w:t>99.79%</w:t>
            </w:r>
          </w:p>
        </w:tc>
        <w:tc>
          <w:tcPr>
            <w:tcW w:type="dxa" w:w="2016"/>
          </w:tcPr>
          <w:p>
            <w:pPr>
              <w:spacing w:after="20" w:before="0" w:line="240" w:lineRule="auto"/>
            </w:pPr>
            <w:r/>
            <w:r>
              <w:rPr>
                <w:sz w:val="16"/>
              </w:rPr>
              <w:t>99.87%</w:t>
            </w:r>
          </w:p>
        </w:tc>
        <w:tc>
          <w:tcPr>
            <w:tcW w:type="dxa" w:w="2016"/>
          </w:tcPr>
          <w:p>
            <w:pPr>
              <w:spacing w:after="20" w:before="0" w:line="240" w:lineRule="auto"/>
            </w:pPr>
            <w:r/>
            <w:r>
              <w:rPr>
                <w:sz w:val="16"/>
              </w:rPr>
              <w:t>99.82%</w:t>
            </w:r>
          </w:p>
        </w:tc>
        <w:tc>
          <w:tcPr>
            <w:tcW w:type="dxa" w:w="2016"/>
          </w:tcPr>
          <w:p>
            <w:pPr>
              <w:spacing w:after="20" w:before="0" w:line="240" w:lineRule="auto"/>
            </w:pPr>
            <w:r/>
            <w:r>
              <w:rPr>
                <w:sz w:val="16"/>
              </w:rPr>
              <w:t>−0.08 pp</w:t>
            </w:r>
          </w:p>
        </w:tc>
      </w:tr>
      <w:tr>
        <w:tc>
          <w:tcPr>
            <w:tcW w:type="dxa" w:w="2016"/>
          </w:tcPr>
          <w:p>
            <w:pPr>
              <w:spacing w:after="20" w:before="0" w:line="240" w:lineRule="auto"/>
            </w:pPr>
            <w:r/>
            <w:r>
              <w:rPr>
                <w:sz w:val="16"/>
              </w:rPr>
              <w:t>Isolation Forest</w:t>
            </w:r>
          </w:p>
        </w:tc>
        <w:tc>
          <w:tcPr>
            <w:tcW w:type="dxa" w:w="2016"/>
          </w:tcPr>
          <w:p>
            <w:pPr>
              <w:spacing w:after="20" w:before="0" w:line="240" w:lineRule="auto"/>
            </w:pPr>
            <w:r/>
            <w:r>
              <w:rPr>
                <w:sz w:val="16"/>
              </w:rPr>
              <w:t>7.57%</w:t>
            </w:r>
          </w:p>
        </w:tc>
        <w:tc>
          <w:tcPr>
            <w:tcW w:type="dxa" w:w="2016"/>
          </w:tcPr>
          <w:p>
            <w:pPr>
              <w:spacing w:after="20" w:before="0" w:line="240" w:lineRule="auto"/>
            </w:pPr>
            <w:r/>
            <w:r>
              <w:rPr>
                <w:sz w:val="16"/>
              </w:rPr>
              <w:t>7.26%</w:t>
            </w:r>
          </w:p>
        </w:tc>
        <w:tc>
          <w:tcPr>
            <w:tcW w:type="dxa" w:w="2016"/>
          </w:tcPr>
          <w:p>
            <w:pPr>
              <w:spacing w:after="20" w:before="0" w:line="240" w:lineRule="auto"/>
            </w:pPr>
            <w:r/>
            <w:r>
              <w:rPr>
                <w:sz w:val="16"/>
              </w:rPr>
              <w:t>7.45%</w:t>
            </w:r>
          </w:p>
        </w:tc>
        <w:tc>
          <w:tcPr>
            <w:tcW w:type="dxa" w:w="2016"/>
          </w:tcPr>
          <w:p>
            <w:pPr>
              <w:spacing w:after="20" w:before="0" w:line="240" w:lineRule="auto"/>
            </w:pPr>
            <w:r/>
            <w:r>
              <w:rPr>
                <w:sz w:val="16"/>
              </w:rPr>
              <w:t>+0.31 pp</w:t>
            </w:r>
          </w:p>
        </w:tc>
      </w:tr>
      <w:tr>
        <w:tc>
          <w:tcPr>
            <w:tcW w:type="dxa" w:w="2016"/>
          </w:tcPr>
          <w:p>
            <w:pPr>
              <w:spacing w:after="20" w:before="0" w:line="240" w:lineRule="auto"/>
            </w:pPr>
            <w:r/>
            <w:r>
              <w:rPr>
                <w:sz w:val="16"/>
              </w:rPr>
              <w:t>Autoencoder</w:t>
            </w:r>
          </w:p>
        </w:tc>
        <w:tc>
          <w:tcPr>
            <w:tcW w:type="dxa" w:w="2016"/>
          </w:tcPr>
          <w:p>
            <w:pPr>
              <w:spacing w:after="20" w:before="0" w:line="240" w:lineRule="auto"/>
            </w:pPr>
            <w:r/>
            <w:r>
              <w:rPr>
                <w:sz w:val="16"/>
              </w:rPr>
              <w:t>2.41%</w:t>
            </w:r>
          </w:p>
        </w:tc>
        <w:tc>
          <w:tcPr>
            <w:tcW w:type="dxa" w:w="2016"/>
          </w:tcPr>
          <w:p>
            <w:pPr>
              <w:spacing w:after="20" w:before="0" w:line="240" w:lineRule="auto"/>
            </w:pPr>
            <w:r/>
            <w:r>
              <w:rPr>
                <w:sz w:val="16"/>
              </w:rPr>
              <w:t>2.24%</w:t>
            </w:r>
          </w:p>
        </w:tc>
        <w:tc>
          <w:tcPr>
            <w:tcW w:type="dxa" w:w="2016"/>
          </w:tcPr>
          <w:p>
            <w:pPr>
              <w:spacing w:after="20" w:before="0" w:line="240" w:lineRule="auto"/>
            </w:pPr>
            <w:r/>
            <w:r>
              <w:rPr>
                <w:sz w:val="16"/>
              </w:rPr>
              <w:t>2.34%</w:t>
            </w:r>
          </w:p>
        </w:tc>
        <w:tc>
          <w:tcPr>
            <w:tcW w:type="dxa" w:w="2016"/>
          </w:tcPr>
          <w:p>
            <w:pPr>
              <w:spacing w:after="20" w:before="0" w:line="240" w:lineRule="auto"/>
            </w:pPr>
            <w:r/>
            <w:r>
              <w:rPr>
                <w:sz w:val="16"/>
              </w:rPr>
              <w:t>+0.17 pp</w:t>
            </w:r>
          </w:p>
        </w:tc>
      </w:tr>
    </w:tbl>
    <w:p>
      <w:r>
        <w:t>All four agree: no meaningful heavy/light recall gap — fourth independent confirmation of Ch. 3's finding that light/heavy sit at statistically equal distance from benign.</w:t>
      </w:r>
    </w:p>
    <w:p>
      <w:pPr>
        <w:pStyle w:val="Heading2"/>
      </w:pPr>
      <w:r>
        <w:t>8.1.3 False negative / false positive forensics</w:t>
      </w:r>
    </w:p>
    <w:p>
      <w:r>
        <w:rPr>
          <w:rFonts w:ascii="Consolas" w:hAnsi="Consolas"/>
          <w:sz w:val="20"/>
        </w:rPr>
        <w:t>sld</w:t>
      </w:r>
      <w:r>
        <w:t xml:space="preserve"> pulled for interpretability only, never as a feature.</w:t>
      </w:r>
    </w:p>
    <w:p>
      <w:pPr>
        <w:pStyle w:val="ListBullet"/>
      </w:pPr>
      <w:r>
        <w:rPr>
          <w:b/>
        </w:rPr>
        <w:t>XGBoost</w:t>
      </w:r>
      <w:r>
        <w:t xml:space="preserve"> FNs: </w:t>
      </w:r>
      <w:r>
        <w:rPr>
          <w:rFonts w:ascii="Consolas" w:hAnsi="Consolas"/>
          <w:sz w:val="20"/>
        </w:rPr>
        <w:t>msftncsi</w:t>
      </w:r>
      <w:r>
        <w:t xml:space="preserve">, </w:t>
      </w:r>
      <w:r>
        <w:rPr>
          <w:rFonts w:ascii="Consolas" w:hAnsi="Consolas"/>
          <w:sz w:val="20"/>
        </w:rPr>
        <w:t>gstatic</w:t>
      </w:r>
      <w:r>
        <w:t xml:space="preserve">, </w:t>
      </w:r>
      <w:r>
        <w:rPr>
          <w:rFonts w:ascii="Consolas" w:hAnsi="Consolas"/>
          <w:sz w:val="20"/>
        </w:rPr>
        <w:t>googleapis</w:t>
      </w:r>
      <w:r>
        <w:t xml:space="preserve">, </w:t>
      </w:r>
      <w:r>
        <w:rPr>
          <w:rFonts w:ascii="Consolas" w:hAnsi="Consolas"/>
          <w:sz w:val="20"/>
        </w:rPr>
        <w:t>office</w:t>
      </w:r>
      <w:r>
        <w:t xml:space="preserve">, </w:t>
      </w:r>
      <w:r>
        <w:rPr>
          <w:rFonts w:ascii="Consolas" w:hAnsi="Consolas"/>
          <w:sz w:val="20"/>
        </w:rPr>
        <w:t>wireshark</w:t>
      </w:r>
      <w:r>
        <w:t xml:space="preserve"> (trusted-name camouflage).</w:t>
      </w:r>
    </w:p>
    <w:p>
      <w:r>
        <w:t xml:space="preserve">  FPs: </w:t>
      </w:r>
      <w:r>
        <w:rPr>
          <w:rFonts w:ascii="Consolas" w:hAnsi="Consolas"/>
          <w:sz w:val="20"/>
        </w:rPr>
        <w:t>microsoft</w:t>
      </w:r>
      <w:r>
        <w:t xml:space="preserve">, </w:t>
      </w:r>
      <w:r>
        <w:rPr>
          <w:rFonts w:ascii="Consolas" w:hAnsi="Consolas"/>
          <w:sz w:val="20"/>
        </w:rPr>
        <w:t>windows</w:t>
      </w:r>
      <w:r>
        <w:t xml:space="preserve">, </w:t>
      </w:r>
      <w:r>
        <w:rPr>
          <w:rFonts w:ascii="Consolas" w:hAnsi="Consolas"/>
          <w:sz w:val="20"/>
        </w:rPr>
        <w:t>192</w:t>
      </w:r>
      <w:r>
        <w:t xml:space="preserve"> (numeric-shaped), </w:t>
      </w:r>
      <w:r>
        <w:rPr>
          <w:rFonts w:ascii="Consolas" w:hAnsi="Consolas"/>
          <w:sz w:val="20"/>
        </w:rPr>
        <w:t>atester</w:t>
      </w:r>
      <w:r>
        <w:t>.</w:t>
      </w:r>
    </w:p>
    <w:p>
      <w:pPr>
        <w:pStyle w:val="ListBullet"/>
      </w:pPr>
      <w:r>
        <w:rPr>
          <w:b/>
        </w:rPr>
        <w:t>CNN</w:t>
      </w:r>
      <w:r>
        <w:t xml:space="preserve"> FNs: </w:t>
      </w:r>
      <w:r>
        <w:rPr>
          <w:rFonts w:ascii="Consolas" w:hAnsi="Consolas"/>
          <w:sz w:val="20"/>
        </w:rPr>
        <w:t>bing</w:t>
      </w:r>
      <w:r>
        <w:t xml:space="preserve">, </w:t>
      </w:r>
      <w:r>
        <w:rPr>
          <w:rFonts w:ascii="Consolas" w:hAnsi="Consolas"/>
          <w:sz w:val="20"/>
        </w:rPr>
        <w:t>microsoft</w:t>
      </w:r>
      <w:r>
        <w:t xml:space="preserve">, </w:t>
      </w:r>
      <w:r>
        <w:rPr>
          <w:rFonts w:ascii="Consolas" w:hAnsi="Consolas"/>
          <w:sz w:val="20"/>
        </w:rPr>
        <w:t>gstatic</w:t>
      </w:r>
      <w:r>
        <w:t xml:space="preserve"> (overlaps XGBoost). FPs: </w:t>
      </w:r>
      <w:r>
        <w:rPr>
          <w:rFonts w:ascii="Consolas" w:hAnsi="Consolas"/>
          <w:sz w:val="20"/>
        </w:rPr>
        <w:t>atester</w:t>
      </w:r>
      <w:r>
        <w:t>/</w:t>
      </w:r>
      <w:r>
        <w:rPr>
          <w:rFonts w:ascii="Consolas" w:hAnsi="Consolas"/>
          <w:sz w:val="20"/>
        </w:rPr>
        <w:t>local</w:t>
      </w:r>
      <w:r>
        <w:t xml:space="preserve"> (shared), plus</w:t>
      </w:r>
    </w:p>
    <w:p>
      <w:r>
        <w:t xml:space="preserve">  NetBIOS-style strings — legitimate, high-entropy by design.</w:t>
      </w:r>
    </w:p>
    <w:p>
      <w:pPr>
        <w:pStyle w:val="ListBullet"/>
      </w:pPr>
      <w:r>
        <w:rPr>
          <w:b/>
        </w:rPr>
        <w:t>Isolation Forest</w:t>
      </w:r>
      <w:r>
        <w:t xml:space="preserve"> FNs: top-8 all </w:t>
      </w:r>
      <w:r>
        <w:rPr>
          <w:rFonts w:ascii="Consolas" w:hAnsi="Consolas"/>
          <w:sz w:val="20"/>
        </w:rPr>
        <w:t>sld="192"</w:t>
      </w:r>
      <w:r>
        <w:t xml:space="preserve"> — an XGBoost false </w:t>
      </w:r>
      <w:r>
        <w:rPr>
          <w:i/>
        </w:rPr>
        <w:t>positive</w:t>
      </w:r>
      <w:r>
        <w:t xml:space="preserve">. FPs: </w:t>
      </w:r>
      <w:r>
        <w:rPr>
          <w:rFonts w:ascii="Consolas" w:hAnsi="Consolas"/>
          <w:sz w:val="20"/>
        </w:rPr>
        <w:t>gov</w:t>
      </w:r>
      <w:r>
        <w:t xml:space="preserve">, </w:t>
      </w:r>
      <w:r>
        <w:rPr>
          <w:rFonts w:ascii="Consolas" w:hAnsi="Consolas"/>
          <w:sz w:val="20"/>
        </w:rPr>
        <w:t>microsoft</w:t>
      </w:r>
      <w:r>
        <w:t>,</w:t>
      </w:r>
    </w:p>
    <w:p>
      <w:r>
        <w:t xml:space="preserve">  </w:t>
      </w:r>
      <w:r>
        <w:rPr>
          <w:rFonts w:ascii="Consolas" w:hAnsi="Consolas"/>
          <w:sz w:val="20"/>
        </w:rPr>
        <w:t>local</w:t>
      </w:r>
      <w:r>
        <w:t xml:space="preserve">, </w:t>
      </w:r>
      <w:r>
        <w:rPr>
          <w:rFonts w:ascii="Consolas" w:hAnsi="Consolas"/>
          <w:sz w:val="20"/>
        </w:rPr>
        <w:t>wordpress</w:t>
      </w:r>
      <w:r>
        <w:t xml:space="preserve">, </w:t>
      </w:r>
      <w:r>
        <w:rPr>
          <w:rFonts w:ascii="Consolas" w:hAnsi="Consolas"/>
          <w:sz w:val="20"/>
        </w:rPr>
        <w:t>blogspot</w:t>
      </w:r>
      <w:r>
        <w:t>.</w:t>
      </w:r>
    </w:p>
    <w:p>
      <w:pPr>
        <w:pStyle w:val="ListBullet"/>
      </w:pPr>
      <w:r>
        <w:rPr>
          <w:b/>
        </w:rPr>
        <w:t>Autoencoder</w:t>
      </w:r>
      <w:r>
        <w:t xml:space="preserve"> FNs: top-8 all </w:t>
      </w:r>
      <w:r>
        <w:rPr>
          <w:rFonts w:ascii="Consolas" w:hAnsi="Consolas"/>
          <w:sz w:val="20"/>
        </w:rPr>
        <w:t>sld="224"</w:t>
      </w:r>
      <w:r>
        <w:t xml:space="preserve"> — same numeric pattern. FPs: </w:t>
      </w:r>
      <w:r>
        <w:rPr>
          <w:rFonts w:ascii="Consolas" w:hAnsi="Consolas"/>
          <w:sz w:val="20"/>
        </w:rPr>
        <w:t>town</w:t>
      </w:r>
      <w:r>
        <w:t xml:space="preserve">, </w:t>
      </w:r>
      <w:r>
        <w:rPr>
          <w:rFonts w:ascii="Consolas" w:hAnsi="Consolas"/>
          <w:sz w:val="20"/>
        </w:rPr>
        <w:t>city</w:t>
      </w:r>
      <w:r>
        <w:t xml:space="preserve">, </w:t>
      </w:r>
      <w:r>
        <w:rPr>
          <w:rFonts w:ascii="Consolas" w:hAnsi="Consolas"/>
          <w:sz w:val="20"/>
        </w:rPr>
        <w:t>gov</w:t>
      </w:r>
      <w:r>
        <w:t xml:space="preserve">, </w:t>
      </w:r>
      <w:r>
        <w:rPr>
          <w:rFonts w:ascii="Consolas" w:hAnsi="Consolas"/>
          <w:sz w:val="20"/>
        </w:rPr>
        <w:t>112</w:t>
      </w:r>
      <w:r>
        <w:t>,</w:t>
      </w:r>
    </w:p>
    <w:p>
      <w:r>
        <w:t xml:space="preserve">  </w:t>
      </w:r>
      <w:r>
        <w:rPr>
          <w:rFonts w:ascii="Consolas" w:hAnsi="Consolas"/>
          <w:sz w:val="20"/>
        </w:rPr>
        <w:t>blogspot</w:t>
      </w:r>
      <w:r>
        <w:t>.</w:t>
      </w:r>
    </w:p>
    <w:p>
      <w:r>
        <w:rPr>
          <w:rFonts w:ascii="Consolas" w:hAnsi="Consolas"/>
          <w:sz w:val="20"/>
        </w:rPr>
        <w:t>microsoft</w:t>
      </w:r>
      <w:r>
        <w:t xml:space="preserve"> in 3/4 models' confident-FP lists; numeric-shaped </w:t>
      </w:r>
      <w:r>
        <w:rPr>
          <w:rFonts w:ascii="Consolas" w:hAnsi="Consolas"/>
          <w:sz w:val="20"/>
        </w:rPr>
        <w:t>sld</w:t>
      </w:r>
      <w:r>
        <w:t xml:space="preserve"> sits on </w:t>
      </w:r>
      <w:r>
        <w:rPr>
          <w:i/>
        </w:rPr>
        <w:t>both</w:t>
      </w:r>
      <w:r>
        <w:t xml:space="preserve"> sides of the confusion matrix by model type — FP for supervised, FN for unsupervised: suspicious to a boundary trained on structural weirdness, unremarkable to a density/reconstruction method with no attack examples.</w:t>
      </w:r>
    </w:p>
    <w:p>
      <w:pPr>
        <w:pStyle w:val="Heading2"/>
      </w:pPr>
      <w:r>
        <w:t>8.1.4 Cross-model failure comparison</w:t>
      </w:r>
    </w:p>
    <w:p>
      <w:r>
        <w:t xml:space="preserve">Every pairwise comparison (Dataset A) vs. a </w:t>
      </w:r>
      <w:r>
        <w:rPr>
          <w:b/>
        </w:rPr>
        <w:t>chance baseline</w:t>
      </w:r>
      <w:r>
        <w:t xml:space="preserve"> (</w:t>
      </w:r>
      <w:r>
        <w:rPr>
          <w:rFonts w:ascii="Consolas" w:hAnsi="Consolas"/>
          <w:sz w:val="20"/>
        </w:rPr>
        <w:t>n_a × n_b / N</w:t>
      </w:r>
      <w:r>
        <w:t xml:space="preserve">) — raw overlap alone can't distinguish "related" from "both fail a lot." Full 12-row table in Appendix D.4. </w:t>
      </w:r>
      <w:r>
        <w:rPr>
          <w:b/>
        </w:rPr>
        <w:t>(1)</w:t>
      </w:r>
      <w:r>
        <w:t xml:space="preserve"> Supervised models fail on nearly the same rows, far beyond chance (407×/2.47×) — ensembling won't fix FPR. </w:t>
      </w:r>
      <w:r>
        <w:rPr>
          <w:b/>
        </w:rPr>
        <w:t>(2)</w:t>
      </w:r>
      <w:r>
        <w:t xml:space="preserve"> every supervised/unsupervised pairing shows below-chance overlap — structurally different failure sources. </w:t>
      </w:r>
      <w:r>
        <w:rPr>
          <w:b/>
        </w:rPr>
        <w:t>(3)</w:t>
      </w:r>
      <w:r>
        <w:t xml:space="preserve"> unsupervised FNs sit almost exactly at chance (1.02×) despite deceptive 99.99% raw overlap — both simply miss so much (92.6%/97.7%) this is near what independence alone produces. </w:t>
      </w:r>
      <w:r>
        <w:rPr>
          <w:b/>
        </w:rPr>
        <w:t>(4)</w:t>
      </w:r>
      <w:r>
        <w:t xml:space="preserve"> unsupervised FPs, unlike FNs, agree more than chance (3.0×) — both rely on "distance from the bulk of the data." Neither is a usable peer detector on A (recall 7.45%, 2.34%), but their errors are usefully </w:t>
      </w:r>
      <w:r>
        <w:rPr>
          <w:i/>
        </w:rPr>
        <w:t>different</w:t>
      </w:r>
      <w:r>
        <w:t xml:space="preserve"> where they succeed — the first-stage-filter role the cascade (8.4) assumes.</w:t>
      </w:r>
    </w:p>
    <w:p>
      <w:pPr>
        <w:pStyle w:val="Heading2"/>
      </w:pPr>
      <w:r>
        <w:t>8.1.5 Step 3B before/after table</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40"/>
        <w:gridCol w:w="1440"/>
        <w:gridCol w:w="1440"/>
        <w:gridCol w:w="1440"/>
        <w:gridCol w:w="1440"/>
        <w:gridCol w:w="1440"/>
        <w:gridCol w:w="1440"/>
      </w:tblGrid>
      <w:tr>
        <w:tc>
          <w:tcPr>
            <w:tcW w:type="dxa" w:w="1440"/>
          </w:tcPr>
          <w:p>
            <w:pPr>
              <w:spacing w:after="20" w:before="0" w:line="240" w:lineRule="auto"/>
            </w:pPr>
            <w:r/>
          </w:p>
        </w:tc>
        <w:tc>
          <w:tcPr>
            <w:tcW w:type="dxa" w:w="1440"/>
          </w:tcPr>
          <w:p>
            <w:pPr>
              <w:spacing w:after="20" w:before="0" w:line="240" w:lineRule="auto"/>
            </w:pPr>
            <w:r/>
            <w:r>
              <w:rPr>
                <w:b/>
                <w:sz w:val="16"/>
              </w:rPr>
              <w:t>threshold</w:t>
            </w:r>
          </w:p>
        </w:tc>
        <w:tc>
          <w:tcPr>
            <w:tcW w:type="dxa" w:w="1440"/>
          </w:tcPr>
          <w:p>
            <w:pPr>
              <w:spacing w:after="20" w:before="0" w:line="240" w:lineRule="auto"/>
            </w:pPr>
            <w:r/>
            <w:r>
              <w:rPr>
                <w:b/>
                <w:sz w:val="16"/>
              </w:rPr>
              <w:t>light recall</w:t>
            </w:r>
          </w:p>
        </w:tc>
        <w:tc>
          <w:tcPr>
            <w:tcW w:type="dxa" w:w="1440"/>
          </w:tcPr>
          <w:p>
            <w:pPr>
              <w:spacing w:after="20" w:before="0" w:line="240" w:lineRule="auto"/>
            </w:pPr>
            <w:r/>
            <w:r>
              <w:rPr>
                <w:b/>
                <w:sz w:val="16"/>
              </w:rPr>
              <w:t>heavy recall</w:t>
            </w:r>
          </w:p>
        </w:tc>
        <w:tc>
          <w:tcPr>
            <w:tcW w:type="dxa" w:w="1440"/>
          </w:tcPr>
          <w:p>
            <w:pPr>
              <w:spacing w:after="20" w:before="0" w:line="240" w:lineRule="auto"/>
            </w:pPr>
            <w:r/>
            <w:r>
              <w:rPr>
                <w:b/>
                <w:sz w:val="16"/>
              </w:rPr>
              <w:t>overall recall</w:t>
            </w:r>
          </w:p>
        </w:tc>
        <w:tc>
          <w:tcPr>
            <w:tcW w:type="dxa" w:w="1440"/>
          </w:tcPr>
          <w:p>
            <w:pPr>
              <w:spacing w:after="20" w:before="0" w:line="240" w:lineRule="auto"/>
            </w:pPr>
            <w:r/>
            <w:r>
              <w:rPr>
                <w:b/>
                <w:sz w:val="16"/>
              </w:rPr>
              <w:t>overall F1</w:t>
            </w:r>
          </w:p>
        </w:tc>
        <w:tc>
          <w:tcPr>
            <w:tcW w:type="dxa" w:w="1440"/>
          </w:tcPr>
          <w:p>
            <w:pPr>
              <w:spacing w:after="20" w:before="0" w:line="240" w:lineRule="auto"/>
            </w:pPr>
            <w:r/>
            <w:r>
              <w:rPr>
                <w:b/>
                <w:sz w:val="16"/>
              </w:rPr>
              <w:t>FPR</w:t>
            </w:r>
          </w:p>
        </w:tc>
      </w:tr>
      <w:tr>
        <w:tc>
          <w:tcPr>
            <w:tcW w:type="dxa" w:w="1440"/>
          </w:tcPr>
          <w:p>
            <w:pPr>
              <w:spacing w:after="20" w:before="0" w:line="240" w:lineRule="auto"/>
            </w:pPr>
            <w:r/>
            <w:r>
              <w:rPr>
                <w:sz w:val="16"/>
              </w:rPr>
              <w:t>Before</w:t>
            </w:r>
          </w:p>
        </w:tc>
        <w:tc>
          <w:tcPr>
            <w:tcW w:type="dxa" w:w="1440"/>
          </w:tcPr>
          <w:p>
            <w:pPr>
              <w:spacing w:after="20" w:before="0" w:line="240" w:lineRule="auto"/>
            </w:pPr>
            <w:r/>
            <w:r>
              <w:rPr>
                <w:sz w:val="16"/>
              </w:rPr>
              <w:t>0.50</w:t>
            </w:r>
          </w:p>
        </w:tc>
        <w:tc>
          <w:tcPr>
            <w:tcW w:type="dxa" w:w="1440"/>
          </w:tcPr>
          <w:p>
            <w:pPr>
              <w:spacing w:after="20" w:before="0" w:line="240" w:lineRule="auto"/>
            </w:pPr>
            <w:r/>
            <w:r>
              <w:rPr>
                <w:sz w:val="16"/>
              </w:rPr>
              <w:t>99.95%</w:t>
            </w:r>
          </w:p>
        </w:tc>
        <w:tc>
          <w:tcPr>
            <w:tcW w:type="dxa" w:w="1440"/>
          </w:tcPr>
          <w:p>
            <w:pPr>
              <w:spacing w:after="20" w:before="0" w:line="240" w:lineRule="auto"/>
            </w:pPr>
            <w:r/>
            <w:r>
              <w:rPr>
                <w:sz w:val="16"/>
              </w:rPr>
              <w:t>99.94%</w:t>
            </w:r>
          </w:p>
        </w:tc>
        <w:tc>
          <w:tcPr>
            <w:tcW w:type="dxa" w:w="1440"/>
          </w:tcPr>
          <w:p>
            <w:pPr>
              <w:spacing w:after="20" w:before="0" w:line="240" w:lineRule="auto"/>
            </w:pPr>
            <w:r/>
            <w:r>
              <w:rPr>
                <w:sz w:val="16"/>
              </w:rPr>
              <w:t>99.95%</w:t>
            </w:r>
          </w:p>
        </w:tc>
        <w:tc>
          <w:tcPr>
            <w:tcW w:type="dxa" w:w="1440"/>
          </w:tcPr>
          <w:p>
            <w:pPr>
              <w:spacing w:after="20" w:before="0" w:line="240" w:lineRule="auto"/>
            </w:pPr>
            <w:r/>
            <w:r>
              <w:rPr>
                <w:sz w:val="16"/>
              </w:rPr>
              <w:t>81.82%</w:t>
            </w:r>
          </w:p>
        </w:tc>
        <w:tc>
          <w:tcPr>
            <w:tcW w:type="dxa" w:w="1440"/>
          </w:tcPr>
          <w:p>
            <w:pPr>
              <w:spacing w:after="20" w:before="0" w:line="240" w:lineRule="auto"/>
            </w:pPr>
            <w:r/>
            <w:r>
              <w:rPr>
                <w:sz w:val="16"/>
              </w:rPr>
              <w:t>40.48%</w:t>
            </w:r>
          </w:p>
        </w:tc>
      </w:tr>
      <w:tr>
        <w:tc>
          <w:tcPr>
            <w:tcW w:type="dxa" w:w="1440"/>
          </w:tcPr>
          <w:p>
            <w:pPr>
              <w:spacing w:after="20" w:before="0" w:line="240" w:lineRule="auto"/>
            </w:pPr>
            <w:r/>
            <w:r>
              <w:rPr>
                <w:sz w:val="16"/>
              </w:rPr>
              <w:t>After</w:t>
            </w:r>
          </w:p>
        </w:tc>
        <w:tc>
          <w:tcPr>
            <w:tcW w:type="dxa" w:w="1440"/>
          </w:tcPr>
          <w:p>
            <w:pPr>
              <w:spacing w:after="20" w:before="0" w:line="240" w:lineRule="auto"/>
            </w:pPr>
            <w:r/>
            <w:r>
              <w:rPr>
                <w:sz w:val="16"/>
              </w:rPr>
              <w:t>0.70</w:t>
            </w:r>
          </w:p>
        </w:tc>
        <w:tc>
          <w:tcPr>
            <w:tcW w:type="dxa" w:w="1440"/>
          </w:tcPr>
          <w:p>
            <w:pPr>
              <w:spacing w:after="20" w:before="0" w:line="240" w:lineRule="auto"/>
            </w:pPr>
            <w:r/>
            <w:r>
              <w:rPr>
                <w:sz w:val="16"/>
              </w:rPr>
              <w:t>98.04%</w:t>
            </w:r>
          </w:p>
        </w:tc>
        <w:tc>
          <w:tcPr>
            <w:tcW w:type="dxa" w:w="1440"/>
          </w:tcPr>
          <w:p>
            <w:pPr>
              <w:spacing w:after="20" w:before="0" w:line="240" w:lineRule="auto"/>
            </w:pPr>
            <w:r/>
            <w:r>
              <w:rPr>
                <w:sz w:val="16"/>
              </w:rPr>
              <w:t>98.02%</w:t>
            </w:r>
          </w:p>
        </w:tc>
        <w:tc>
          <w:tcPr>
            <w:tcW w:type="dxa" w:w="1440"/>
          </w:tcPr>
          <w:p>
            <w:pPr>
              <w:spacing w:after="20" w:before="0" w:line="240" w:lineRule="auto"/>
            </w:pPr>
            <w:r/>
            <w:r>
              <w:rPr>
                <w:sz w:val="16"/>
              </w:rPr>
              <w:t>98.03%</w:t>
            </w:r>
          </w:p>
        </w:tc>
        <w:tc>
          <w:tcPr>
            <w:tcW w:type="dxa" w:w="1440"/>
          </w:tcPr>
          <w:p>
            <w:pPr>
              <w:spacing w:after="20" w:before="0" w:line="240" w:lineRule="auto"/>
            </w:pPr>
            <w:r/>
            <w:r>
              <w:rPr>
                <w:sz w:val="16"/>
              </w:rPr>
              <w:t>81.16%</w:t>
            </w:r>
          </w:p>
        </w:tc>
        <w:tc>
          <w:tcPr>
            <w:tcW w:type="dxa" w:w="1440"/>
          </w:tcPr>
          <w:p>
            <w:pPr>
              <w:spacing w:after="20" w:before="0" w:line="240" w:lineRule="auto"/>
            </w:pPr>
            <w:r/>
            <w:r>
              <w:rPr>
                <w:sz w:val="16"/>
              </w:rPr>
              <w:t>39.72%</w:t>
            </w:r>
          </w:p>
        </w:tc>
      </w:tr>
    </w:tbl>
    <w:p>
      <w:r>
        <w:t>FPR moved under one point for a real cost (2,023 more FNs) — even A's best models can't threshold their way out of the FPR problem, the evidence Ch. 8.4's cascade rationale needs.</w:t>
      </w:r>
    </w:p>
    <w:p>
      <w:pPr>
        <w:pStyle w:val="Heading1"/>
      </w:pPr>
      <w:r>
        <w:t>Chapter 8.2 — Cross-Dataset Comparison: The Verdict</w:t>
      </w:r>
    </w:p>
    <w:p>
      <w:pPr>
        <w:pStyle w:val="Heading2"/>
      </w:pPr>
      <w:r>
        <w:t>8.2.1 The question</w:t>
      </w:r>
    </w:p>
    <w:p>
      <w:r>
        <w:t xml:space="preserve">Ch. 5 (§5.2) measured transfer collapsing to a trivial fixed-guess classifier in 7 of 8 cells, all four models. </w:t>
      </w:r>
      <w:r>
        <w:rPr>
          <w:b/>
        </w:rPr>
        <w:t>Distribution shift</w:t>
      </w:r>
      <w:r>
        <w:t xml:space="preserve"> (environments genuinely differ, fixed by retraining per environment) or </w:t>
      </w:r>
      <w:r>
        <w:rPr>
          <w:b/>
        </w:rPr>
        <w:t>overfitting</w:t>
      </w:r>
      <w:r>
        <w:t xml:space="preserve"> (model memorised training idiosyncrasies, meaning it never learned the intended signal)?</w:t>
      </w:r>
    </w:p>
    <w:p>
      <w:pPr>
        <w:pStyle w:val="Heading2"/>
      </w:pPr>
      <w:r>
        <w:t>8.2.2 The verdict: distribution shift, not overfitting</w:t>
      </w:r>
    </w:p>
    <w:p>
      <w:pPr>
        <w:pStyle w:val="ListNumber"/>
      </w:pPr>
      <w:r>
        <w:rPr>
          <w:b/>
        </w:rPr>
        <w:t>In-domain performance strong for every model on both datasets</w:t>
      </w:r>
      <w:r>
        <w:t>, ruling out "never learned a real</w:t>
      </w:r>
    </w:p>
    <w:p>
      <w:r>
        <w:t xml:space="preserve">   signal": XGBoost/CNN F1≈0.82 on A, F1≈0.99–1.00 on B, recall &gt;0.99 both ways. Failure is specific to    </w:t>
      </w:r>
      <w:r>
        <w:rPr>
          <w:i/>
        </w:rPr>
        <w:t>crossing</w:t>
      </w:r>
      <w:r>
        <w:t xml:space="preserve"> datasets.</w:t>
      </w:r>
    </w:p>
    <w:p>
      <w:pPr>
        <w:pStyle w:val="ListNumber"/>
      </w:pPr>
      <w:r>
        <w:rPr>
          <w:b/>
        </w:rPr>
        <w:t>§5.2.3 measures the cause directly</w:t>
      </w:r>
      <w:r>
        <w:t xml:space="preserve"> — every intersection column KS 0.89–1.00; </w:t>
      </w:r>
      <w:r>
        <w:rPr>
          <w:rFonts w:ascii="Consolas" w:hAnsi="Consolas"/>
          <w:sz w:val="20"/>
        </w:rPr>
        <w:t>vol_total</w:t>
      </w:r>
      <w:r>
        <w:t xml:space="preserve"> differs</w:t>
      </w:r>
    </w:p>
    <w:p>
      <w:r>
        <w:t xml:space="preserve">   ~1,859× in raw scale — measured on raw data, independent of model behaviour.</w:t>
      </w:r>
    </w:p>
    <w:p>
      <w:pPr>
        <w:pStyle w:val="ListNumber"/>
      </w:pPr>
      <w:r>
        <w:rPr>
          <w:b/>
        </w:rPr>
        <w:t>Failure mode matches shift's signature, not overfitting's.</w:t>
      </w:r>
      <w:r>
        <w:t xml:space="preserve"> An overfit model degrades gracefully or</w:t>
      </w:r>
    </w:p>
    <w:p>
      <w:r>
        <w:t xml:space="preserve">   inconsistently; observed is uniform collapse to a </w:t>
      </w:r>
      <w:r>
        <w:rPr>
          <w:b/>
        </w:rPr>
        <w:t>fixed decision</w:t>
      </w:r>
      <w:r>
        <w:t xml:space="preserve"> (FPR/recall pinned at 1.0 or 0.0    in 6 of 8 cells) — a boundary learned in one standardised space landing entirely on one side of the    other's.</w:t>
      </w:r>
    </w:p>
    <w:p>
      <w:pPr>
        <w:pStyle w:val="ListNumber"/>
      </w:pPr>
      <w:r>
        <w:rPr>
          <w:b/>
        </w:rPr>
        <w:t>One partial exception reinforces this.</w:t>
      </w:r>
      <w:r>
        <w:t xml:space="preserve"> CNN's B→A cell: F1=0.0000 but ROC-AUC=0.773 — an overfit</w:t>
      </w:r>
    </w:p>
    <w:p>
      <w:r>
        <w:t xml:space="preserve">   model's ranking should be no better than random once transferred; it isn't. Signal survived; only the    fixed 0.5 threshold, calibrated on B's scale, failed to land sensibly on A.</w:t>
      </w:r>
    </w:p>
    <w:p>
      <w:pPr>
        <w:pStyle w:val="Heading2"/>
      </w:pPr>
      <w:r>
        <w:t>8.2.3 Per-cell diagnosis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r>
              <w:rPr>
                <w:b/>
                <w:sz w:val="16"/>
              </w:rPr>
              <w:t>direction</w:t>
            </w:r>
          </w:p>
        </w:tc>
        <w:tc>
          <w:tcPr>
            <w:tcW w:type="dxa" w:w="2520"/>
          </w:tcPr>
          <w:p>
            <w:pPr>
              <w:spacing w:after="20" w:before="0" w:line="240" w:lineRule="auto"/>
            </w:pPr>
            <w:r/>
            <w:r>
              <w:rPr>
                <w:b/>
                <w:sz w:val="16"/>
              </w:rPr>
              <w:t>model</w:t>
            </w:r>
          </w:p>
        </w:tc>
        <w:tc>
          <w:tcPr>
            <w:tcW w:type="dxa" w:w="2520"/>
          </w:tcPr>
          <w:p>
            <w:pPr>
              <w:spacing w:after="20" w:before="0" w:line="240" w:lineRule="auto"/>
            </w:pPr>
            <w:r/>
            <w:r>
              <w:rPr>
                <w:b/>
                <w:sz w:val="16"/>
              </w:rPr>
              <w:t>outcome</w:t>
            </w:r>
          </w:p>
        </w:tc>
        <w:tc>
          <w:tcPr>
            <w:tcW w:type="dxa" w:w="2520"/>
          </w:tcPr>
          <w:p>
            <w:pPr>
              <w:spacing w:after="20" w:before="0" w:line="240" w:lineRule="auto"/>
            </w:pPr>
            <w:r/>
            <w:r>
              <w:rPr>
                <w:b/>
                <w:sz w:val="16"/>
              </w:rPr>
              <w:t>what it demonstrates</w:t>
            </w:r>
          </w:p>
        </w:tc>
      </w:tr>
      <w:tr>
        <w:tc>
          <w:tcPr>
            <w:tcW w:type="dxa" w:w="2520"/>
          </w:tcPr>
          <w:p>
            <w:pPr>
              <w:spacing w:after="20" w:before="0" w:line="240" w:lineRule="auto"/>
            </w:pPr>
            <w:r/>
            <w:r>
              <w:rPr>
                <w:sz w:val="16"/>
              </w:rPr>
              <w:t>A → B</w:t>
            </w:r>
          </w:p>
        </w:tc>
        <w:tc>
          <w:tcPr>
            <w:tcW w:type="dxa" w:w="2520"/>
          </w:tcPr>
          <w:p>
            <w:pPr>
              <w:spacing w:after="20" w:before="0" w:line="240" w:lineRule="auto"/>
            </w:pPr>
            <w:r/>
            <w:r>
              <w:rPr>
                <w:sz w:val="16"/>
              </w:rPr>
              <w:t>all four</w:t>
            </w:r>
          </w:p>
        </w:tc>
        <w:tc>
          <w:tcPr>
            <w:tcW w:type="dxa" w:w="2520"/>
          </w:tcPr>
          <w:p>
            <w:pPr>
              <w:spacing w:after="20" w:before="0" w:line="240" w:lineRule="auto"/>
            </w:pPr>
            <w:r/>
            <w:r>
              <w:rPr>
                <w:sz w:val="16"/>
              </w:rPr>
              <w:t>always-positive (F1≈0.65–0.67, FPR=1.0)</w:t>
            </w:r>
          </w:p>
        </w:tc>
        <w:tc>
          <w:tcPr>
            <w:tcW w:type="dxa" w:w="2520"/>
          </w:tcPr>
          <w:p>
            <w:pPr>
              <w:spacing w:after="20" w:before="0" w:line="240" w:lineRule="auto"/>
            </w:pPr>
            <w:r/>
            <w:r>
              <w:rPr>
                <w:sz w:val="16"/>
              </w:rPr>
              <w:t>A-trained boundary reads all of B's rescaled inputs as "high enough"</w:t>
            </w:r>
          </w:p>
        </w:tc>
      </w:tr>
      <w:tr>
        <w:tc>
          <w:tcPr>
            <w:tcW w:type="dxa" w:w="2520"/>
          </w:tcPr>
          <w:p>
            <w:pPr>
              <w:spacing w:after="20" w:before="0" w:line="240" w:lineRule="auto"/>
            </w:pPr>
            <w:r/>
            <w:r>
              <w:rPr>
                <w:sz w:val="16"/>
              </w:rPr>
              <w:t>B → A</w:t>
            </w:r>
          </w:p>
        </w:tc>
        <w:tc>
          <w:tcPr>
            <w:tcW w:type="dxa" w:w="2520"/>
          </w:tcPr>
          <w:p>
            <w:pPr>
              <w:spacing w:after="20" w:before="0" w:line="240" w:lineRule="auto"/>
            </w:pPr>
            <w:r/>
            <w:r>
              <w:rPr>
                <w:sz w:val="16"/>
              </w:rPr>
              <w:t>XGBoost, CNN</w:t>
            </w:r>
          </w:p>
        </w:tc>
        <w:tc>
          <w:tcPr>
            <w:tcW w:type="dxa" w:w="2520"/>
          </w:tcPr>
          <w:p>
            <w:pPr>
              <w:spacing w:after="20" w:before="0" w:line="240" w:lineRule="auto"/>
            </w:pPr>
            <w:r/>
            <w:r>
              <w:rPr>
                <w:sz w:val="16"/>
              </w:rPr>
              <w:t>always-negative (F1=0.0000)</w:t>
            </w:r>
          </w:p>
        </w:tc>
        <w:tc>
          <w:tcPr>
            <w:tcW w:type="dxa" w:w="2520"/>
          </w:tcPr>
          <w:p>
            <w:pPr>
              <w:spacing w:after="20" w:before="0" w:line="240" w:lineRule="auto"/>
            </w:pPr>
            <w:r/>
            <w:r>
              <w:rPr>
                <w:sz w:val="16"/>
              </w:rPr>
              <w:t>B-trained boundary reads all of A's inputs as "too low"</w:t>
            </w:r>
          </w:p>
        </w:tc>
      </w:tr>
      <w:tr>
        <w:tc>
          <w:tcPr>
            <w:tcW w:type="dxa" w:w="2520"/>
          </w:tcPr>
          <w:p>
            <w:pPr>
              <w:spacing w:after="20" w:before="0" w:line="240" w:lineRule="auto"/>
            </w:pPr>
            <w:r/>
            <w:r>
              <w:rPr>
                <w:sz w:val="16"/>
              </w:rPr>
              <w:t>B → A</w:t>
            </w:r>
          </w:p>
        </w:tc>
        <w:tc>
          <w:tcPr>
            <w:tcW w:type="dxa" w:w="2520"/>
          </w:tcPr>
          <w:p>
            <w:pPr>
              <w:spacing w:after="20" w:before="0" w:line="240" w:lineRule="auto"/>
            </w:pPr>
            <w:r/>
            <w:r>
              <w:rPr>
                <w:sz w:val="16"/>
              </w:rPr>
              <w:t>IsoForest, AE</w:t>
            </w:r>
          </w:p>
        </w:tc>
        <w:tc>
          <w:tcPr>
            <w:tcW w:type="dxa" w:w="2520"/>
          </w:tcPr>
          <w:p>
            <w:pPr>
              <w:spacing w:after="20" w:before="0" w:line="240" w:lineRule="auto"/>
            </w:pPr>
            <w:r/>
            <w:r>
              <w:rPr>
                <w:sz w:val="16"/>
              </w:rPr>
              <w:t>always-positive (F1≈0.65, FPR=1.0)</w:t>
            </w:r>
          </w:p>
        </w:tc>
        <w:tc>
          <w:tcPr>
            <w:tcW w:type="dxa" w:w="2520"/>
          </w:tcPr>
          <w:p>
            <w:pPr>
              <w:spacing w:after="20" w:before="0" w:line="240" w:lineRule="auto"/>
            </w:pPr>
            <w:r/>
            <w:r>
              <w:rPr>
                <w:sz w:val="16"/>
              </w:rPr>
              <w:t>opposite collapse — benign-shaped reference from B treats A as anomalous</w:t>
            </w:r>
          </w:p>
        </w:tc>
      </w:tr>
      <w:tr>
        <w:tc>
          <w:tcPr>
            <w:tcW w:type="dxa" w:w="2520"/>
          </w:tcPr>
          <w:p>
            <w:pPr>
              <w:spacing w:after="20" w:before="0" w:line="240" w:lineRule="auto"/>
            </w:pPr>
            <w:r/>
            <w:r>
              <w:rPr>
                <w:sz w:val="16"/>
              </w:rPr>
              <w:t>B → A</w:t>
            </w:r>
          </w:p>
        </w:tc>
        <w:tc>
          <w:tcPr>
            <w:tcW w:type="dxa" w:w="2520"/>
          </w:tcPr>
          <w:p>
            <w:pPr>
              <w:spacing w:after="20" w:before="0" w:line="240" w:lineRule="auto"/>
            </w:pPr>
            <w:r/>
            <w:r>
              <w:rPr>
                <w:sz w:val="16"/>
              </w:rPr>
              <w:t>CNN (ranking)</w:t>
            </w:r>
          </w:p>
        </w:tc>
        <w:tc>
          <w:tcPr>
            <w:tcW w:type="dxa" w:w="2520"/>
          </w:tcPr>
          <w:p>
            <w:pPr>
              <w:spacing w:after="20" w:before="0" w:line="240" w:lineRule="auto"/>
            </w:pPr>
            <w:r/>
            <w:r>
              <w:rPr>
                <w:sz w:val="16"/>
              </w:rPr>
              <w:t>AUC=0.773 despite F1=0.0000</w:t>
            </w:r>
          </w:p>
        </w:tc>
        <w:tc>
          <w:tcPr>
            <w:tcW w:type="dxa" w:w="2520"/>
          </w:tcPr>
          <w:p>
            <w:pPr>
              <w:spacing w:after="20" w:before="0" w:line="240" w:lineRule="auto"/>
            </w:pPr>
            <w:r/>
            <w:r>
              <w:rPr>
                <w:sz w:val="16"/>
              </w:rPr>
              <w:t>signal survives; only the threshold fails</w:t>
            </w:r>
          </w:p>
        </w:tc>
      </w:tr>
    </w:tbl>
    <w:p>
      <w:r>
        <w:t>Same direction (B→A), opposite fixed-classifier outcomes by model family — rules out a single explanation ("B's data is just numerically larger"), pointing to each model's own decision function interacting with the scale mismatch.</w:t>
      </w:r>
    </w:p>
    <w:p>
      <w:pPr>
        <w:pStyle w:val="Heading2"/>
      </w:pPr>
      <w:r>
        <w:t>8.2.4 What this means for deployment</w:t>
      </w:r>
    </w:p>
    <w:p>
      <w:r>
        <w:t xml:space="preserve">None of the four architectures can be trained once and deployed across both a plaintext-DNS log and an encrypted DoH capture. The unified schema's abstraction is real at </w:t>
      </w:r>
      <w:r>
        <w:rPr>
          <w:i/>
        </w:rPr>
        <w:t>what each family measures</w:t>
      </w:r>
      <w:r>
        <w:t xml:space="preserve"> — but insufficient to make a model portable, since the numeric realisation differs by orders of magnitude (§5.2.3). </w:t>
      </w:r>
      <w:r>
        <w:rPr>
          <w:b/>
        </w:rPr>
        <w:t>Train and calibrate separately per vantage point</w:t>
      </w:r>
      <w:r>
        <w:t xml:space="preserve"> — two genuinely different measurement regimes sharing a conceptual taxonomy, not stand-ins for "any DNS exfiltration data."</w:t>
      </w:r>
    </w:p>
    <w:p>
      <w:pPr>
        <w:pStyle w:val="Heading2"/>
      </w:pPr>
      <w:r>
        <w:t>8.2.5 What's still open</w:t>
      </w:r>
    </w:p>
    <w:p>
      <w:r>
        <w:t>Proposed remedies (</w:t>
      </w:r>
      <w:r>
        <w:rPr>
          <w:rFonts w:ascii="Consolas" w:hAnsi="Consolas"/>
          <w:sz w:val="20"/>
        </w:rPr>
        <w:t>log1p</w:t>
      </w:r>
      <w:r>
        <w:t xml:space="preserve"> on F1 before scaling, jointly-fit scaler) documented but not tested against this matrix. Diagnosis covers </w:t>
      </w:r>
      <w:r>
        <w:rPr>
          <w:rFonts w:ascii="Consolas" w:hAnsi="Consolas"/>
          <w:sz w:val="20"/>
        </w:rPr>
        <w:t>mode="intersection"</w:t>
      </w:r>
      <w:r>
        <w:t xml:space="preserve"> only; B_ONLY families (F4/F5) can't be tested for transfer at all, by construction.</w:t>
      </w:r>
    </w:p>
    <w:p>
      <w:pPr>
        <w:pStyle w:val="Heading1"/>
      </w:pPr>
      <w:r>
        <w:t>Chapter 8.2b — Base-Rate Honesty</w:t>
      </w:r>
    </w:p>
    <w:p>
      <w:pPr>
        <w:pStyle w:val="Heading2"/>
      </w:pPr>
      <w:r>
        <w:t>8.2b.1 Benchmark balance vs. production reality</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5040"/>
        <w:gridCol w:w="5040"/>
      </w:tblGrid>
      <w:tr>
        <w:tc>
          <w:tcPr>
            <w:tcW w:type="dxa" w:w="5040"/>
          </w:tcPr>
          <w:p>
            <w:pPr>
              <w:spacing w:after="20" w:before="0" w:line="240" w:lineRule="auto"/>
            </w:pPr>
            <w:r/>
            <w:r>
              <w:rPr>
                <w:b/>
                <w:sz w:val="16"/>
              </w:rPr>
              <w:t>Setting</w:t>
            </w:r>
          </w:p>
        </w:tc>
        <w:tc>
          <w:tcPr>
            <w:tcW w:type="dxa" w:w="5040"/>
          </w:tcPr>
          <w:p>
            <w:pPr>
              <w:spacing w:after="20" w:before="0" w:line="240" w:lineRule="auto"/>
            </w:pPr>
            <w:r/>
            <w:r>
              <w:rPr>
                <w:b/>
                <w:sz w:val="16"/>
              </w:rPr>
              <w:t>Attack base rate</w:t>
            </w:r>
          </w:p>
        </w:tc>
      </w:tr>
      <w:tr>
        <w:tc>
          <w:tcPr>
            <w:tcW w:type="dxa" w:w="5040"/>
          </w:tcPr>
          <w:p>
            <w:pPr>
              <w:spacing w:after="20" w:before="0" w:line="240" w:lineRule="auto"/>
            </w:pPr>
            <w:r/>
            <w:r>
              <w:rPr>
                <w:sz w:val="16"/>
              </w:rPr>
              <w:t>Dataset A (EXF-2021)</w:t>
            </w:r>
          </w:p>
        </w:tc>
        <w:tc>
          <w:tcPr>
            <w:tcW w:type="dxa" w:w="5040"/>
          </w:tcPr>
          <w:p>
            <w:pPr>
              <w:spacing w:after="20" w:before="0" w:line="240" w:lineRule="auto"/>
            </w:pPr>
            <w:r/>
            <w:r>
              <w:rPr>
                <w:sz w:val="16"/>
              </w:rPr>
              <w:t>47.72%</w:t>
            </w:r>
          </w:p>
        </w:tc>
      </w:tr>
      <w:tr>
        <w:tc>
          <w:tcPr>
            <w:tcW w:type="dxa" w:w="5040"/>
          </w:tcPr>
          <w:p>
            <w:pPr>
              <w:spacing w:after="20" w:before="0" w:line="240" w:lineRule="auto"/>
            </w:pPr>
            <w:r/>
            <w:r>
              <w:rPr>
                <w:sz w:val="16"/>
              </w:rPr>
              <w:t>Dataset B, hard framing</w:t>
            </w:r>
          </w:p>
        </w:tc>
        <w:tc>
          <w:tcPr>
            <w:tcW w:type="dxa" w:w="5040"/>
          </w:tcPr>
          <w:p>
            <w:pPr>
              <w:spacing w:after="20" w:before="0" w:line="240" w:lineRule="auto"/>
            </w:pPr>
            <w:r/>
            <w:r>
              <w:rPr>
                <w:sz w:val="16"/>
              </w:rPr>
              <w:t>~50%</w:t>
            </w:r>
          </w:p>
        </w:tc>
      </w:tr>
      <w:tr>
        <w:tc>
          <w:tcPr>
            <w:tcW w:type="dxa" w:w="5040"/>
          </w:tcPr>
          <w:p>
            <w:pPr>
              <w:spacing w:after="20" w:before="0" w:line="240" w:lineRule="auto"/>
            </w:pPr>
            <w:r/>
            <w:r>
              <w:rPr>
                <w:sz w:val="16"/>
              </w:rPr>
              <w:t>Dataset B, easy framing</w:t>
            </w:r>
          </w:p>
        </w:tc>
        <w:tc>
          <w:tcPr>
            <w:tcW w:type="dxa" w:w="5040"/>
          </w:tcPr>
          <w:p>
            <w:pPr>
              <w:spacing w:after="20" w:before="0" w:line="240" w:lineRule="auto"/>
            </w:pPr>
            <w:r/>
            <w:r>
              <w:rPr>
                <w:sz w:val="16"/>
              </w:rPr>
              <w:t>21.41%</w:t>
            </w:r>
          </w:p>
        </w:tc>
      </w:tr>
      <w:tr>
        <w:tc>
          <w:tcPr>
            <w:tcW w:type="dxa" w:w="5040"/>
          </w:tcPr>
          <w:p>
            <w:pPr>
              <w:spacing w:after="20" w:before="0" w:line="240" w:lineRule="auto"/>
            </w:pPr>
            <w:r/>
            <w:r>
              <w:rPr>
                <w:sz w:val="16"/>
              </w:rPr>
              <w:t>Realistic enterprise DNS traffic</w:t>
            </w:r>
          </w:p>
        </w:tc>
        <w:tc>
          <w:tcPr>
            <w:tcW w:type="dxa" w:w="5040"/>
          </w:tcPr>
          <w:p>
            <w:pPr>
              <w:spacing w:after="20" w:before="0" w:line="240" w:lineRule="auto"/>
            </w:pPr>
            <w:r/>
            <w:r>
              <w:rPr>
                <w:sz w:val="16"/>
              </w:rPr>
              <w:t>~0.01%</w:t>
            </w:r>
          </w:p>
        </w:tc>
      </w:tr>
    </w:tbl>
    <w:p>
      <w:r>
        <w:t>Every other metric in this report is measured near 1:1 for statistical power (D5/D8) — ~5,000× denser in attacks than a real network. Precision (unlike recall) is base-rate-dependent: at low prevalence, false positives from the benign majority swamp true positives, regardless of how strong recall/AUC looked in training.</w:t>
      </w:r>
    </w:p>
    <w:p>
      <w:pPr>
        <w:pStyle w:val="Heading2"/>
      </w:pPr>
      <w:r>
        <w:t>8.2b.2 Production-scale extrapolation — Dataset A</w:t>
      </w:r>
    </w:p>
    <w:p>
      <w:r>
        <w:t>10,000,000 queries/day, 1:10,000 base rate (1,000 attacks/day):</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p>
        </w:tc>
        <w:tc>
          <w:tcPr>
            <w:tcW w:type="dxa" w:w="3360"/>
          </w:tcPr>
          <w:p>
            <w:pPr>
              <w:spacing w:after="20" w:before="0" w:line="240" w:lineRule="auto"/>
            </w:pPr>
            <w:r/>
            <w:r>
              <w:rPr>
                <w:b/>
                <w:sz w:val="16"/>
              </w:rPr>
              <w:t>Before threshold tuning</w:t>
            </w:r>
          </w:p>
        </w:tc>
        <w:tc>
          <w:tcPr>
            <w:tcW w:type="dxa" w:w="3360"/>
          </w:tcPr>
          <w:p>
            <w:pPr>
              <w:spacing w:after="20" w:before="0" w:line="240" w:lineRule="auto"/>
            </w:pPr>
            <w:r/>
            <w:r>
              <w:rPr>
                <w:b/>
                <w:sz w:val="16"/>
              </w:rPr>
              <w:t>After threshold tuning</w:t>
            </w:r>
          </w:p>
        </w:tc>
      </w:tr>
      <w:tr>
        <w:tc>
          <w:tcPr>
            <w:tcW w:type="dxa" w:w="3360"/>
          </w:tcPr>
          <w:p>
            <w:pPr>
              <w:spacing w:after="20" w:before="0" w:line="240" w:lineRule="auto"/>
            </w:pPr>
            <w:r/>
            <w:r>
              <w:rPr>
                <w:sz w:val="16"/>
              </w:rPr>
              <w:t>False alerts/day</w:t>
            </w:r>
          </w:p>
        </w:tc>
        <w:tc>
          <w:tcPr>
            <w:tcW w:type="dxa" w:w="3360"/>
          </w:tcPr>
          <w:p>
            <w:pPr>
              <w:spacing w:after="20" w:before="0" w:line="240" w:lineRule="auto"/>
            </w:pPr>
            <w:r/>
            <w:r>
              <w:rPr>
                <w:sz w:val="16"/>
              </w:rPr>
              <w:t>≈4,048,000</w:t>
            </w:r>
          </w:p>
        </w:tc>
        <w:tc>
          <w:tcPr>
            <w:tcW w:type="dxa" w:w="3360"/>
          </w:tcPr>
          <w:p>
            <w:pPr>
              <w:spacing w:after="20" w:before="0" w:line="240" w:lineRule="auto"/>
            </w:pPr>
            <w:r/>
            <w:r>
              <w:rPr>
                <w:sz w:val="16"/>
              </w:rPr>
              <w:t>≈3,972,000</w:t>
            </w:r>
          </w:p>
        </w:tc>
      </w:tr>
      <w:tr>
        <w:tc>
          <w:tcPr>
            <w:tcW w:type="dxa" w:w="3360"/>
          </w:tcPr>
          <w:p>
            <w:pPr>
              <w:spacing w:after="20" w:before="0" w:line="240" w:lineRule="auto"/>
            </w:pPr>
            <w:r/>
            <w:r>
              <w:rPr>
                <w:sz w:val="16"/>
              </w:rPr>
              <w:t>Analyst-facing precision</w:t>
            </w:r>
          </w:p>
        </w:tc>
        <w:tc>
          <w:tcPr>
            <w:tcW w:type="dxa" w:w="3360"/>
          </w:tcPr>
          <w:p>
            <w:pPr>
              <w:spacing w:after="20" w:before="0" w:line="240" w:lineRule="auto"/>
            </w:pPr>
            <w:r/>
            <w:r>
              <w:rPr>
                <w:sz w:val="16"/>
              </w:rPr>
              <w:t>≈0.025%</w:t>
            </w:r>
          </w:p>
        </w:tc>
        <w:tc>
          <w:tcPr>
            <w:tcW w:type="dxa" w:w="3360"/>
          </w:tcPr>
          <w:p>
            <w:pPr>
              <w:spacing w:after="20" w:before="0" w:line="240" w:lineRule="auto"/>
            </w:pPr>
            <w:r/>
            <w:r>
              <w:rPr>
                <w:sz w:val="16"/>
              </w:rPr>
              <w:t>≈0.025%</w:t>
            </w:r>
          </w:p>
        </w:tc>
      </w:tr>
    </w:tbl>
    <w:p>
      <w:r>
        <w:t xml:space="preserve">Threshold tuning (Step 3B) barely moves the outcome — ~4M false alerts/day for ~1,000 true ones. A detector with a merely 1% FPR at this scale would still generate ~100,000/day; this system runs at roughly </w:t>
      </w:r>
      <w:r>
        <w:rPr>
          <w:b/>
        </w:rPr>
        <w:t>40×</w:t>
      </w:r>
      <w:r>
        <w:t xml:space="preserve"> that FPR. Since before/after are nearly identical, the fix must be structural (Ch. 8.4).</w:t>
      </w:r>
    </w:p>
    <w:p>
      <w:pPr>
        <w:pStyle w:val="Heading2"/>
      </w:pPr>
      <w:r>
        <w:t>8.2b.3 Dataset B tells a different story</w:t>
      </w:r>
    </w:p>
    <w:p>
      <w:r>
        <w:t>Same extrapolation, Dataset B hard-framing rates (rule-of-three 95% upper-bound FPR ≤0.0151%, measured FP count zero):</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20"/>
        <w:gridCol w:w="2520"/>
        <w:gridCol w:w="2520"/>
        <w:gridCol w:w="2520"/>
      </w:tblGrid>
      <w:tr>
        <w:tc>
          <w:tcPr>
            <w:tcW w:type="dxa" w:w="2520"/>
          </w:tcPr>
          <w:p>
            <w:pPr>
              <w:spacing w:after="20" w:before="0" w:line="240" w:lineRule="auto"/>
            </w:pPr>
            <w:r/>
          </w:p>
        </w:tc>
        <w:tc>
          <w:tcPr>
            <w:tcW w:type="dxa" w:w="2520"/>
          </w:tcPr>
          <w:p>
            <w:pPr>
              <w:spacing w:after="20" w:before="0" w:line="240" w:lineRule="auto"/>
            </w:pPr>
            <w:r/>
            <w:r>
              <w:rPr>
                <w:b/>
                <w:sz w:val="16"/>
              </w:rPr>
              <w:t>Dataset A — before</w:t>
            </w:r>
          </w:p>
        </w:tc>
        <w:tc>
          <w:tcPr>
            <w:tcW w:type="dxa" w:w="2520"/>
          </w:tcPr>
          <w:p>
            <w:pPr>
              <w:spacing w:after="20" w:before="0" w:line="240" w:lineRule="auto"/>
            </w:pPr>
            <w:r/>
            <w:r>
              <w:rPr>
                <w:b/>
                <w:sz w:val="16"/>
              </w:rPr>
              <w:t>Dataset A — after</w:t>
            </w:r>
          </w:p>
        </w:tc>
        <w:tc>
          <w:tcPr>
            <w:tcW w:type="dxa" w:w="2520"/>
          </w:tcPr>
          <w:p>
            <w:pPr>
              <w:spacing w:after="20" w:before="0" w:line="240" w:lineRule="auto"/>
            </w:pPr>
            <w:r/>
            <w:r>
              <w:rPr>
                <w:b/>
                <w:sz w:val="16"/>
              </w:rPr>
              <w:t>Dataset B — hard</w:t>
            </w:r>
          </w:p>
        </w:tc>
      </w:tr>
      <w:tr>
        <w:tc>
          <w:tcPr>
            <w:tcW w:type="dxa" w:w="2520"/>
          </w:tcPr>
          <w:p>
            <w:pPr>
              <w:spacing w:after="20" w:before="0" w:line="240" w:lineRule="auto"/>
            </w:pPr>
            <w:r/>
            <w:r>
              <w:rPr>
                <w:sz w:val="16"/>
              </w:rPr>
              <w:t>False alerts/day</w:t>
            </w:r>
          </w:p>
        </w:tc>
        <w:tc>
          <w:tcPr>
            <w:tcW w:type="dxa" w:w="2520"/>
          </w:tcPr>
          <w:p>
            <w:pPr>
              <w:spacing w:after="20" w:before="0" w:line="240" w:lineRule="auto"/>
            </w:pPr>
            <w:r/>
            <w:r>
              <w:rPr>
                <w:sz w:val="16"/>
              </w:rPr>
              <w:t>≈4,048,000</w:t>
            </w:r>
          </w:p>
        </w:tc>
        <w:tc>
          <w:tcPr>
            <w:tcW w:type="dxa" w:w="2520"/>
          </w:tcPr>
          <w:p>
            <w:pPr>
              <w:spacing w:after="20" w:before="0" w:line="240" w:lineRule="auto"/>
            </w:pPr>
            <w:r/>
            <w:r>
              <w:rPr>
                <w:sz w:val="16"/>
              </w:rPr>
              <w:t>≈3,972,000</w:t>
            </w:r>
          </w:p>
        </w:tc>
        <w:tc>
          <w:tcPr>
            <w:tcW w:type="dxa" w:w="2520"/>
          </w:tcPr>
          <w:p>
            <w:pPr>
              <w:spacing w:after="20" w:before="0" w:line="240" w:lineRule="auto"/>
            </w:pPr>
            <w:r/>
            <w:r>
              <w:rPr>
                <w:sz w:val="16"/>
              </w:rPr>
              <w:t>≈1,515</w:t>
            </w:r>
          </w:p>
        </w:tc>
      </w:tr>
      <w:tr>
        <w:tc>
          <w:tcPr>
            <w:tcW w:type="dxa" w:w="2520"/>
          </w:tcPr>
          <w:p>
            <w:pPr>
              <w:spacing w:after="20" w:before="0" w:line="240" w:lineRule="auto"/>
            </w:pPr>
            <w:r/>
            <w:r>
              <w:rPr>
                <w:sz w:val="16"/>
              </w:rPr>
              <w:t>Analyst-facing precision</w:t>
            </w:r>
          </w:p>
        </w:tc>
        <w:tc>
          <w:tcPr>
            <w:tcW w:type="dxa" w:w="2520"/>
          </w:tcPr>
          <w:p>
            <w:pPr>
              <w:spacing w:after="20" w:before="0" w:line="240" w:lineRule="auto"/>
            </w:pPr>
            <w:r/>
            <w:r>
              <w:rPr>
                <w:sz w:val="16"/>
              </w:rPr>
              <w:t>≈0.025%</w:t>
            </w:r>
          </w:p>
        </w:tc>
        <w:tc>
          <w:tcPr>
            <w:tcW w:type="dxa" w:w="2520"/>
          </w:tcPr>
          <w:p>
            <w:pPr>
              <w:spacing w:after="20" w:before="0" w:line="240" w:lineRule="auto"/>
            </w:pPr>
            <w:r/>
            <w:r>
              <w:rPr>
                <w:sz w:val="16"/>
              </w:rPr>
              <w:t>≈0.025%</w:t>
            </w:r>
          </w:p>
        </w:tc>
        <w:tc>
          <w:tcPr>
            <w:tcW w:type="dxa" w:w="2520"/>
          </w:tcPr>
          <w:p>
            <w:pPr>
              <w:spacing w:after="20" w:before="0" w:line="240" w:lineRule="auto"/>
            </w:pPr>
            <w:r/>
            <w:r>
              <w:rPr>
                <w:sz w:val="16"/>
              </w:rPr>
              <w:t>≈39.8%</w:t>
            </w:r>
          </w:p>
        </w:tc>
      </w:tr>
    </w:tbl>
    <w:p>
      <w:r>
        <w:t>At the same production scale, Dataset A is unusable while Dataset B hard-framing is close to SOC-viable — the sharpest quantitative contrast in this report, consistent with every other chapter's finding that DoH flow telemetry carries far more discriminating signal than plaintext per-query features. 10M/day and 1:10,000 are illustrative assumptions, not measured production data.</w:t>
      </w:r>
    </w:p>
    <w:p>
      <w:pPr>
        <w:pStyle w:val="Heading1"/>
      </w:pPr>
      <w:r>
        <w:t>Chapter 8.3 — Benchmark Comparison Against Published Results</w:t>
      </w:r>
    </w:p>
    <w:p>
      <w:r>
        <w:t>Four papers, one per model architecture (Ch. 6.2). Discrepancies attributed to specific named causes, not a vague "different setup."</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Model</w:t>
            </w:r>
          </w:p>
        </w:tc>
        <w:tc>
          <w:tcPr>
            <w:tcW w:type="dxa" w:w="2016"/>
          </w:tcPr>
          <w:p>
            <w:pPr>
              <w:spacing w:after="20" w:before="0" w:line="240" w:lineRule="auto"/>
            </w:pPr>
            <w:r/>
            <w:r>
              <w:rPr>
                <w:b/>
                <w:sz w:val="16"/>
              </w:rPr>
              <w:t>Published</w:t>
            </w:r>
          </w:p>
        </w:tc>
        <w:tc>
          <w:tcPr>
            <w:tcW w:type="dxa" w:w="2016"/>
          </w:tcPr>
          <w:p>
            <w:pPr>
              <w:spacing w:after="20" w:before="0" w:line="240" w:lineRule="auto"/>
            </w:pPr>
            <w:r/>
            <w:r>
              <w:rPr>
                <w:b/>
                <w:sz w:val="16"/>
              </w:rPr>
              <w:t>Published metrics</w:t>
            </w:r>
          </w:p>
        </w:tc>
        <w:tc>
          <w:tcPr>
            <w:tcW w:type="dxa" w:w="2016"/>
          </w:tcPr>
          <w:p>
            <w:pPr>
              <w:spacing w:after="20" w:before="0" w:line="240" w:lineRule="auto"/>
            </w:pPr>
            <w:r/>
            <w:r>
              <w:rPr>
                <w:b/>
                <w:sz w:val="16"/>
              </w:rPr>
              <w:t>This project</w:t>
            </w:r>
          </w:p>
        </w:tc>
        <w:tc>
          <w:tcPr>
            <w:tcW w:type="dxa" w:w="2016"/>
          </w:tcPr>
          <w:p>
            <w:pPr>
              <w:spacing w:after="20" w:before="0" w:line="240" w:lineRule="auto"/>
            </w:pPr>
            <w:r/>
            <w:r>
              <w:rPr>
                <w:b/>
                <w:sz w:val="16"/>
              </w:rPr>
              <w:t>Direction</w:t>
            </w:r>
          </w:p>
        </w:tc>
      </w:tr>
      <w:tr>
        <w:tc>
          <w:tcPr>
            <w:tcW w:type="dxa" w:w="2016"/>
          </w:tcPr>
          <w:p>
            <w:pPr>
              <w:spacing w:after="20" w:before="0" w:line="240" w:lineRule="auto"/>
            </w:pPr>
            <w:r/>
            <w:r>
              <w:rPr>
                <w:sz w:val="16"/>
              </w:rPr>
              <w:t>XGBoost</w:t>
            </w:r>
          </w:p>
        </w:tc>
        <w:tc>
          <w:tcPr>
            <w:tcW w:type="dxa" w:w="2016"/>
          </w:tcPr>
          <w:p>
            <w:pPr>
              <w:spacing w:after="20" w:before="0" w:line="240" w:lineRule="auto"/>
            </w:pPr>
            <w:r/>
            <w:r>
              <w:rPr>
                <w:sz w:val="16"/>
              </w:rPr>
              <w:t>Abrahim et al. (2026), stacking ensemble, DoHBrw-2020</w:t>
            </w:r>
          </w:p>
        </w:tc>
        <w:tc>
          <w:tcPr>
            <w:tcW w:type="dxa" w:w="2016"/>
          </w:tcPr>
          <w:p>
            <w:pPr>
              <w:spacing w:after="20" w:before="0" w:line="240" w:lineRule="auto"/>
            </w:pPr>
            <w:r/>
            <w:r>
              <w:rPr>
                <w:sz w:val="16"/>
              </w:rPr>
              <w:t>Recall 0.9996, Precision 0.9967, F1 0.9981</w:t>
            </w:r>
          </w:p>
        </w:tc>
        <w:tc>
          <w:tcPr>
            <w:tcW w:type="dxa" w:w="2016"/>
          </w:tcPr>
          <w:p>
            <w:pPr>
              <w:spacing w:after="20" w:before="0" w:line="240" w:lineRule="auto"/>
            </w:pPr>
            <w:r/>
            <w:r>
              <w:rPr>
                <w:sz w:val="16"/>
              </w:rPr>
              <w:t>Dataset B hard: Recall 0.9998, F1 0.9999 (standalone)</w:t>
            </w:r>
          </w:p>
        </w:tc>
        <w:tc>
          <w:tcPr>
            <w:tcW w:type="dxa" w:w="2016"/>
          </w:tcPr>
          <w:p>
            <w:pPr>
              <w:spacing w:after="20" w:before="0" w:line="240" w:lineRule="auto"/>
            </w:pPr>
            <w:r/>
            <w:r>
              <w:rPr>
                <w:sz w:val="16"/>
              </w:rPr>
              <w:t>matches/exceeds</w:t>
            </w:r>
          </w:p>
        </w:tc>
      </w:tr>
      <w:tr>
        <w:tc>
          <w:tcPr>
            <w:tcW w:type="dxa" w:w="2016"/>
          </w:tcPr>
          <w:p>
            <w:pPr>
              <w:spacing w:after="20" w:before="0" w:line="240" w:lineRule="auto"/>
            </w:pPr>
            <w:r/>
            <w:r>
              <w:rPr>
                <w:sz w:val="16"/>
              </w:rPr>
              <w:t>CNN</w:t>
            </w:r>
          </w:p>
        </w:tc>
        <w:tc>
          <w:tcPr>
            <w:tcW w:type="dxa" w:w="2016"/>
          </w:tcPr>
          <w:p>
            <w:pPr>
              <w:spacing w:after="20" w:before="0" w:line="240" w:lineRule="auto"/>
            </w:pPr>
            <w:r/>
            <w:r>
              <w:rPr>
                <w:sz w:val="16"/>
              </w:rPr>
              <w:t>Li et al. (2024), ITransformer-CNN, CIC-Bell-DNS</w:t>
            </w:r>
          </w:p>
        </w:tc>
        <w:tc>
          <w:tcPr>
            <w:tcW w:type="dxa" w:w="2016"/>
          </w:tcPr>
          <w:p>
            <w:pPr>
              <w:spacing w:after="20" w:before="0" w:line="240" w:lineRule="auto"/>
            </w:pPr>
            <w:r/>
            <w:r>
              <w:rPr>
                <w:sz w:val="16"/>
              </w:rPr>
              <w:t>Accuracy 95.67%, Recall 83.21%, F1 88.43%</w:t>
            </w:r>
          </w:p>
        </w:tc>
        <w:tc>
          <w:tcPr>
            <w:tcW w:type="dxa" w:w="2016"/>
          </w:tcPr>
          <w:p>
            <w:pPr>
              <w:spacing w:after="20" w:before="0" w:line="240" w:lineRule="auto"/>
            </w:pPr>
            <w:r/>
            <w:r>
              <w:rPr>
                <w:sz w:val="16"/>
              </w:rPr>
              <w:t>Dataset A: Recall 99.80%, F1 81.77%</w:t>
            </w:r>
          </w:p>
        </w:tc>
        <w:tc>
          <w:tcPr>
            <w:tcW w:type="dxa" w:w="2016"/>
          </w:tcPr>
          <w:p>
            <w:pPr>
              <w:spacing w:after="20" w:before="0" w:line="240" w:lineRule="auto"/>
            </w:pPr>
            <w:r/>
            <w:r>
              <w:rPr>
                <w:sz w:val="16"/>
              </w:rPr>
              <w:t>recall higher, F1 lower</w:t>
            </w:r>
          </w:p>
        </w:tc>
      </w:tr>
      <w:tr>
        <w:tc>
          <w:tcPr>
            <w:tcW w:type="dxa" w:w="2016"/>
          </w:tcPr>
          <w:p>
            <w:pPr>
              <w:spacing w:after="20" w:before="0" w:line="240" w:lineRule="auto"/>
            </w:pPr>
            <w:r/>
            <w:r>
              <w:rPr>
                <w:sz w:val="16"/>
              </w:rPr>
              <w:t>Isolation Forest</w:t>
            </w:r>
          </w:p>
        </w:tc>
        <w:tc>
          <w:tcPr>
            <w:tcW w:type="dxa" w:w="2016"/>
          </w:tcPr>
          <w:p>
            <w:pPr>
              <w:spacing w:after="20" w:before="0" w:line="240" w:lineRule="auto"/>
            </w:pPr>
            <w:r/>
            <w:r>
              <w:rPr>
                <w:sz w:val="16"/>
              </w:rPr>
              <w:t xml:space="preserve">Wang et al. (2022), KRTunnel, mobile DNS </w:t>
            </w:r>
            <w:r>
              <w:rPr>
                <w:sz w:val="16"/>
              </w:rPr>
              <w:t>*(unverified)*</w:t>
            </w:r>
          </w:p>
        </w:tc>
        <w:tc>
          <w:tcPr>
            <w:tcW w:type="dxa" w:w="2016"/>
          </w:tcPr>
          <w:p>
            <w:pPr>
              <w:spacing w:after="20" w:before="0" w:line="240" w:lineRule="auto"/>
            </w:pPr>
            <w:r/>
            <w:r>
              <w:rPr>
                <w:sz w:val="16"/>
              </w:rPr>
              <w:t>Accuracy 98.1%</w:t>
            </w:r>
          </w:p>
        </w:tc>
        <w:tc>
          <w:tcPr>
            <w:tcW w:type="dxa" w:w="2016"/>
          </w:tcPr>
          <w:p>
            <w:pPr>
              <w:spacing w:after="20" w:before="0" w:line="240" w:lineRule="auto"/>
            </w:pPr>
            <w:r/>
            <w:r>
              <w:rPr>
                <w:sz w:val="16"/>
              </w:rPr>
              <w:t>A: Recall 7.45%, F1 0.1050 · B hard: Recall 23.91%, Precision 59.51%, F1 0.3411</w:t>
            </w:r>
          </w:p>
        </w:tc>
        <w:tc>
          <w:tcPr>
            <w:tcW w:type="dxa" w:w="2016"/>
          </w:tcPr>
          <w:p>
            <w:pPr>
              <w:spacing w:after="20" w:before="0" w:line="240" w:lineRule="auto"/>
            </w:pPr>
            <w:r/>
            <w:r>
              <w:rPr>
                <w:sz w:val="16"/>
              </w:rPr>
              <w:t>far below</w:t>
            </w:r>
          </w:p>
        </w:tc>
      </w:tr>
      <w:tr>
        <w:tc>
          <w:tcPr>
            <w:tcW w:type="dxa" w:w="2016"/>
          </w:tcPr>
          <w:p>
            <w:pPr>
              <w:spacing w:after="20" w:before="0" w:line="240" w:lineRule="auto"/>
            </w:pPr>
            <w:r/>
            <w:r>
              <w:rPr>
                <w:sz w:val="16"/>
              </w:rPr>
              <w:t>Autoencoder</w:t>
            </w:r>
          </w:p>
        </w:tc>
        <w:tc>
          <w:tcPr>
            <w:tcW w:type="dxa" w:w="2016"/>
          </w:tcPr>
          <w:p>
            <w:pPr>
              <w:spacing w:after="20" w:before="0" w:line="240" w:lineRule="auto"/>
            </w:pPr>
            <w:r/>
            <w:r>
              <w:rPr>
                <w:sz w:val="16"/>
              </w:rPr>
              <w:t xml:space="preserve">De Bernardi et al. (2025) </w:t>
            </w:r>
            <w:r>
              <w:rPr>
                <w:sz w:val="16"/>
              </w:rPr>
              <w:t>*(unverified)*</w:t>
            </w:r>
          </w:p>
        </w:tc>
        <w:tc>
          <w:tcPr>
            <w:tcW w:type="dxa" w:w="2016"/>
          </w:tcPr>
          <w:p>
            <w:pPr>
              <w:spacing w:after="20" w:before="0" w:line="240" w:lineRule="auto"/>
            </w:pPr>
            <w:r/>
            <w:r>
              <w:rPr>
                <w:sz w:val="16"/>
              </w:rPr>
              <w:t>—</w:t>
            </w:r>
          </w:p>
        </w:tc>
        <w:tc>
          <w:tcPr>
            <w:tcW w:type="dxa" w:w="2016"/>
          </w:tcPr>
          <w:p>
            <w:pPr>
              <w:spacing w:after="20" w:before="0" w:line="240" w:lineRule="auto"/>
            </w:pPr>
            <w:r/>
            <w:r>
              <w:rPr>
                <w:sz w:val="16"/>
              </w:rPr>
              <w:t>A: Recall 2.34%, Precision 30.06%, F1 0.0434 (AUC 0.2643) · B hard: Recall 26.81%, Precision 84.00%, F1 0.4064</w:t>
            </w:r>
          </w:p>
        </w:tc>
        <w:tc>
          <w:tcPr>
            <w:tcW w:type="dxa" w:w="2016"/>
          </w:tcPr>
          <w:p>
            <w:pPr>
              <w:spacing w:after="20" w:before="0" w:line="240" w:lineRule="auto"/>
            </w:pPr>
            <w:r/>
            <w:r>
              <w:rPr>
                <w:sz w:val="16"/>
              </w:rPr>
              <w:t>not comparable</w:t>
            </w:r>
          </w:p>
        </w:tc>
      </w:tr>
    </w:tbl>
    <w:p>
      <w:r>
        <w:rPr>
          <w:b/>
        </w:rPr>
        <w:t>XGBoost.</w:t>
      </w:r>
      <w:r>
        <w:t xml:space="preserve"> Our standalone model on B slightly exceeds Abrahim et al.'s full stacking ensemble — not the same system (theirs: XGBoost as meta-learner atop LSTM/GRU, not standalone; corpus adds DoH-Tunnel-Traffic-HKD). The plan's predicted pattern ("hard framing looks worse than published easy framing") doesn't hold — hard framing already F1≈0.9999.</w:t>
      </w:r>
    </w:p>
    <w:p>
      <w:r>
        <w:rPr>
          <w:b/>
        </w:rPr>
        <w:t>CNN.</w:t>
      </w:r>
      <w:r>
        <w:t xml:space="preserve"> Recall dramatically higher (99.80% vs. 83.21%); F1 somewhat lower (81.77% vs. 88.43%) — diagnosable: this CNN carries the same ~40% FPR wall every supervised model hits on A (Ch. 8.1); Li et al. don't disclose Precision/FPR. Their model fuses a Transformer over domain-name sequences with a CNN over traffic features — not a standalone CNN over an 11-column vector — the Transformer branch likely carries most of their precision gain from sequence patterns this project's stateless schema (D1) can't see.</w:t>
      </w:r>
    </w:p>
    <w:p>
      <w:r>
        <w:rPr>
          <w:b/>
        </w:rPr>
        <w:t>Isolation Forest.</w:t>
      </w:r>
      <w:r>
        <w:t xml:space="preserve"> Starkest gap. Wang et al.'s 98.1% not independently verified (every fetch HTTP 403; number from a search snippet) — but the gap's </w:t>
      </w:r>
      <w:r>
        <w:rPr>
          <w:i/>
        </w:rPr>
        <w:t>direction</w:t>
      </w:r>
      <w:r>
        <w:t xml:space="preserve"> isn't in question: far below usable on both datasets, diagnosed by Step 2E's core result and confirmed by the Autoencoder and Ch. 5's transfer collapse — exfiltration isn't a minority density on either dataset (A's IsoForest ROC-AUC=0.2610, below chance). KRTunnel's mobile context is plausibly a genuine low-base-rate setting these datasets (built for statistical power, D5/D8) don't supply.</w:t>
      </w:r>
    </w:p>
    <w:p>
      <w:r>
        <w:rPr>
          <w:b/>
        </w:rPr>
        <w:t>Autoencoder.</w:t>
      </w:r>
      <w:r>
        <w:t xml:space="preserve"> No numeric comparison possible — every fetch (MDPI, ProQuest mirror) returned 403 or no extractable body; citation confirmed via two sources, but dataset/config/metrics are not. Our own Autoencoder is genuinely poor on both — below majority baseline on B, below-chance on A — echoing Isolation Forest's diagnosis: two structurally unrelated unsupervised architectures both invert on Dataset A specifically.</w:t>
      </w:r>
    </w:p>
    <w:p>
      <w:r>
        <w:rPr>
          <w:b/>
        </w:rPr>
        <w:t>Summary.</w:t>
      </w:r>
      <w:r>
        <w:t xml:space="preserve"> The plan's anticipated single explanation ("hard framing looks worse than published easy-framing work") explains none of the four gaps. Real causes are more specific: an ensemble-vs-standalone comparison, a feature-access asymmetry, a dataset-specific structural property already diagnosed in Ch. 5/8.1, and one unverifiable benchmark — consistent with this report's D4 dual-framing design, built to let such a claim be checked rather than asserted.</w:t>
      </w:r>
    </w:p>
    <w:p>
      <w:pPr>
        <w:pStyle w:val="Heading1"/>
      </w:pPr>
      <w:r>
        <w:t>Chapter 8.4 — The Hybrid Cascade</w:t>
      </w:r>
    </w:p>
    <w:p>
      <w:pPr>
        <w:pStyle w:val="Heading2"/>
      </w:pPr>
      <w:r>
        <w:t>8.4.1 Rationale</w:t>
      </w:r>
    </w:p>
    <w:p>
      <w:r>
        <w:t xml:space="preserve">A single supervised model scores every row with the same machinery regardless of how obvious it is. </w:t>
      </w:r>
      <w:r>
        <w:rPr>
          <w:rFonts w:ascii="Consolas" w:hAnsi="Consolas"/>
          <w:sz w:val="20"/>
        </w:rPr>
        <w:t>ensemble/cascade.py</w:t>
      </w:r>
      <w:r>
        <w:t xml:space="preserve"> triages instead: </w:t>
      </w:r>
      <w:r>
        <w:rPr>
          <w:b/>
        </w:rPr>
        <w:t>Stage 1 — Isolation Forest</w:t>
      </w:r>
      <w:r>
        <w:t xml:space="preserve">, tuned for </w:t>
      </w:r>
      <w:r>
        <w:rPr>
          <w:b/>
        </w:rPr>
        <w:t>recall</w:t>
      </w:r>
      <w:r>
        <w:t xml:space="preserve">, discards whatever it scores unambiguously normal (a first-stage miss is unrecoverable downstream, so contamination maximises recall within an FPR budget, not F1). </w:t>
      </w:r>
      <w:r>
        <w:rPr>
          <w:b/>
        </w:rPr>
        <w:t>Stage 2 — XGBoost</w:t>
      </w:r>
      <w:r>
        <w:t xml:space="preserve"> scores survivors; confident predictions resolve directly. </w:t>
      </w:r>
      <w:r>
        <w:rPr>
          <w:b/>
        </w:rPr>
        <w:t>Stage 3 — escalation</w:t>
      </w:r>
      <w:r>
        <w:t xml:space="preserve"> triggers when XGBoost's probability falls in </w:t>
      </w:r>
      <w:r>
        <w:rPr>
          <w:rFonts w:ascii="Consolas" w:hAnsi="Consolas"/>
          <w:sz w:val="20"/>
        </w:rPr>
        <w:t>0.35≤P≤0.65</w:t>
      </w:r>
      <w:r>
        <w:t xml:space="preserve"> </w:t>
      </w:r>
      <w:r>
        <w:rPr>
          <w:b/>
        </w:rPr>
        <w:t>or</w:t>
      </w:r>
      <w:r>
        <w:t xml:space="preserve"> XGBoost/Autoencoder disagree. Step 3D (LLM arbiter) deferred by default (D7); escalated rows fall back to XGBoost's own verdict.</w:t>
      </w:r>
    </w:p>
    <w:p>
      <w:pPr>
        <w:pStyle w:val="Heading2"/>
      </w:pPr>
      <w:r>
        <w:t>8.4.2 Funnel and results</w:t>
      </w:r>
    </w:p>
    <w:p>
      <w:r>
        <w:t>Real Dataset B, hard framing (39,614 rows, 7,923-row held-out split; single stratified 80/20, not CV, since per-stage latency is being measured):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Stage</w:t>
            </w:r>
          </w:p>
        </w:tc>
        <w:tc>
          <w:tcPr>
            <w:tcW w:type="dxa" w:w="2016"/>
          </w:tcPr>
          <w:p>
            <w:pPr>
              <w:spacing w:after="20" w:before="0" w:line="240" w:lineRule="auto"/>
            </w:pPr>
            <w:r/>
            <w:r>
              <w:rPr>
                <w:b/>
                <w:sz w:val="16"/>
              </w:rPr>
              <w:t>Rows in</w:t>
            </w:r>
          </w:p>
        </w:tc>
        <w:tc>
          <w:tcPr>
            <w:tcW w:type="dxa" w:w="2016"/>
          </w:tcPr>
          <w:p>
            <w:pPr>
              <w:spacing w:after="20" w:before="0" w:line="240" w:lineRule="auto"/>
            </w:pPr>
            <w:r/>
            <w:r>
              <w:rPr>
                <w:b/>
                <w:sz w:val="16"/>
              </w:rPr>
              <w:t>Rows out</w:t>
            </w:r>
          </w:p>
        </w:tc>
        <w:tc>
          <w:tcPr>
            <w:tcW w:type="dxa" w:w="2016"/>
          </w:tcPr>
          <w:p>
            <w:pPr>
              <w:spacing w:after="20" w:before="0" w:line="240" w:lineRule="auto"/>
            </w:pPr>
            <w:r/>
            <w:r>
              <w:rPr>
                <w:b/>
                <w:sz w:val="16"/>
              </w:rPr>
              <w:t>Fit latency</w:t>
            </w:r>
          </w:p>
        </w:tc>
        <w:tc>
          <w:tcPr>
            <w:tcW w:type="dxa" w:w="2016"/>
          </w:tcPr>
          <w:p>
            <w:pPr>
              <w:spacing w:after="20" w:before="0" w:line="240" w:lineRule="auto"/>
            </w:pPr>
            <w:r/>
            <w:r>
              <w:rPr>
                <w:b/>
                <w:sz w:val="16"/>
              </w:rPr>
              <w:t>Predict latency (per row)</w:t>
            </w:r>
          </w:p>
        </w:tc>
      </w:tr>
      <w:tr>
        <w:tc>
          <w:tcPr>
            <w:tcW w:type="dxa" w:w="2016"/>
          </w:tcPr>
          <w:p>
            <w:pPr>
              <w:spacing w:after="20" w:before="0" w:line="240" w:lineRule="auto"/>
            </w:pPr>
            <w:r/>
            <w:r>
              <w:rPr>
                <w:sz w:val="16"/>
              </w:rPr>
              <w:t>1 — Isolation Forest (contam.=0.30)</w:t>
            </w:r>
          </w:p>
        </w:tc>
        <w:tc>
          <w:tcPr>
            <w:tcW w:type="dxa" w:w="2016"/>
          </w:tcPr>
          <w:p>
            <w:pPr>
              <w:spacing w:after="20" w:before="0" w:line="240" w:lineRule="auto"/>
            </w:pPr>
            <w:r/>
            <w:r>
              <w:rPr>
                <w:sz w:val="16"/>
              </w:rPr>
              <w:t>7,923</w:t>
            </w:r>
          </w:p>
        </w:tc>
        <w:tc>
          <w:tcPr>
            <w:tcW w:type="dxa" w:w="2016"/>
          </w:tcPr>
          <w:p>
            <w:pPr>
              <w:spacing w:after="20" w:before="0" w:line="240" w:lineRule="auto"/>
            </w:pPr>
            <w:r/>
            <w:r>
              <w:rPr>
                <w:sz w:val="16"/>
              </w:rPr>
              <w:t>2,413 survive (5,510 discarded, 69.5%)</w:t>
            </w:r>
          </w:p>
        </w:tc>
        <w:tc>
          <w:tcPr>
            <w:tcW w:type="dxa" w:w="2016"/>
          </w:tcPr>
          <w:p>
            <w:pPr>
              <w:spacing w:after="20" w:before="0" w:line="240" w:lineRule="auto"/>
            </w:pPr>
            <w:r/>
            <w:r>
              <w:rPr>
                <w:sz w:val="16"/>
              </w:rPr>
              <w:t>1.87 s</w:t>
            </w:r>
          </w:p>
        </w:tc>
        <w:tc>
          <w:tcPr>
            <w:tcW w:type="dxa" w:w="2016"/>
          </w:tcPr>
          <w:p>
            <w:pPr>
              <w:spacing w:after="20" w:before="0" w:line="240" w:lineRule="auto"/>
            </w:pPr>
            <w:r/>
            <w:r>
              <w:rPr>
                <w:sz w:val="16"/>
              </w:rPr>
              <w:t>27.7 μs</w:t>
            </w:r>
          </w:p>
        </w:tc>
      </w:tr>
      <w:tr>
        <w:tc>
          <w:tcPr>
            <w:tcW w:type="dxa" w:w="2016"/>
          </w:tcPr>
          <w:p>
            <w:pPr>
              <w:spacing w:after="20" w:before="0" w:line="240" w:lineRule="auto"/>
            </w:pPr>
            <w:r/>
            <w:r>
              <w:rPr>
                <w:sz w:val="16"/>
              </w:rPr>
              <w:t>2 — XGBoost</w:t>
            </w:r>
          </w:p>
        </w:tc>
        <w:tc>
          <w:tcPr>
            <w:tcW w:type="dxa" w:w="2016"/>
          </w:tcPr>
          <w:p>
            <w:pPr>
              <w:spacing w:after="20" w:before="0" w:line="240" w:lineRule="auto"/>
            </w:pPr>
            <w:r/>
            <w:r>
              <w:rPr>
                <w:sz w:val="16"/>
              </w:rPr>
              <w:t>2,413</w:t>
            </w:r>
          </w:p>
        </w:tc>
        <w:tc>
          <w:tcPr>
            <w:tcW w:type="dxa" w:w="2016"/>
          </w:tcPr>
          <w:p>
            <w:pPr>
              <w:spacing w:after="20" w:before="0" w:line="240" w:lineRule="auto"/>
            </w:pPr>
            <w:r/>
            <w:r>
              <w:rPr>
                <w:sz w:val="16"/>
              </w:rPr>
              <w:t>1,732 confident, 681 escalate (28.2%)</w:t>
            </w:r>
          </w:p>
        </w:tc>
        <w:tc>
          <w:tcPr>
            <w:tcW w:type="dxa" w:w="2016"/>
          </w:tcPr>
          <w:p>
            <w:pPr>
              <w:spacing w:after="20" w:before="0" w:line="240" w:lineRule="auto"/>
            </w:pPr>
            <w:r/>
            <w:r>
              <w:rPr>
                <w:sz w:val="16"/>
              </w:rPr>
              <w:t>2.36 s</w:t>
            </w:r>
          </w:p>
        </w:tc>
        <w:tc>
          <w:tcPr>
            <w:tcW w:type="dxa" w:w="2016"/>
          </w:tcPr>
          <w:p>
            <w:pPr>
              <w:spacing w:after="20" w:before="0" w:line="240" w:lineRule="auto"/>
            </w:pPr>
            <w:r/>
            <w:r>
              <w:rPr>
                <w:sz w:val="16"/>
              </w:rPr>
              <w:t>5.7 μs</w:t>
            </w:r>
          </w:p>
        </w:tc>
      </w:tr>
      <w:tr>
        <w:tc>
          <w:tcPr>
            <w:tcW w:type="dxa" w:w="2016"/>
          </w:tcPr>
          <w:p>
            <w:pPr>
              <w:spacing w:after="20" w:before="0" w:line="240" w:lineRule="auto"/>
            </w:pPr>
            <w:r/>
            <w:r>
              <w:rPr>
                <w:sz w:val="16"/>
              </w:rPr>
              <w:t>3 — Escalation</w:t>
            </w:r>
          </w:p>
        </w:tc>
        <w:tc>
          <w:tcPr>
            <w:tcW w:type="dxa" w:w="2016"/>
          </w:tcPr>
          <w:p>
            <w:pPr>
              <w:spacing w:after="20" w:before="0" w:line="240" w:lineRule="auto"/>
            </w:pPr>
            <w:r/>
            <w:r>
              <w:rPr>
                <w:sz w:val="16"/>
              </w:rPr>
              <w:t>2,413</w:t>
            </w:r>
          </w:p>
        </w:tc>
        <w:tc>
          <w:tcPr>
            <w:tcW w:type="dxa" w:w="2016"/>
          </w:tcPr>
          <w:p>
            <w:pPr>
              <w:spacing w:after="20" w:before="0" w:line="240" w:lineRule="auto"/>
            </w:pPr>
            <w:r/>
            <w:r>
              <w:rPr>
                <w:sz w:val="16"/>
              </w:rPr>
              <w:t>681 escalated: 0 via probability band, 681 via disagreement</w:t>
            </w:r>
          </w:p>
        </w:tc>
        <w:tc>
          <w:tcPr>
            <w:tcW w:type="dxa" w:w="2016"/>
          </w:tcPr>
          <w:p>
            <w:pPr>
              <w:spacing w:after="20" w:before="0" w:line="240" w:lineRule="auto"/>
            </w:pPr>
            <w:r/>
            <w:r>
              <w:rPr>
                <w:sz w:val="16"/>
              </w:rPr>
              <w:t>AE fit 31.9 s</w:t>
            </w:r>
          </w:p>
        </w:tc>
        <w:tc>
          <w:tcPr>
            <w:tcW w:type="dxa" w:w="2016"/>
          </w:tcPr>
          <w:p>
            <w:pPr>
              <w:spacing w:after="20" w:before="0" w:line="240" w:lineRule="auto"/>
            </w:pPr>
            <w:r/>
            <w:r>
              <w:rPr>
                <w:sz w:val="16"/>
              </w:rPr>
              <w:t>23.9 μs (AE)</w:t>
            </w:r>
          </w:p>
        </w:tc>
      </w:tr>
    </w:tbl>
    <w:p>
      <w:r>
        <w:t xml:space="preserve">Contamination (0.30) selected by </w:t>
      </w:r>
      <w:r>
        <w:rPr>
          <w:rFonts w:ascii="Consolas" w:hAnsi="Consolas"/>
          <w:sz w:val="20"/>
        </w:rPr>
        <w:t>select_cascade_contamination(max_tolerable_fpr=0.5)</w:t>
      </w:r>
      <w:r>
        <w:t xml:space="preserve"> at recall 0.331/FPR 0.268. 681 escalations sits within the "few hundred" target.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40"/>
        <w:gridCol w:w="1440"/>
        <w:gridCol w:w="1440"/>
        <w:gridCol w:w="1440"/>
        <w:gridCol w:w="1440"/>
        <w:gridCol w:w="1440"/>
        <w:gridCol w:w="1440"/>
      </w:tblGrid>
      <w:tr>
        <w:tc>
          <w:tcPr>
            <w:tcW w:type="dxa" w:w="1440"/>
          </w:tcPr>
          <w:p>
            <w:pPr>
              <w:spacing w:after="20" w:before="0" w:line="240" w:lineRule="auto"/>
            </w:pPr>
            <w:r/>
          </w:p>
        </w:tc>
        <w:tc>
          <w:tcPr>
            <w:tcW w:type="dxa" w:w="1440"/>
          </w:tcPr>
          <w:p>
            <w:pPr>
              <w:spacing w:after="20" w:before="0" w:line="240" w:lineRule="auto"/>
            </w:pPr>
            <w:r/>
            <w:r>
              <w:rPr>
                <w:b/>
                <w:sz w:val="16"/>
              </w:rPr>
              <w:t>Precision</w:t>
            </w:r>
          </w:p>
        </w:tc>
        <w:tc>
          <w:tcPr>
            <w:tcW w:type="dxa" w:w="1440"/>
          </w:tcPr>
          <w:p>
            <w:pPr>
              <w:spacing w:after="20" w:before="0" w:line="240" w:lineRule="auto"/>
            </w:pPr>
            <w:r/>
            <w:r>
              <w:rPr>
                <w:b/>
                <w:sz w:val="16"/>
              </w:rPr>
              <w:t>Recall</w:t>
            </w:r>
          </w:p>
        </w:tc>
        <w:tc>
          <w:tcPr>
            <w:tcW w:type="dxa" w:w="1440"/>
          </w:tcPr>
          <w:p>
            <w:pPr>
              <w:spacing w:after="20" w:before="0" w:line="240" w:lineRule="auto"/>
            </w:pPr>
            <w:r/>
            <w:r>
              <w:rPr>
                <w:b/>
                <w:sz w:val="16"/>
              </w:rPr>
              <w:t>F1</w:t>
            </w:r>
          </w:p>
        </w:tc>
        <w:tc>
          <w:tcPr>
            <w:tcW w:type="dxa" w:w="1440"/>
          </w:tcPr>
          <w:p>
            <w:pPr>
              <w:spacing w:after="20" w:before="0" w:line="240" w:lineRule="auto"/>
            </w:pPr>
            <w:r/>
            <w:r>
              <w:rPr>
                <w:b/>
                <w:sz w:val="16"/>
              </w:rPr>
              <w:t>PR-AUC</w:t>
            </w:r>
          </w:p>
        </w:tc>
        <w:tc>
          <w:tcPr>
            <w:tcW w:type="dxa" w:w="1440"/>
          </w:tcPr>
          <w:p>
            <w:pPr>
              <w:spacing w:after="20" w:before="0" w:line="240" w:lineRule="auto"/>
            </w:pPr>
            <w:r/>
            <w:r>
              <w:rPr>
                <w:b/>
                <w:sz w:val="16"/>
              </w:rPr>
              <w:t>ROC-AUC</w:t>
            </w:r>
          </w:p>
        </w:tc>
        <w:tc>
          <w:tcPr>
            <w:tcW w:type="dxa" w:w="1440"/>
          </w:tcPr>
          <w:p>
            <w:pPr>
              <w:spacing w:after="20" w:before="0" w:line="240" w:lineRule="auto"/>
            </w:pPr>
            <w:r/>
            <w:r>
              <w:rPr>
                <w:b/>
                <w:sz w:val="16"/>
              </w:rPr>
              <w:t>FPR</w:t>
            </w:r>
          </w:p>
        </w:tc>
      </w:tr>
      <w:tr>
        <w:tc>
          <w:tcPr>
            <w:tcW w:type="dxa" w:w="1440"/>
          </w:tcPr>
          <w:p>
            <w:pPr>
              <w:spacing w:after="20" w:before="0" w:line="240" w:lineRule="auto"/>
            </w:pPr>
            <w:r/>
            <w:r>
              <w:rPr>
                <w:b/>
                <w:sz w:val="16"/>
              </w:rPr>
              <w:t>Cascade (end-to-end)</w:t>
            </w:r>
          </w:p>
        </w:tc>
        <w:tc>
          <w:tcPr>
            <w:tcW w:type="dxa" w:w="1440"/>
          </w:tcPr>
          <w:p>
            <w:pPr>
              <w:spacing w:after="20" w:before="0" w:line="240" w:lineRule="auto"/>
            </w:pPr>
            <w:r/>
            <w:r>
              <w:rPr>
                <w:sz w:val="16"/>
              </w:rPr>
              <w:t>1.0</w:t>
            </w:r>
          </w:p>
        </w:tc>
        <w:tc>
          <w:tcPr>
            <w:tcW w:type="dxa" w:w="1440"/>
          </w:tcPr>
          <w:p>
            <w:pPr>
              <w:spacing w:after="20" w:before="0" w:line="240" w:lineRule="auto"/>
            </w:pPr>
            <w:r/>
            <w:r>
              <w:rPr>
                <w:sz w:val="16"/>
              </w:rPr>
              <w:t>0.3380</w:t>
            </w:r>
          </w:p>
        </w:tc>
        <w:tc>
          <w:tcPr>
            <w:tcW w:type="dxa" w:w="1440"/>
          </w:tcPr>
          <w:p>
            <w:pPr>
              <w:spacing w:after="20" w:before="0" w:line="240" w:lineRule="auto"/>
            </w:pPr>
            <w:r/>
            <w:r>
              <w:rPr>
                <w:b/>
                <w:sz w:val="16"/>
              </w:rPr>
              <w:t>0.5053</w:t>
            </w:r>
          </w:p>
        </w:tc>
        <w:tc>
          <w:tcPr>
            <w:tcW w:type="dxa" w:w="1440"/>
          </w:tcPr>
          <w:p>
            <w:pPr>
              <w:spacing w:after="20" w:before="0" w:line="240" w:lineRule="auto"/>
            </w:pPr>
            <w:r/>
            <w:r>
              <w:rPr>
                <w:sz w:val="16"/>
              </w:rPr>
              <w:t>0.6690</w:t>
            </w:r>
          </w:p>
        </w:tc>
        <w:tc>
          <w:tcPr>
            <w:tcW w:type="dxa" w:w="1440"/>
          </w:tcPr>
          <w:p>
            <w:pPr>
              <w:spacing w:after="20" w:before="0" w:line="240" w:lineRule="auto"/>
            </w:pPr>
            <w:r/>
            <w:r>
              <w:rPr>
                <w:sz w:val="16"/>
              </w:rPr>
              <w:t>0.5793</w:t>
            </w:r>
          </w:p>
        </w:tc>
        <w:tc>
          <w:tcPr>
            <w:tcW w:type="dxa" w:w="1440"/>
          </w:tcPr>
          <w:p>
            <w:pPr>
              <w:spacing w:after="20" w:before="0" w:line="240" w:lineRule="auto"/>
            </w:pPr>
            <w:r/>
            <w:r>
              <w:rPr>
                <w:sz w:val="16"/>
              </w:rPr>
              <w:t>0.0</w:t>
            </w:r>
          </w:p>
        </w:tc>
      </w:tr>
      <w:tr>
        <w:tc>
          <w:tcPr>
            <w:tcW w:type="dxa" w:w="1440"/>
          </w:tcPr>
          <w:p>
            <w:pPr>
              <w:spacing w:after="20" w:before="0" w:line="240" w:lineRule="auto"/>
            </w:pPr>
            <w:r/>
            <w:r>
              <w:rPr>
                <w:sz w:val="16"/>
              </w:rPr>
              <w:t>Isolation Forest (alone)</w:t>
            </w:r>
          </w:p>
        </w:tc>
        <w:tc>
          <w:tcPr>
            <w:tcW w:type="dxa" w:w="1440"/>
          </w:tcPr>
          <w:p>
            <w:pPr>
              <w:spacing w:after="20" w:before="0" w:line="240" w:lineRule="auto"/>
            </w:pPr>
            <w:r/>
            <w:r>
              <w:rPr>
                <w:sz w:val="16"/>
              </w:rPr>
              <w:t>0.5549</w:t>
            </w:r>
          </w:p>
        </w:tc>
        <w:tc>
          <w:tcPr>
            <w:tcW w:type="dxa" w:w="1440"/>
          </w:tcPr>
          <w:p>
            <w:pPr>
              <w:spacing w:after="20" w:before="0" w:line="240" w:lineRule="auto"/>
            </w:pPr>
            <w:r/>
            <w:r>
              <w:rPr>
                <w:sz w:val="16"/>
              </w:rPr>
              <w:t>0.3380</w:t>
            </w:r>
          </w:p>
        </w:tc>
        <w:tc>
          <w:tcPr>
            <w:tcW w:type="dxa" w:w="1440"/>
          </w:tcPr>
          <w:p>
            <w:pPr>
              <w:spacing w:after="20" w:before="0" w:line="240" w:lineRule="auto"/>
            </w:pPr>
            <w:r/>
            <w:r>
              <w:rPr>
                <w:sz w:val="16"/>
              </w:rPr>
              <w:t>0.4201</w:t>
            </w:r>
          </w:p>
        </w:tc>
        <w:tc>
          <w:tcPr>
            <w:tcW w:type="dxa" w:w="1440"/>
          </w:tcPr>
          <w:p>
            <w:pPr>
              <w:spacing w:after="20" w:before="0" w:line="240" w:lineRule="auto"/>
            </w:pPr>
            <w:r/>
            <w:r>
              <w:rPr>
                <w:sz w:val="16"/>
              </w:rPr>
              <w:t>0.5258</w:t>
            </w:r>
          </w:p>
        </w:tc>
        <w:tc>
          <w:tcPr>
            <w:tcW w:type="dxa" w:w="1440"/>
          </w:tcPr>
          <w:p>
            <w:pPr>
              <w:spacing w:after="20" w:before="0" w:line="240" w:lineRule="auto"/>
            </w:pPr>
            <w:r/>
            <w:r>
              <w:rPr>
                <w:sz w:val="16"/>
              </w:rPr>
              <w:t>0.4591</w:t>
            </w:r>
          </w:p>
        </w:tc>
        <w:tc>
          <w:tcPr>
            <w:tcW w:type="dxa" w:w="1440"/>
          </w:tcPr>
          <w:p>
            <w:pPr>
              <w:spacing w:after="20" w:before="0" w:line="240" w:lineRule="auto"/>
            </w:pPr>
            <w:r/>
            <w:r>
              <w:rPr>
                <w:sz w:val="16"/>
              </w:rPr>
              <w:t>0.2711</w:t>
            </w:r>
          </w:p>
        </w:tc>
      </w:tr>
      <w:tr>
        <w:tc>
          <w:tcPr>
            <w:tcW w:type="dxa" w:w="1440"/>
          </w:tcPr>
          <w:p>
            <w:pPr>
              <w:spacing w:after="20" w:before="0" w:line="240" w:lineRule="auto"/>
            </w:pPr>
            <w:r/>
            <w:r>
              <w:rPr>
                <w:b/>
                <w:sz w:val="16"/>
              </w:rPr>
              <w:t>XGBoost (alone)</w:t>
            </w:r>
          </w:p>
        </w:tc>
        <w:tc>
          <w:tcPr>
            <w:tcW w:type="dxa" w:w="1440"/>
          </w:tcPr>
          <w:p>
            <w:pPr>
              <w:spacing w:after="20" w:before="0" w:line="240" w:lineRule="auto"/>
            </w:pPr>
            <w:r/>
            <w:r>
              <w:rPr>
                <w:sz w:val="16"/>
              </w:rPr>
              <w:t>1.0</w:t>
            </w:r>
          </w:p>
        </w:tc>
        <w:tc>
          <w:tcPr>
            <w:tcW w:type="dxa" w:w="1440"/>
          </w:tcPr>
          <w:p>
            <w:pPr>
              <w:spacing w:after="20" w:before="0" w:line="240" w:lineRule="auto"/>
            </w:pPr>
            <w:r/>
            <w:r>
              <w:rPr>
                <w:sz w:val="16"/>
              </w:rPr>
              <w:t>0.9997</w:t>
            </w:r>
          </w:p>
        </w:tc>
        <w:tc>
          <w:tcPr>
            <w:tcW w:type="dxa" w:w="1440"/>
          </w:tcPr>
          <w:p>
            <w:pPr>
              <w:spacing w:after="20" w:before="0" w:line="240" w:lineRule="auto"/>
            </w:pPr>
            <w:r/>
            <w:r>
              <w:rPr>
                <w:b/>
                <w:sz w:val="16"/>
              </w:rPr>
              <w:t>0.9999</w:t>
            </w:r>
          </w:p>
        </w:tc>
        <w:tc>
          <w:tcPr>
            <w:tcW w:type="dxa" w:w="1440"/>
          </w:tcPr>
          <w:p>
            <w:pPr>
              <w:spacing w:after="20" w:before="0" w:line="240" w:lineRule="auto"/>
            </w:pPr>
            <w:r/>
            <w:r>
              <w:rPr>
                <w:sz w:val="16"/>
              </w:rPr>
              <w:t>1.0</w:t>
            </w:r>
          </w:p>
        </w:tc>
        <w:tc>
          <w:tcPr>
            <w:tcW w:type="dxa" w:w="1440"/>
          </w:tcPr>
          <w:p>
            <w:pPr>
              <w:spacing w:after="20" w:before="0" w:line="240" w:lineRule="auto"/>
            </w:pPr>
            <w:r/>
            <w:r>
              <w:rPr>
                <w:sz w:val="16"/>
              </w:rPr>
              <w:t>1.0</w:t>
            </w:r>
          </w:p>
        </w:tc>
        <w:tc>
          <w:tcPr>
            <w:tcW w:type="dxa" w:w="1440"/>
          </w:tcPr>
          <w:p>
            <w:pPr>
              <w:spacing w:after="20" w:before="0" w:line="240" w:lineRule="auto"/>
            </w:pPr>
            <w:r/>
            <w:r>
              <w:rPr>
                <w:sz w:val="16"/>
              </w:rPr>
              <w:t>0.0</w:t>
            </w:r>
          </w:p>
        </w:tc>
      </w:tr>
      <w:tr>
        <w:tc>
          <w:tcPr>
            <w:tcW w:type="dxa" w:w="1440"/>
          </w:tcPr>
          <w:p>
            <w:pPr>
              <w:spacing w:after="20" w:before="0" w:line="240" w:lineRule="auto"/>
            </w:pPr>
            <w:r/>
            <w:r>
              <w:rPr>
                <w:sz w:val="16"/>
              </w:rPr>
              <w:t>Autoencoder (alone)</w:t>
            </w:r>
          </w:p>
        </w:tc>
        <w:tc>
          <w:tcPr>
            <w:tcW w:type="dxa" w:w="1440"/>
          </w:tcPr>
          <w:p>
            <w:pPr>
              <w:spacing w:after="20" w:before="0" w:line="240" w:lineRule="auto"/>
            </w:pPr>
            <w:r/>
            <w:r>
              <w:rPr>
                <w:sz w:val="16"/>
              </w:rPr>
              <w:t>0.8144</w:t>
            </w:r>
          </w:p>
        </w:tc>
        <w:tc>
          <w:tcPr>
            <w:tcW w:type="dxa" w:w="1440"/>
          </w:tcPr>
          <w:p>
            <w:pPr>
              <w:spacing w:after="20" w:before="0" w:line="240" w:lineRule="auto"/>
            </w:pPr>
            <w:r/>
            <w:r>
              <w:rPr>
                <w:sz w:val="16"/>
              </w:rPr>
              <w:t>0.2492</w:t>
            </w:r>
          </w:p>
        </w:tc>
        <w:tc>
          <w:tcPr>
            <w:tcW w:type="dxa" w:w="1440"/>
          </w:tcPr>
          <w:p>
            <w:pPr>
              <w:spacing w:after="20" w:before="0" w:line="240" w:lineRule="auto"/>
            </w:pPr>
            <w:r/>
            <w:r>
              <w:rPr>
                <w:sz w:val="16"/>
              </w:rPr>
              <w:t>0.3816</w:t>
            </w:r>
          </w:p>
        </w:tc>
        <w:tc>
          <w:tcPr>
            <w:tcW w:type="dxa" w:w="1440"/>
          </w:tcPr>
          <w:p>
            <w:pPr>
              <w:spacing w:after="20" w:before="0" w:line="240" w:lineRule="auto"/>
            </w:pPr>
            <w:r/>
            <w:r>
              <w:rPr>
                <w:sz w:val="16"/>
              </w:rPr>
              <w:t>0.7614</w:t>
            </w:r>
          </w:p>
        </w:tc>
        <w:tc>
          <w:tcPr>
            <w:tcW w:type="dxa" w:w="1440"/>
          </w:tcPr>
          <w:p>
            <w:pPr>
              <w:spacing w:after="20" w:before="0" w:line="240" w:lineRule="auto"/>
            </w:pPr>
            <w:r/>
            <w:r>
              <w:rPr>
                <w:sz w:val="16"/>
              </w:rPr>
              <w:t>0.7850</w:t>
            </w:r>
          </w:p>
        </w:tc>
        <w:tc>
          <w:tcPr>
            <w:tcW w:type="dxa" w:w="1440"/>
          </w:tcPr>
          <w:p>
            <w:pPr>
              <w:spacing w:after="20" w:before="0" w:line="240" w:lineRule="auto"/>
            </w:pPr>
            <w:r/>
            <w:r>
              <w:rPr>
                <w:sz w:val="16"/>
              </w:rPr>
              <w:t>0.0568</w:t>
            </w:r>
          </w:p>
        </w:tc>
      </w:tr>
      <w:tr>
        <w:tc>
          <w:tcPr>
            <w:tcW w:type="dxa" w:w="1440"/>
          </w:tcPr>
          <w:p>
            <w:pPr>
              <w:spacing w:after="20" w:before="0" w:line="240" w:lineRule="auto"/>
            </w:pPr>
            <w:r/>
            <w:r>
              <w:rPr>
                <w:sz w:val="16"/>
              </w:rPr>
              <w:t>Majority-class baseline</w:t>
            </w:r>
          </w:p>
        </w:tc>
        <w:tc>
          <w:tcPr>
            <w:tcW w:type="dxa" w:w="1440"/>
          </w:tcPr>
          <w:p>
            <w:pPr>
              <w:spacing w:after="20" w:before="0" w:line="240" w:lineRule="auto"/>
            </w:pPr>
            <w:r/>
            <w:r>
              <w:rPr>
                <w:sz w:val="16"/>
              </w:rPr>
              <w:t>—</w:t>
            </w:r>
          </w:p>
        </w:tc>
        <w:tc>
          <w:tcPr>
            <w:tcW w:type="dxa" w:w="1440"/>
          </w:tcPr>
          <w:p>
            <w:pPr>
              <w:spacing w:after="20" w:before="0" w:line="240" w:lineRule="auto"/>
            </w:pPr>
            <w:r/>
            <w:r>
              <w:rPr>
                <w:sz w:val="16"/>
              </w:rPr>
              <w:t>—</w:t>
            </w:r>
          </w:p>
        </w:tc>
        <w:tc>
          <w:tcPr>
            <w:tcW w:type="dxa" w:w="1440"/>
          </w:tcPr>
          <w:p>
            <w:pPr>
              <w:spacing w:after="20" w:before="0" w:line="240" w:lineRule="auto"/>
            </w:pPr>
            <w:r/>
            <w:r>
              <w:rPr>
                <w:sz w:val="16"/>
              </w:rPr>
              <w:t>0.6667</w:t>
            </w:r>
          </w:p>
        </w:tc>
        <w:tc>
          <w:tcPr>
            <w:tcW w:type="dxa" w:w="1440"/>
          </w:tcPr>
          <w:p>
            <w:pPr>
              <w:spacing w:after="20" w:before="0" w:line="240" w:lineRule="auto"/>
            </w:pPr>
            <w:r/>
            <w:r>
              <w:rPr>
                <w:sz w:val="16"/>
              </w:rPr>
              <w:t>—</w:t>
            </w:r>
          </w:p>
        </w:tc>
        <w:tc>
          <w:tcPr>
            <w:tcW w:type="dxa" w:w="1440"/>
          </w:tcPr>
          <w:p>
            <w:pPr>
              <w:spacing w:after="20" w:before="0" w:line="240" w:lineRule="auto"/>
            </w:pPr>
            <w:r/>
            <w:r>
              <w:rPr>
                <w:sz w:val="16"/>
              </w:rPr>
              <w:t>—</w:t>
            </w:r>
          </w:p>
        </w:tc>
        <w:tc>
          <w:tcPr>
            <w:tcW w:type="dxa" w:w="1440"/>
          </w:tcPr>
          <w:p>
            <w:pPr>
              <w:spacing w:after="20" w:before="0" w:line="240" w:lineRule="auto"/>
            </w:pPr>
            <w:r/>
            <w:r>
              <w:rPr>
                <w:sz w:val="16"/>
              </w:rPr>
              <w:t>—</w:t>
            </w:r>
          </w:p>
        </w:tc>
      </w:tr>
    </w:tbl>
    <w:p>
      <w:r>
        <w:rPr>
          <w:b/>
        </w:rPr>
        <w:t>The cascade loses to standalone XGBoost by 0.49 F1, and to its own majority-class baseline.</w:t>
      </w:r>
    </w:p>
    <w:p>
      <w:pPr>
        <w:pStyle w:val="Heading2"/>
      </w:pPr>
      <w:r>
        <w:t>8.4.3 Diagnosis</w:t>
      </w:r>
    </w:p>
    <w:p>
      <w:r>
        <w:t>Cascade end-to-end recall (0.3380) is numerically identical to standalone Isolation Forest's recall on the same split: Stage 1 is irreversible, so the cascade's ceiling equals Stage 1's own recall regardless of Stage 2's quality. Fails on B's hard framing because Isolation Forest is structurally weak on a near-1:1 balanced framing — "attack" isn't a minority anomaly here, so an unsupervised outlier detector has no principled way to prefer one half of an evenly-weighted, bimodal distribution. Latency premise fails too: Stage 1 predicts at ~27.7 μs/row vs. Stage 2's ~5.7 μs/row — not even cheaper than the model it shields.</w:t>
      </w:r>
    </w:p>
    <w:p>
      <w:r>
        <w:rPr>
          <w:b/>
        </w:rPr>
        <w:t>What this result is evidence for.</w:t>
      </w:r>
      <w:r>
        <w:t xml:space="preserve"> Isolation Forest's cheap-anomaly-detection assumption — attacks are rare and isolate faster than a dense normal majority — does not hold on B's artificially balanced hard framing; the cascade's collapse is the clearest demonstration of that limit here. Practical value would depend on a framing closer to production's real base rate (Ch. 8.2b), which this submission's hard framing was deliberately constructed </w:t>
      </w:r>
      <w:r>
        <w:rPr>
          <w:i/>
        </w:rPr>
        <w:t>not</w:t>
      </w:r>
      <w:r>
        <w:t xml:space="preserve"> to be (D4/D8).</w:t>
      </w:r>
    </w:p>
    <w:p>
      <w:pPr>
        <w:pStyle w:val="Heading2"/>
      </w:pPr>
      <w:r>
        <w:t>Bonus (B.1–B.4)</w:t>
      </w:r>
    </w:p>
    <w:p>
      <w:r>
        <w:t>Not applicable. Step 3D (LLM arbiter) was deferred (D7); no LLM-arbitrated subset exists to report bonus criteria against.</w:t>
      </w:r>
    </w:p>
    <w:p>
      <w:r>
        <w:br w:type="page"/>
      </w:r>
    </w:p>
    <w:p>
      <w:pPr>
        <w:spacing w:before="0"/>
      </w:pPr>
      <w:r>
        <w:rPr>
          <w:b/>
          <w:sz w:val="40"/>
        </w:rPr>
        <w:t>Appendices</w:t>
      </w:r>
    </w:p>
    <w:p>
      <w:r>
        <w:rPr>
          <w:i/>
          <w:sz w:val="20"/>
        </w:rPr>
        <w:t>Setup/reproduction commands and environment specs -- reference material, not counted toward the 15-page report body.</w:t>
      </w:r>
    </w:p>
    <w:p>
      <w:pPr>
        <w:pStyle w:val="Heading3"/>
      </w:pPr>
      <w:r>
        <w:t>Appendix A — Setup and reproduction commands</w:t>
      </w:r>
    </w:p>
    <w:p>
      <w:pPr>
        <w:spacing w:line="240" w:lineRule="auto" w:after="160"/>
        <w:shd w:val="clear" w:fill="F2F2F2"/>
      </w:pPr>
      <w:r>
        <w:rPr>
          <w:rFonts w:ascii="Consolas" w:hAnsi="Consolas"/>
          <w:sz w:val="18"/>
        </w:rPr>
        <w:t>git clone &lt;repo-url&gt;</w:t>
        <w:br/>
        <w:t>cd maleware_detection_final_project</w:t>
        <w:br/>
        <w:br/>
        <w:t>python -m venv venv</w:t>
        <w:br/>
        <w:t>venv\Scripts\activate                 # Windows</w:t>
        <w:br/>
        <w:t># source venv/bin/activate            # macOS/Linux</w:t>
        <w:br/>
        <w:br/>
        <w:t>pip install -r requirements.txt --extra-index-url https://download.pytorch.org/whl/cpu</w:t>
        <w:br/>
        <w:br/>
        <w:t># Place raw data (never committed -- gitignored):</w:t>
        <w:br/>
        <w:t>#   data/exf2021/       &lt;- CIC-Bell-DNS-EXF-2021 stateless CSVs (Attacks + Benign)</w:t>
        <w:br/>
        <w:t>#   data/dohbrw2020/    &lt;- CIRA-CIC-DoHBrw-2020 CSV distribution</w:t>
        <w:br/>
        <w:br/>
        <w:t># Verify install, then smoke-test both loaders:</w:t>
        <w:br/>
        <w:t>python -c "import pandas, sklearn, xgboost, imblearn, torch; print('ok')"</w:t>
        <w:br/>
        <w:t>python main.py --dataset exf2021 --mode eda</w:t>
        <w:br/>
        <w:t>python main.py --dataset dohbrw2020 --framing hard --mode eda</w:t>
        <w:br/>
        <w:br/>
        <w:t># Run the full test suite:</w:t>
        <w:br/>
        <w:t>pytest tests/ -v</w:t>
      </w:r>
    </w:p>
    <w:p>
      <w:r>
        <w:t xml:space="preserve">On Windows, </w:t>
      </w:r>
      <w:r>
        <w:rPr>
          <w:rFonts w:ascii="Consolas" w:hAnsi="Consolas"/>
          <w:sz w:val="20"/>
        </w:rPr>
        <w:t>PYTHONPATH</w:t>
      </w:r>
      <w:r>
        <w:t xml:space="preserve"> must be set explicitly for any script run from outside the repository root.</w:t>
      </w:r>
    </w:p>
    <w:p>
      <w:pPr>
        <w:pStyle w:val="Heading3"/>
      </w:pPr>
      <w:r>
        <w:t>Appendix B — Library versions and machine specifications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Library</w:t>
            </w:r>
          </w:p>
        </w:tc>
        <w:tc>
          <w:tcPr>
            <w:tcW w:type="dxa" w:w="3360"/>
          </w:tcPr>
          <w:p>
            <w:pPr>
              <w:spacing w:after="20" w:before="0" w:line="240" w:lineRule="auto"/>
            </w:pPr>
            <w:r/>
            <w:r>
              <w:rPr>
                <w:b/>
                <w:sz w:val="16"/>
              </w:rPr>
              <w:t>Pinned (</w:t>
            </w:r>
            <w:r>
              <w:rPr>
                <w:rFonts w:ascii="Consolas" w:hAnsi="Consolas"/>
                <w:b/>
                <w:sz w:val="16"/>
              </w:rPr>
              <w:t>requirements.txt</w:t>
            </w:r>
            <w:r>
              <w:rPr>
                <w:b/>
                <w:sz w:val="16"/>
              </w:rPr>
              <w:t>)</w:t>
            </w:r>
          </w:p>
        </w:tc>
        <w:tc>
          <w:tcPr>
            <w:tcW w:type="dxa" w:w="3360"/>
          </w:tcPr>
          <w:p>
            <w:pPr>
              <w:spacing w:after="20" w:before="0" w:line="240" w:lineRule="auto"/>
            </w:pPr>
            <w:r/>
            <w:r>
              <w:rPr>
                <w:b/>
                <w:sz w:val="16"/>
              </w:rPr>
              <w:t>Teammate A's actual env</w:t>
            </w:r>
          </w:p>
        </w:tc>
      </w:tr>
      <w:tr>
        <w:tc>
          <w:tcPr>
            <w:tcW w:type="dxa" w:w="3360"/>
          </w:tcPr>
          <w:p>
            <w:pPr>
              <w:spacing w:after="20" w:before="0" w:line="240" w:lineRule="auto"/>
            </w:pPr>
            <w:r/>
            <w:r>
              <w:rPr>
                <w:sz w:val="16"/>
              </w:rPr>
              <w:t>Python</w:t>
            </w:r>
          </w:p>
        </w:tc>
        <w:tc>
          <w:tcPr>
            <w:tcW w:type="dxa" w:w="3360"/>
          </w:tcPr>
          <w:p>
            <w:pPr>
              <w:spacing w:after="20" w:before="0" w:line="240" w:lineRule="auto"/>
            </w:pPr>
            <w:r/>
            <w:r>
              <w:rPr>
                <w:sz w:val="16"/>
              </w:rPr>
              <w:t>3.12.1</w:t>
            </w:r>
          </w:p>
        </w:tc>
        <w:tc>
          <w:tcPr>
            <w:tcW w:type="dxa" w:w="3360"/>
          </w:tcPr>
          <w:p>
            <w:pPr>
              <w:spacing w:after="20" w:before="0" w:line="240" w:lineRule="auto"/>
            </w:pPr>
            <w:r/>
            <w:r>
              <w:rPr>
                <w:sz w:val="16"/>
              </w:rPr>
              <w:t>3.11.9</w:t>
            </w:r>
          </w:p>
        </w:tc>
      </w:tr>
      <w:tr>
        <w:tc>
          <w:tcPr>
            <w:tcW w:type="dxa" w:w="3360"/>
          </w:tcPr>
          <w:p>
            <w:pPr>
              <w:spacing w:after="20" w:before="0" w:line="240" w:lineRule="auto"/>
            </w:pPr>
            <w:r/>
            <w:r>
              <w:rPr>
                <w:sz w:val="16"/>
              </w:rPr>
              <w:t>pandas</w:t>
            </w:r>
          </w:p>
        </w:tc>
        <w:tc>
          <w:tcPr>
            <w:tcW w:type="dxa" w:w="3360"/>
          </w:tcPr>
          <w:p>
            <w:pPr>
              <w:spacing w:after="20" w:before="0" w:line="240" w:lineRule="auto"/>
            </w:pPr>
            <w:r/>
            <w:r>
              <w:rPr>
                <w:sz w:val="16"/>
              </w:rPr>
              <w:t>3.0.5</w:t>
            </w:r>
          </w:p>
        </w:tc>
        <w:tc>
          <w:tcPr>
            <w:tcW w:type="dxa" w:w="3360"/>
          </w:tcPr>
          <w:p>
            <w:pPr>
              <w:spacing w:after="20" w:before="0" w:line="240" w:lineRule="auto"/>
            </w:pPr>
            <w:r/>
            <w:r>
              <w:rPr>
                <w:sz w:val="16"/>
              </w:rPr>
              <w:t>2.2.3</w:t>
            </w:r>
          </w:p>
        </w:tc>
      </w:tr>
      <w:tr>
        <w:tc>
          <w:tcPr>
            <w:tcW w:type="dxa" w:w="3360"/>
          </w:tcPr>
          <w:p>
            <w:pPr>
              <w:spacing w:after="20" w:before="0" w:line="240" w:lineRule="auto"/>
            </w:pPr>
            <w:r/>
            <w:r>
              <w:rPr>
                <w:sz w:val="16"/>
              </w:rPr>
              <w:t>numpy</w:t>
            </w:r>
          </w:p>
        </w:tc>
        <w:tc>
          <w:tcPr>
            <w:tcW w:type="dxa" w:w="3360"/>
          </w:tcPr>
          <w:p>
            <w:pPr>
              <w:spacing w:after="20" w:before="0" w:line="240" w:lineRule="auto"/>
            </w:pPr>
            <w:r/>
            <w:r>
              <w:rPr>
                <w:sz w:val="16"/>
              </w:rPr>
              <w:t>2.5.2</w:t>
            </w:r>
          </w:p>
        </w:tc>
        <w:tc>
          <w:tcPr>
            <w:tcW w:type="dxa" w:w="3360"/>
          </w:tcPr>
          <w:p>
            <w:pPr>
              <w:spacing w:after="20" w:before="0" w:line="240" w:lineRule="auto"/>
            </w:pPr>
            <w:r/>
            <w:r>
              <w:rPr>
                <w:sz w:val="16"/>
              </w:rPr>
              <w:t>2.2.4</w:t>
            </w:r>
          </w:p>
        </w:tc>
      </w:tr>
      <w:tr>
        <w:tc>
          <w:tcPr>
            <w:tcW w:type="dxa" w:w="3360"/>
          </w:tcPr>
          <w:p>
            <w:pPr>
              <w:spacing w:after="20" w:before="0" w:line="240" w:lineRule="auto"/>
            </w:pPr>
            <w:r/>
            <w:r>
              <w:rPr>
                <w:sz w:val="16"/>
              </w:rPr>
              <w:t>scikit-learn</w:t>
            </w:r>
          </w:p>
        </w:tc>
        <w:tc>
          <w:tcPr>
            <w:tcW w:type="dxa" w:w="3360"/>
          </w:tcPr>
          <w:p>
            <w:pPr>
              <w:spacing w:after="20" w:before="0" w:line="240" w:lineRule="auto"/>
            </w:pPr>
            <w:r/>
            <w:r>
              <w:rPr>
                <w:sz w:val="16"/>
              </w:rPr>
              <w:t>1.9.0</w:t>
            </w:r>
          </w:p>
        </w:tc>
        <w:tc>
          <w:tcPr>
            <w:tcW w:type="dxa" w:w="3360"/>
          </w:tcPr>
          <w:p>
            <w:pPr>
              <w:spacing w:after="20" w:before="0" w:line="240" w:lineRule="auto"/>
            </w:pPr>
            <w:r/>
            <w:r>
              <w:rPr>
                <w:sz w:val="16"/>
              </w:rPr>
              <w:t>1.8.0</w:t>
            </w:r>
          </w:p>
        </w:tc>
      </w:tr>
      <w:tr>
        <w:tc>
          <w:tcPr>
            <w:tcW w:type="dxa" w:w="3360"/>
          </w:tcPr>
          <w:p>
            <w:pPr>
              <w:spacing w:after="20" w:before="0" w:line="240" w:lineRule="auto"/>
            </w:pPr>
            <w:r/>
            <w:r>
              <w:rPr>
                <w:sz w:val="16"/>
              </w:rPr>
              <w:t>scipy</w:t>
            </w:r>
          </w:p>
        </w:tc>
        <w:tc>
          <w:tcPr>
            <w:tcW w:type="dxa" w:w="3360"/>
          </w:tcPr>
          <w:p>
            <w:pPr>
              <w:spacing w:after="20" w:before="0" w:line="240" w:lineRule="auto"/>
            </w:pPr>
            <w:r/>
            <w:r>
              <w:rPr>
                <w:sz w:val="16"/>
              </w:rPr>
              <w:t>1.18.0</w:t>
            </w:r>
          </w:p>
        </w:tc>
        <w:tc>
          <w:tcPr>
            <w:tcW w:type="dxa" w:w="3360"/>
          </w:tcPr>
          <w:p>
            <w:pPr>
              <w:spacing w:after="20" w:before="0" w:line="240" w:lineRule="auto"/>
            </w:pPr>
            <w:r/>
            <w:r>
              <w:rPr>
                <w:sz w:val="16"/>
              </w:rPr>
              <w:t>1.16.3</w:t>
            </w:r>
          </w:p>
        </w:tc>
      </w:tr>
      <w:tr>
        <w:tc>
          <w:tcPr>
            <w:tcW w:type="dxa" w:w="3360"/>
          </w:tcPr>
          <w:p>
            <w:pPr>
              <w:spacing w:after="20" w:before="0" w:line="240" w:lineRule="auto"/>
            </w:pPr>
            <w:r/>
            <w:r>
              <w:rPr>
                <w:sz w:val="16"/>
              </w:rPr>
              <w:t>imbalanced-learn</w:t>
            </w:r>
          </w:p>
        </w:tc>
        <w:tc>
          <w:tcPr>
            <w:tcW w:type="dxa" w:w="3360"/>
          </w:tcPr>
          <w:p>
            <w:pPr>
              <w:spacing w:after="20" w:before="0" w:line="240" w:lineRule="auto"/>
            </w:pPr>
            <w:r/>
            <w:r>
              <w:rPr>
                <w:sz w:val="16"/>
              </w:rPr>
              <w:t>0.14.2</w:t>
            </w:r>
          </w:p>
        </w:tc>
        <w:tc>
          <w:tcPr>
            <w:tcW w:type="dxa" w:w="3360"/>
          </w:tcPr>
          <w:p>
            <w:pPr>
              <w:spacing w:after="20" w:before="0" w:line="240" w:lineRule="auto"/>
            </w:pPr>
            <w:r/>
            <w:r>
              <w:rPr>
                <w:sz w:val="16"/>
              </w:rPr>
              <w:t>0.14.2 (matches)</w:t>
            </w:r>
          </w:p>
        </w:tc>
      </w:tr>
      <w:tr>
        <w:tc>
          <w:tcPr>
            <w:tcW w:type="dxa" w:w="3360"/>
          </w:tcPr>
          <w:p>
            <w:pPr>
              <w:spacing w:after="20" w:before="0" w:line="240" w:lineRule="auto"/>
            </w:pPr>
            <w:r/>
            <w:r>
              <w:rPr>
                <w:sz w:val="16"/>
              </w:rPr>
              <w:t>xgboost</w:t>
            </w:r>
          </w:p>
        </w:tc>
        <w:tc>
          <w:tcPr>
            <w:tcW w:type="dxa" w:w="3360"/>
          </w:tcPr>
          <w:p>
            <w:pPr>
              <w:spacing w:after="20" w:before="0" w:line="240" w:lineRule="auto"/>
            </w:pPr>
            <w:r/>
            <w:r>
              <w:rPr>
                <w:sz w:val="16"/>
              </w:rPr>
              <w:t>3.4.0</w:t>
            </w:r>
          </w:p>
        </w:tc>
        <w:tc>
          <w:tcPr>
            <w:tcW w:type="dxa" w:w="3360"/>
          </w:tcPr>
          <w:p>
            <w:pPr>
              <w:spacing w:after="20" w:before="0" w:line="240" w:lineRule="auto"/>
            </w:pPr>
            <w:r/>
            <w:r>
              <w:rPr>
                <w:sz w:val="16"/>
              </w:rPr>
              <w:t>3.2.0</w:t>
            </w:r>
          </w:p>
        </w:tc>
      </w:tr>
      <w:tr>
        <w:tc>
          <w:tcPr>
            <w:tcW w:type="dxa" w:w="3360"/>
          </w:tcPr>
          <w:p>
            <w:pPr>
              <w:spacing w:after="20" w:before="0" w:line="240" w:lineRule="auto"/>
            </w:pPr>
            <w:r/>
            <w:r>
              <w:rPr>
                <w:sz w:val="16"/>
              </w:rPr>
              <w:t>torch</w:t>
            </w:r>
          </w:p>
        </w:tc>
        <w:tc>
          <w:tcPr>
            <w:tcW w:type="dxa" w:w="3360"/>
          </w:tcPr>
          <w:p>
            <w:pPr>
              <w:spacing w:after="20" w:before="0" w:line="240" w:lineRule="auto"/>
            </w:pPr>
            <w:r/>
            <w:r>
              <w:rPr>
                <w:sz w:val="16"/>
              </w:rPr>
              <w:t>2.13.0+cpu</w:t>
            </w:r>
          </w:p>
        </w:tc>
        <w:tc>
          <w:tcPr>
            <w:tcW w:type="dxa" w:w="3360"/>
          </w:tcPr>
          <w:p>
            <w:pPr>
              <w:spacing w:after="20" w:before="0" w:line="240" w:lineRule="auto"/>
            </w:pPr>
            <w:r/>
            <w:r>
              <w:rPr>
                <w:sz w:val="16"/>
              </w:rPr>
              <w:t>2.10.0+cpu</w:t>
            </w:r>
          </w:p>
        </w:tc>
      </w:tr>
      <w:tr>
        <w:tc>
          <w:tcPr>
            <w:tcW w:type="dxa" w:w="3360"/>
          </w:tcPr>
          <w:p>
            <w:pPr>
              <w:spacing w:after="20" w:before="0" w:line="240" w:lineRule="auto"/>
            </w:pPr>
            <w:r/>
            <w:r>
              <w:rPr>
                <w:sz w:val="16"/>
              </w:rPr>
              <w:t>matplotlib</w:t>
            </w:r>
          </w:p>
        </w:tc>
        <w:tc>
          <w:tcPr>
            <w:tcW w:type="dxa" w:w="3360"/>
          </w:tcPr>
          <w:p>
            <w:pPr>
              <w:spacing w:after="20" w:before="0" w:line="240" w:lineRule="auto"/>
            </w:pPr>
            <w:r/>
            <w:r>
              <w:rPr>
                <w:sz w:val="16"/>
              </w:rPr>
              <w:t>3.11.1</w:t>
            </w:r>
          </w:p>
        </w:tc>
        <w:tc>
          <w:tcPr>
            <w:tcW w:type="dxa" w:w="3360"/>
          </w:tcPr>
          <w:p>
            <w:pPr>
              <w:spacing w:after="20" w:before="0" w:line="240" w:lineRule="auto"/>
            </w:pPr>
            <w:r/>
            <w:r>
              <w:rPr>
                <w:sz w:val="16"/>
              </w:rPr>
              <w:t>3.10.3</w:t>
            </w:r>
          </w:p>
        </w:tc>
      </w:tr>
      <w:tr>
        <w:tc>
          <w:tcPr>
            <w:tcW w:type="dxa" w:w="3360"/>
          </w:tcPr>
          <w:p>
            <w:pPr>
              <w:spacing w:after="20" w:before="0" w:line="240" w:lineRule="auto"/>
            </w:pPr>
            <w:r/>
            <w:r>
              <w:rPr>
                <w:sz w:val="16"/>
              </w:rPr>
              <w:t>seaborn</w:t>
            </w:r>
          </w:p>
        </w:tc>
        <w:tc>
          <w:tcPr>
            <w:tcW w:type="dxa" w:w="3360"/>
          </w:tcPr>
          <w:p>
            <w:pPr>
              <w:spacing w:after="20" w:before="0" w:line="240" w:lineRule="auto"/>
            </w:pPr>
            <w:r/>
            <w:r>
              <w:rPr>
                <w:sz w:val="16"/>
              </w:rPr>
              <w:t>0.13.2</w:t>
            </w:r>
          </w:p>
        </w:tc>
        <w:tc>
          <w:tcPr>
            <w:tcW w:type="dxa" w:w="3360"/>
          </w:tcPr>
          <w:p>
            <w:pPr>
              <w:spacing w:after="20" w:before="0" w:line="240" w:lineRule="auto"/>
            </w:pPr>
            <w:r/>
            <w:r>
              <w:rPr>
                <w:sz w:val="16"/>
              </w:rPr>
              <w:t>0.13.2 (matches)</w:t>
            </w:r>
          </w:p>
        </w:tc>
      </w:tr>
      <w:tr>
        <w:tc>
          <w:tcPr>
            <w:tcW w:type="dxa" w:w="3360"/>
          </w:tcPr>
          <w:p>
            <w:pPr>
              <w:spacing w:after="20" w:before="0" w:line="240" w:lineRule="auto"/>
            </w:pPr>
            <w:r/>
            <w:r>
              <w:rPr>
                <w:sz w:val="16"/>
              </w:rPr>
              <w:t>PyYAML</w:t>
            </w:r>
          </w:p>
        </w:tc>
        <w:tc>
          <w:tcPr>
            <w:tcW w:type="dxa" w:w="3360"/>
          </w:tcPr>
          <w:p>
            <w:pPr>
              <w:spacing w:after="20" w:before="0" w:line="240" w:lineRule="auto"/>
            </w:pPr>
            <w:r/>
            <w:r>
              <w:rPr>
                <w:sz w:val="16"/>
              </w:rPr>
              <w:t>6.0.3</w:t>
            </w:r>
          </w:p>
        </w:tc>
        <w:tc>
          <w:tcPr>
            <w:tcW w:type="dxa" w:w="3360"/>
          </w:tcPr>
          <w:p>
            <w:pPr>
              <w:spacing w:after="20" w:before="0" w:line="240" w:lineRule="auto"/>
            </w:pPr>
            <w:r/>
            <w:r>
              <w:rPr>
                <w:sz w:val="16"/>
              </w:rPr>
              <w:t>6.0.3 (matches)</w:t>
            </w:r>
          </w:p>
        </w:tc>
      </w:tr>
      <w:tr>
        <w:tc>
          <w:tcPr>
            <w:tcW w:type="dxa" w:w="3360"/>
          </w:tcPr>
          <w:p>
            <w:pPr>
              <w:spacing w:after="20" w:before="0" w:line="240" w:lineRule="auto"/>
            </w:pPr>
            <w:r/>
            <w:r>
              <w:rPr>
                <w:sz w:val="16"/>
              </w:rPr>
              <w:t>pytest</w:t>
            </w:r>
          </w:p>
        </w:tc>
        <w:tc>
          <w:tcPr>
            <w:tcW w:type="dxa" w:w="3360"/>
          </w:tcPr>
          <w:p>
            <w:pPr>
              <w:spacing w:after="20" w:before="0" w:line="240" w:lineRule="auto"/>
            </w:pPr>
            <w:r/>
            <w:r>
              <w:rPr>
                <w:sz w:val="16"/>
              </w:rPr>
              <w:t>9.1.1</w:t>
            </w:r>
          </w:p>
        </w:tc>
        <w:tc>
          <w:tcPr>
            <w:tcW w:type="dxa" w:w="3360"/>
          </w:tcPr>
          <w:p>
            <w:pPr>
              <w:spacing w:after="20" w:before="0" w:line="240" w:lineRule="auto"/>
            </w:pPr>
            <w:r/>
            <w:r>
              <w:rPr>
                <w:sz w:val="16"/>
              </w:rPr>
              <w:t>8.4.2</w:t>
            </w:r>
          </w:p>
        </w:tc>
      </w:tr>
    </w:tbl>
    <w:p>
      <w:r>
        <w:rPr>
          <w:b/>
        </w:rPr>
        <w:t>Discrepancy flagged rather than smoothed over:</w:t>
      </w:r>
      <w:r>
        <w:t xml:space="preserve"> every Teammate-A-machine result in this report was produced under the right-hand column, not the pinned one — </w:t>
      </w:r>
      <w:r>
        <w:rPr>
          <w:rFonts w:ascii="Consolas" w:hAnsi="Consolas"/>
          <w:sz w:val="20"/>
        </w:rPr>
        <w:t>requirements.txt</w:t>
      </w:r>
      <w:r>
        <w:t xml:space="preserve"> was pinned from Teammate B's environment after A's venv was already set up, and the two were never re-synced. A major-version bump this close to the deadline carries real regression risk for zero benefit, since every number was already produced under the versions listed.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p>
        </w:tc>
        <w:tc>
          <w:tcPr>
            <w:tcW w:type="dxa" w:w="3360"/>
          </w:tcPr>
          <w:p>
            <w:pPr>
              <w:spacing w:after="20" w:before="0" w:line="240" w:lineRule="auto"/>
            </w:pPr>
            <w:r/>
            <w:r>
              <w:rPr>
                <w:b/>
                <w:sz w:val="16"/>
              </w:rPr>
              <w:t>Teammate B (this machine)</w:t>
            </w:r>
          </w:p>
        </w:tc>
        <w:tc>
          <w:tcPr>
            <w:tcW w:type="dxa" w:w="3360"/>
          </w:tcPr>
          <w:p>
            <w:pPr>
              <w:spacing w:after="20" w:before="0" w:line="240" w:lineRule="auto"/>
            </w:pPr>
            <w:r/>
            <w:r>
              <w:rPr>
                <w:b/>
                <w:sz w:val="16"/>
              </w:rPr>
              <w:t>Teammate A</w:t>
            </w:r>
          </w:p>
        </w:tc>
      </w:tr>
      <w:tr>
        <w:tc>
          <w:tcPr>
            <w:tcW w:type="dxa" w:w="3360"/>
          </w:tcPr>
          <w:p>
            <w:pPr>
              <w:spacing w:after="20" w:before="0" w:line="240" w:lineRule="auto"/>
            </w:pPr>
            <w:r/>
            <w:r>
              <w:rPr>
                <w:sz w:val="16"/>
              </w:rPr>
              <w:t>OS</w:t>
            </w:r>
          </w:p>
        </w:tc>
        <w:tc>
          <w:tcPr>
            <w:tcW w:type="dxa" w:w="3360"/>
          </w:tcPr>
          <w:p>
            <w:pPr>
              <w:spacing w:after="20" w:before="0" w:line="240" w:lineRule="auto"/>
            </w:pPr>
            <w:r/>
            <w:r>
              <w:rPr>
                <w:sz w:val="16"/>
              </w:rPr>
              <w:t>Windows 11 Pro, 64-bit</w:t>
            </w:r>
          </w:p>
        </w:tc>
        <w:tc>
          <w:tcPr>
            <w:tcW w:type="dxa" w:w="3360"/>
          </w:tcPr>
          <w:p>
            <w:pPr>
              <w:spacing w:after="20" w:before="0" w:line="240" w:lineRule="auto"/>
            </w:pPr>
            <w:r/>
            <w:r>
              <w:rPr>
                <w:sz w:val="16"/>
              </w:rPr>
              <w:t>Windows 11 Home, 64-bit (Build 26200)</w:t>
            </w:r>
          </w:p>
        </w:tc>
      </w:tr>
      <w:tr>
        <w:tc>
          <w:tcPr>
            <w:tcW w:type="dxa" w:w="3360"/>
          </w:tcPr>
          <w:p>
            <w:pPr>
              <w:spacing w:after="20" w:before="0" w:line="240" w:lineRule="auto"/>
            </w:pPr>
            <w:r/>
            <w:r>
              <w:rPr>
                <w:sz w:val="16"/>
              </w:rPr>
              <w:t>CPU</w:t>
            </w:r>
          </w:p>
        </w:tc>
        <w:tc>
          <w:tcPr>
            <w:tcW w:type="dxa" w:w="3360"/>
          </w:tcPr>
          <w:p>
            <w:pPr>
              <w:spacing w:after="20" w:before="0" w:line="240" w:lineRule="auto"/>
            </w:pPr>
            <w:r/>
            <w:r>
              <w:rPr>
                <w:sz w:val="16"/>
              </w:rPr>
              <w:t>12th Gen Intel Core i5-1240P (12c/16t)</w:t>
            </w:r>
          </w:p>
        </w:tc>
        <w:tc>
          <w:tcPr>
            <w:tcW w:type="dxa" w:w="3360"/>
          </w:tcPr>
          <w:p>
            <w:pPr>
              <w:spacing w:after="20" w:before="0" w:line="240" w:lineRule="auto"/>
            </w:pPr>
            <w:r/>
            <w:r>
              <w:rPr>
                <w:sz w:val="16"/>
              </w:rPr>
              <w:t>13th Gen Intel Core i7-1360P (12c/16t)</w:t>
            </w:r>
          </w:p>
        </w:tc>
      </w:tr>
      <w:tr>
        <w:tc>
          <w:tcPr>
            <w:tcW w:type="dxa" w:w="3360"/>
          </w:tcPr>
          <w:p>
            <w:pPr>
              <w:spacing w:after="20" w:before="0" w:line="240" w:lineRule="auto"/>
            </w:pPr>
            <w:r/>
            <w:r>
              <w:rPr>
                <w:sz w:val="16"/>
              </w:rPr>
              <w:t>RAM</w:t>
            </w:r>
          </w:p>
        </w:tc>
        <w:tc>
          <w:tcPr>
            <w:tcW w:type="dxa" w:w="3360"/>
          </w:tcPr>
          <w:p>
            <w:pPr>
              <w:spacing w:after="20" w:before="0" w:line="240" w:lineRule="auto"/>
            </w:pPr>
            <w:r/>
            <w:r>
              <w:rPr>
                <w:sz w:val="16"/>
              </w:rPr>
              <w:t>15.7 GB</w:t>
            </w:r>
          </w:p>
        </w:tc>
        <w:tc>
          <w:tcPr>
            <w:tcW w:type="dxa" w:w="3360"/>
          </w:tcPr>
          <w:p>
            <w:pPr>
              <w:spacing w:after="20" w:before="0" w:line="240" w:lineRule="auto"/>
            </w:pPr>
            <w:r/>
            <w:r>
              <w:rPr>
                <w:sz w:val="16"/>
              </w:rPr>
              <w:t>15.7 GB</w:t>
            </w:r>
          </w:p>
        </w:tc>
      </w:tr>
      <w:tr>
        <w:tc>
          <w:tcPr>
            <w:tcW w:type="dxa" w:w="3360"/>
          </w:tcPr>
          <w:p>
            <w:pPr>
              <w:spacing w:after="20" w:before="0" w:line="240" w:lineRule="auto"/>
            </w:pPr>
            <w:r/>
            <w:r>
              <w:rPr>
                <w:sz w:val="16"/>
              </w:rPr>
              <w:t>GPU</w:t>
            </w:r>
          </w:p>
        </w:tc>
        <w:tc>
          <w:tcPr>
            <w:tcW w:type="dxa" w:w="3360"/>
          </w:tcPr>
          <w:p>
            <w:pPr>
              <w:spacing w:after="20" w:before="0" w:line="240" w:lineRule="auto"/>
            </w:pPr>
            <w:r/>
            <w:r>
              <w:rPr>
                <w:sz w:val="16"/>
              </w:rPr>
              <w:t>None — CPU-only per D10</w:t>
            </w:r>
          </w:p>
        </w:tc>
        <w:tc>
          <w:tcPr>
            <w:tcW w:type="dxa" w:w="3360"/>
          </w:tcPr>
          <w:p>
            <w:pPr>
              <w:spacing w:after="20" w:before="0" w:line="240" w:lineRule="auto"/>
            </w:pPr>
            <w:r/>
            <w:r>
              <w:rPr>
                <w:sz w:val="16"/>
              </w:rPr>
              <w:t>None — same CPU-only convention</w:t>
            </w:r>
          </w:p>
        </w:tc>
      </w:tr>
      <w:tr>
        <w:tc>
          <w:tcPr>
            <w:tcW w:type="dxa" w:w="3360"/>
          </w:tcPr>
          <w:p>
            <w:pPr>
              <w:spacing w:after="20" w:before="0" w:line="240" w:lineRule="auto"/>
            </w:pPr>
            <w:r/>
            <w:r>
              <w:rPr>
                <w:sz w:val="16"/>
              </w:rPr>
              <w:t>Role</w:t>
            </w:r>
          </w:p>
        </w:tc>
        <w:tc>
          <w:tcPr>
            <w:tcW w:type="dxa" w:w="3360"/>
          </w:tcPr>
          <w:p>
            <w:pPr>
              <w:spacing w:after="20" w:before="0" w:line="240" w:lineRule="auto"/>
            </w:pPr>
            <w:r/>
            <w:r>
              <w:rPr>
                <w:sz w:val="16"/>
              </w:rPr>
              <w:t>Dataset B local; Step 3C cascade, 2E/2F, report chapters</w:t>
            </w:r>
          </w:p>
        </w:tc>
        <w:tc>
          <w:tcPr>
            <w:tcW w:type="dxa" w:w="3360"/>
          </w:tcPr>
          <w:p>
            <w:pPr>
              <w:spacing w:after="20" w:before="0" w:line="240" w:lineRule="auto"/>
            </w:pPr>
            <w:r/>
            <w:r>
              <w:rPr>
                <w:sz w:val="16"/>
              </w:rPr>
              <w:t>Dataset A local; Step 2G real-data run, Ch 8.1-8.3</w:t>
            </w:r>
          </w:p>
        </w:tc>
      </w:tr>
    </w:tbl>
    <w:p>
      <w:pPr>
        <w:pStyle w:val="Heading3"/>
      </w:pPr>
      <w:r>
        <w:t>Appendix C — Sensitivity sweeps</w:t>
      </w:r>
    </w:p>
    <w:p>
      <w:r>
        <w:rPr>
          <w:b/>
        </w:rPr>
        <w:t>XGBoost `max_depth ∈ {3, 6, 9, 12}`, Dataset A (221,315 rows, `families="full"`):</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depth</w:t>
            </w:r>
          </w:p>
        </w:tc>
        <w:tc>
          <w:tcPr>
            <w:tcW w:type="dxa" w:w="3360"/>
          </w:tcPr>
          <w:p>
            <w:pPr>
              <w:spacing w:after="20" w:before="0" w:line="240" w:lineRule="auto"/>
            </w:pPr>
            <w:r/>
            <w:r>
              <w:rPr>
                <w:b/>
                <w:sz w:val="16"/>
              </w:rPr>
              <w:t>F1</w:t>
            </w:r>
          </w:p>
        </w:tc>
        <w:tc>
          <w:tcPr>
            <w:tcW w:type="dxa" w:w="3360"/>
          </w:tcPr>
          <w:p>
            <w:pPr>
              <w:spacing w:after="20" w:before="0" w:line="240" w:lineRule="auto"/>
            </w:pPr>
            <w:r/>
            <w:r>
              <w:rPr>
                <w:b/>
                <w:sz w:val="16"/>
              </w:rPr>
              <w:t>FPR</w:t>
            </w:r>
          </w:p>
        </w:tc>
      </w:tr>
      <w:tr>
        <w:tc>
          <w:tcPr>
            <w:tcW w:type="dxa" w:w="3360"/>
          </w:tcPr>
          <w:p>
            <w:pPr>
              <w:spacing w:after="20" w:before="0" w:line="240" w:lineRule="auto"/>
            </w:pPr>
            <w:r/>
            <w:r>
              <w:rPr>
                <w:sz w:val="16"/>
              </w:rPr>
              <w:t>3</w:t>
            </w:r>
          </w:p>
        </w:tc>
        <w:tc>
          <w:tcPr>
            <w:tcW w:type="dxa" w:w="3360"/>
          </w:tcPr>
          <w:p>
            <w:pPr>
              <w:spacing w:after="20" w:before="0" w:line="240" w:lineRule="auto"/>
            </w:pPr>
            <w:r/>
            <w:r>
              <w:rPr>
                <w:sz w:val="16"/>
              </w:rPr>
              <w:t>0.8181</w:t>
            </w:r>
          </w:p>
        </w:tc>
        <w:tc>
          <w:tcPr>
            <w:tcW w:type="dxa" w:w="3360"/>
          </w:tcPr>
          <w:p>
            <w:pPr>
              <w:spacing w:after="20" w:before="0" w:line="240" w:lineRule="auto"/>
            </w:pPr>
            <w:r/>
            <w:r>
              <w:rPr>
                <w:sz w:val="16"/>
              </w:rPr>
              <w:t>0.4049</w:t>
            </w:r>
          </w:p>
        </w:tc>
      </w:tr>
      <w:tr>
        <w:tc>
          <w:tcPr>
            <w:tcW w:type="dxa" w:w="3360"/>
          </w:tcPr>
          <w:p>
            <w:pPr>
              <w:spacing w:after="20" w:before="0" w:line="240" w:lineRule="auto"/>
            </w:pPr>
            <w:r/>
            <w:r>
              <w:rPr>
                <w:sz w:val="16"/>
              </w:rPr>
              <w:t>6</w:t>
            </w:r>
          </w:p>
        </w:tc>
        <w:tc>
          <w:tcPr>
            <w:tcW w:type="dxa" w:w="3360"/>
          </w:tcPr>
          <w:p>
            <w:pPr>
              <w:spacing w:after="20" w:before="0" w:line="240" w:lineRule="auto"/>
            </w:pPr>
            <w:r/>
            <w:r>
              <w:rPr>
                <w:sz w:val="16"/>
              </w:rPr>
              <w:t>0.8182</w:t>
            </w:r>
          </w:p>
        </w:tc>
        <w:tc>
          <w:tcPr>
            <w:tcW w:type="dxa" w:w="3360"/>
          </w:tcPr>
          <w:p>
            <w:pPr>
              <w:spacing w:after="20" w:before="0" w:line="240" w:lineRule="auto"/>
            </w:pPr>
            <w:r/>
            <w:r>
              <w:rPr>
                <w:sz w:val="16"/>
              </w:rPr>
              <w:t>0.4048</w:t>
            </w:r>
          </w:p>
        </w:tc>
      </w:tr>
      <w:tr>
        <w:tc>
          <w:tcPr>
            <w:tcW w:type="dxa" w:w="3360"/>
          </w:tcPr>
          <w:p>
            <w:pPr>
              <w:spacing w:after="20" w:before="0" w:line="240" w:lineRule="auto"/>
            </w:pPr>
            <w:r/>
            <w:r>
              <w:rPr>
                <w:sz w:val="16"/>
              </w:rPr>
              <w:t>9</w:t>
            </w:r>
          </w:p>
        </w:tc>
        <w:tc>
          <w:tcPr>
            <w:tcW w:type="dxa" w:w="3360"/>
          </w:tcPr>
          <w:p>
            <w:pPr>
              <w:spacing w:after="20" w:before="0" w:line="240" w:lineRule="auto"/>
            </w:pPr>
            <w:r/>
            <w:r>
              <w:rPr>
                <w:sz w:val="16"/>
              </w:rPr>
              <w:t>0.8182</w:t>
            </w:r>
          </w:p>
        </w:tc>
        <w:tc>
          <w:tcPr>
            <w:tcW w:type="dxa" w:w="3360"/>
          </w:tcPr>
          <w:p>
            <w:pPr>
              <w:spacing w:after="20" w:before="0" w:line="240" w:lineRule="auto"/>
            </w:pPr>
            <w:r/>
            <w:r>
              <w:rPr>
                <w:sz w:val="16"/>
              </w:rPr>
              <w:t>0.4049</w:t>
            </w:r>
          </w:p>
        </w:tc>
      </w:tr>
      <w:tr>
        <w:tc>
          <w:tcPr>
            <w:tcW w:type="dxa" w:w="3360"/>
          </w:tcPr>
          <w:p>
            <w:pPr>
              <w:spacing w:after="20" w:before="0" w:line="240" w:lineRule="auto"/>
            </w:pPr>
            <w:r/>
            <w:r>
              <w:rPr>
                <w:sz w:val="16"/>
              </w:rPr>
              <w:t>12</w:t>
            </w:r>
          </w:p>
        </w:tc>
        <w:tc>
          <w:tcPr>
            <w:tcW w:type="dxa" w:w="3360"/>
          </w:tcPr>
          <w:p>
            <w:pPr>
              <w:spacing w:after="20" w:before="0" w:line="240" w:lineRule="auto"/>
            </w:pPr>
            <w:r/>
            <w:r>
              <w:rPr>
                <w:sz w:val="16"/>
              </w:rPr>
              <w:t>0.8182</w:t>
            </w:r>
          </w:p>
        </w:tc>
        <w:tc>
          <w:tcPr>
            <w:tcW w:type="dxa" w:w="3360"/>
          </w:tcPr>
          <w:p>
            <w:pPr>
              <w:spacing w:after="20" w:before="0" w:line="240" w:lineRule="auto"/>
            </w:pPr>
            <w:r/>
            <w:r>
              <w:rPr>
                <w:sz w:val="16"/>
              </w:rPr>
              <w:t>0.4049</w:t>
            </w:r>
          </w:p>
        </w:tc>
      </w:tr>
    </w:tbl>
    <w:p>
      <w:r>
        <w:t>F1/FPR move under 0.001 across the grid — 400 boosted trees at depth 3 already extract essentially everything an axis-aligned split model can from 7 informative columns. The same ~0.40 FPR was independently seen from a plain LogisticRegression smoke test (Step 2A′), corroborating that ~40% FPR is a property of the feature set, not an XGBoost quirk.</w:t>
      </w:r>
    </w:p>
    <w:p>
      <w:r>
        <w:rPr>
          <w:b/>
        </w:rPr>
        <w:t>Isolation Forest `contamination ∈ {0.05, 0.10, 0.20, 0.30}`, Dataset B (both framings):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40"/>
        <w:gridCol w:w="1440"/>
        <w:gridCol w:w="1440"/>
        <w:gridCol w:w="1440"/>
        <w:gridCol w:w="1440"/>
        <w:gridCol w:w="1440"/>
        <w:gridCol w:w="1440"/>
      </w:tblGrid>
      <w:tr>
        <w:tc>
          <w:tcPr>
            <w:tcW w:type="dxa" w:w="1440"/>
          </w:tcPr>
          <w:p>
            <w:pPr>
              <w:spacing w:after="20" w:before="0" w:line="240" w:lineRule="auto"/>
            </w:pPr>
            <w:r/>
            <w:r>
              <w:rPr>
                <w:b/>
                <w:sz w:val="16"/>
              </w:rPr>
              <w:t>contamination</w:t>
            </w:r>
          </w:p>
        </w:tc>
        <w:tc>
          <w:tcPr>
            <w:tcW w:type="dxa" w:w="1440"/>
          </w:tcPr>
          <w:p>
            <w:pPr>
              <w:spacing w:after="20" w:before="0" w:line="240" w:lineRule="auto"/>
            </w:pPr>
            <w:r/>
            <w:r>
              <w:rPr>
                <w:b/>
                <w:sz w:val="16"/>
              </w:rPr>
              <w:t>hard F1</w:t>
            </w:r>
          </w:p>
        </w:tc>
        <w:tc>
          <w:tcPr>
            <w:tcW w:type="dxa" w:w="1440"/>
          </w:tcPr>
          <w:p>
            <w:pPr>
              <w:spacing w:after="20" w:before="0" w:line="240" w:lineRule="auto"/>
            </w:pPr>
            <w:r/>
            <w:r>
              <w:rPr>
                <w:b/>
                <w:sz w:val="16"/>
              </w:rPr>
              <w:t>hard FPR</w:t>
            </w:r>
          </w:p>
        </w:tc>
        <w:tc>
          <w:tcPr>
            <w:tcW w:type="dxa" w:w="1440"/>
          </w:tcPr>
          <w:p>
            <w:pPr>
              <w:spacing w:after="20" w:before="0" w:line="240" w:lineRule="auto"/>
            </w:pPr>
            <w:r/>
            <w:r>
              <w:rPr>
                <w:b/>
                <w:sz w:val="16"/>
              </w:rPr>
              <w:t>hard recall</w:t>
            </w:r>
          </w:p>
        </w:tc>
        <w:tc>
          <w:tcPr>
            <w:tcW w:type="dxa" w:w="1440"/>
          </w:tcPr>
          <w:p>
            <w:pPr>
              <w:spacing w:after="20" w:before="0" w:line="240" w:lineRule="auto"/>
            </w:pPr>
            <w:r/>
            <w:r>
              <w:rPr>
                <w:b/>
                <w:sz w:val="16"/>
              </w:rPr>
              <w:t>easy F1</w:t>
            </w:r>
          </w:p>
        </w:tc>
        <w:tc>
          <w:tcPr>
            <w:tcW w:type="dxa" w:w="1440"/>
          </w:tcPr>
          <w:p>
            <w:pPr>
              <w:spacing w:after="20" w:before="0" w:line="240" w:lineRule="auto"/>
            </w:pPr>
            <w:r/>
            <w:r>
              <w:rPr>
                <w:b/>
                <w:sz w:val="16"/>
              </w:rPr>
              <w:t>easy FPR</w:t>
            </w:r>
          </w:p>
        </w:tc>
        <w:tc>
          <w:tcPr>
            <w:tcW w:type="dxa" w:w="1440"/>
          </w:tcPr>
          <w:p>
            <w:pPr>
              <w:spacing w:after="20" w:before="0" w:line="240" w:lineRule="auto"/>
            </w:pPr>
            <w:r/>
            <w:r>
              <w:rPr>
                <w:b/>
                <w:sz w:val="16"/>
              </w:rPr>
              <w:t>easy recall</w:t>
            </w:r>
          </w:p>
        </w:tc>
      </w:tr>
      <w:tr>
        <w:tc>
          <w:tcPr>
            <w:tcW w:type="dxa" w:w="1440"/>
          </w:tcPr>
          <w:p>
            <w:pPr>
              <w:spacing w:after="20" w:before="0" w:line="240" w:lineRule="auto"/>
            </w:pPr>
            <w:r/>
            <w:r>
              <w:rPr>
                <w:sz w:val="16"/>
              </w:rPr>
              <w:t>0.05</w:t>
            </w:r>
          </w:p>
        </w:tc>
        <w:tc>
          <w:tcPr>
            <w:tcW w:type="dxa" w:w="1440"/>
          </w:tcPr>
          <w:p>
            <w:pPr>
              <w:spacing w:after="20" w:before="0" w:line="240" w:lineRule="auto"/>
            </w:pPr>
            <w:r/>
            <w:r>
              <w:rPr>
                <w:sz w:val="16"/>
              </w:rPr>
              <w:t>0.1107</w:t>
            </w:r>
          </w:p>
        </w:tc>
        <w:tc>
          <w:tcPr>
            <w:tcW w:type="dxa" w:w="1440"/>
          </w:tcPr>
          <w:p>
            <w:pPr>
              <w:spacing w:after="20" w:before="0" w:line="240" w:lineRule="auto"/>
            </w:pPr>
            <w:r/>
            <w:r>
              <w:rPr>
                <w:sz w:val="16"/>
              </w:rPr>
              <w:t>0.0387</w:t>
            </w:r>
          </w:p>
        </w:tc>
        <w:tc>
          <w:tcPr>
            <w:tcW w:type="dxa" w:w="1440"/>
          </w:tcPr>
          <w:p>
            <w:pPr>
              <w:spacing w:after="20" w:before="0" w:line="240" w:lineRule="auto"/>
            </w:pPr>
            <w:r/>
            <w:r>
              <w:rPr>
                <w:sz w:val="16"/>
              </w:rPr>
              <w:t>0.0609</w:t>
            </w:r>
          </w:p>
        </w:tc>
        <w:tc>
          <w:tcPr>
            <w:tcW w:type="dxa" w:w="1440"/>
          </w:tcPr>
          <w:p>
            <w:pPr>
              <w:spacing w:after="20" w:before="0" w:line="240" w:lineRule="auto"/>
            </w:pPr>
            <w:r/>
            <w:r>
              <w:rPr>
                <w:sz w:val="16"/>
              </w:rPr>
              <w:t>0.0582</w:t>
            </w:r>
          </w:p>
        </w:tc>
        <w:tc>
          <w:tcPr>
            <w:tcW w:type="dxa" w:w="1440"/>
          </w:tcPr>
          <w:p>
            <w:pPr>
              <w:spacing w:after="20" w:before="0" w:line="240" w:lineRule="auto"/>
            </w:pPr>
            <w:r/>
            <w:r>
              <w:rPr>
                <w:sz w:val="16"/>
              </w:rPr>
              <w:t>0.0537</w:t>
            </w:r>
          </w:p>
        </w:tc>
        <w:tc>
          <w:tcPr>
            <w:tcW w:type="dxa" w:w="1440"/>
          </w:tcPr>
          <w:p>
            <w:pPr>
              <w:spacing w:after="20" w:before="0" w:line="240" w:lineRule="auto"/>
            </w:pPr>
            <w:r/>
            <w:r>
              <w:rPr>
                <w:sz w:val="16"/>
              </w:rPr>
              <w:t>0.0359</w:t>
            </w:r>
          </w:p>
        </w:tc>
      </w:tr>
      <w:tr>
        <w:tc>
          <w:tcPr>
            <w:tcW w:type="dxa" w:w="1440"/>
          </w:tcPr>
          <w:p>
            <w:pPr>
              <w:spacing w:after="20" w:before="0" w:line="240" w:lineRule="auto"/>
            </w:pPr>
            <w:r/>
            <w:r>
              <w:rPr>
                <w:sz w:val="16"/>
              </w:rPr>
              <w:t>0.10</w:t>
            </w:r>
          </w:p>
        </w:tc>
        <w:tc>
          <w:tcPr>
            <w:tcW w:type="dxa" w:w="1440"/>
          </w:tcPr>
          <w:p>
            <w:pPr>
              <w:spacing w:after="20" w:before="0" w:line="240" w:lineRule="auto"/>
            </w:pPr>
            <w:r/>
            <w:r>
              <w:rPr>
                <w:sz w:val="16"/>
              </w:rPr>
              <w:t>0.2283</w:t>
            </w:r>
          </w:p>
        </w:tc>
        <w:tc>
          <w:tcPr>
            <w:tcW w:type="dxa" w:w="1440"/>
          </w:tcPr>
          <w:p>
            <w:pPr>
              <w:spacing w:after="20" w:before="0" w:line="240" w:lineRule="auto"/>
            </w:pPr>
            <w:r/>
            <w:r>
              <w:rPr>
                <w:sz w:val="16"/>
              </w:rPr>
              <w:t>0.0627</w:t>
            </w:r>
          </w:p>
        </w:tc>
        <w:tc>
          <w:tcPr>
            <w:tcW w:type="dxa" w:w="1440"/>
          </w:tcPr>
          <w:p>
            <w:pPr>
              <w:spacing w:after="20" w:before="0" w:line="240" w:lineRule="auto"/>
            </w:pPr>
            <w:r/>
            <w:r>
              <w:rPr>
                <w:sz w:val="16"/>
              </w:rPr>
              <w:t>0.1370</w:t>
            </w:r>
          </w:p>
        </w:tc>
        <w:tc>
          <w:tcPr>
            <w:tcW w:type="dxa" w:w="1440"/>
          </w:tcPr>
          <w:p>
            <w:pPr>
              <w:spacing w:after="20" w:before="0" w:line="240" w:lineRule="auto"/>
            </w:pPr>
            <w:r/>
            <w:r>
              <w:rPr>
                <w:sz w:val="16"/>
              </w:rPr>
              <w:t>0.1792</w:t>
            </w:r>
          </w:p>
        </w:tc>
        <w:tc>
          <w:tcPr>
            <w:tcW w:type="dxa" w:w="1440"/>
          </w:tcPr>
          <w:p>
            <w:pPr>
              <w:spacing w:after="20" w:before="0" w:line="240" w:lineRule="auto"/>
            </w:pPr>
            <w:r/>
            <w:r>
              <w:rPr>
                <w:sz w:val="16"/>
              </w:rPr>
              <w:t>0.0916</w:t>
            </w:r>
          </w:p>
        </w:tc>
        <w:tc>
          <w:tcPr>
            <w:tcW w:type="dxa" w:w="1440"/>
          </w:tcPr>
          <w:p>
            <w:pPr>
              <w:spacing w:after="20" w:before="0" w:line="240" w:lineRule="auto"/>
            </w:pPr>
            <w:r/>
            <w:r>
              <w:rPr>
                <w:sz w:val="16"/>
              </w:rPr>
              <w:t>0.1315</w:t>
            </w:r>
          </w:p>
        </w:tc>
      </w:tr>
      <w:tr>
        <w:tc>
          <w:tcPr>
            <w:tcW w:type="dxa" w:w="1440"/>
          </w:tcPr>
          <w:p>
            <w:pPr>
              <w:spacing w:after="20" w:before="0" w:line="240" w:lineRule="auto"/>
            </w:pPr>
            <w:r/>
            <w:r>
              <w:rPr>
                <w:sz w:val="16"/>
              </w:rPr>
              <w:t>0.20</w:t>
            </w:r>
          </w:p>
        </w:tc>
        <w:tc>
          <w:tcPr>
            <w:tcW w:type="dxa" w:w="1440"/>
          </w:tcPr>
          <w:p>
            <w:pPr>
              <w:spacing w:after="20" w:before="0" w:line="240" w:lineRule="auto"/>
            </w:pPr>
            <w:r/>
            <w:r>
              <w:rPr>
                <w:sz w:val="16"/>
              </w:rPr>
              <w:t>0.3411</w:t>
            </w:r>
          </w:p>
        </w:tc>
        <w:tc>
          <w:tcPr>
            <w:tcW w:type="dxa" w:w="1440"/>
          </w:tcPr>
          <w:p>
            <w:pPr>
              <w:spacing w:after="20" w:before="0" w:line="240" w:lineRule="auto"/>
            </w:pPr>
            <w:r/>
            <w:r>
              <w:rPr>
                <w:sz w:val="16"/>
              </w:rPr>
              <w:t>0.1627</w:t>
            </w:r>
          </w:p>
        </w:tc>
        <w:tc>
          <w:tcPr>
            <w:tcW w:type="dxa" w:w="1440"/>
          </w:tcPr>
          <w:p>
            <w:pPr>
              <w:spacing w:after="20" w:before="0" w:line="240" w:lineRule="auto"/>
            </w:pPr>
            <w:r/>
            <w:r>
              <w:rPr>
                <w:sz w:val="16"/>
              </w:rPr>
              <w:t>0.2391</w:t>
            </w:r>
          </w:p>
        </w:tc>
        <w:tc>
          <w:tcPr>
            <w:tcW w:type="dxa" w:w="1440"/>
          </w:tcPr>
          <w:p>
            <w:pPr>
              <w:spacing w:after="20" w:before="0" w:line="240" w:lineRule="auto"/>
            </w:pPr>
            <w:r/>
            <w:r>
              <w:rPr>
                <w:sz w:val="16"/>
              </w:rPr>
              <w:t>0.3326</w:t>
            </w:r>
          </w:p>
        </w:tc>
        <w:tc>
          <w:tcPr>
            <w:tcW w:type="dxa" w:w="1440"/>
          </w:tcPr>
          <w:p>
            <w:pPr>
              <w:spacing w:after="20" w:before="0" w:line="240" w:lineRule="auto"/>
            </w:pPr>
            <w:r/>
            <w:r>
              <w:rPr>
                <w:sz w:val="16"/>
              </w:rPr>
              <w:t>0.1671</w:t>
            </w:r>
          </w:p>
        </w:tc>
        <w:tc>
          <w:tcPr>
            <w:tcW w:type="dxa" w:w="1440"/>
          </w:tcPr>
          <w:p>
            <w:pPr>
              <w:spacing w:after="20" w:before="0" w:line="240" w:lineRule="auto"/>
            </w:pPr>
            <w:r/>
            <w:r>
              <w:rPr>
                <w:sz w:val="16"/>
              </w:rPr>
              <w:t>0.3218</w:t>
            </w:r>
          </w:p>
        </w:tc>
      </w:tr>
      <w:tr>
        <w:tc>
          <w:tcPr>
            <w:tcW w:type="dxa" w:w="1440"/>
          </w:tcPr>
          <w:p>
            <w:pPr>
              <w:spacing w:after="20" w:before="0" w:line="240" w:lineRule="auto"/>
            </w:pPr>
            <w:r/>
            <w:r>
              <w:rPr>
                <w:sz w:val="16"/>
              </w:rPr>
              <w:t>0.30</w:t>
            </w:r>
          </w:p>
        </w:tc>
        <w:tc>
          <w:tcPr>
            <w:tcW w:type="dxa" w:w="1440"/>
          </w:tcPr>
          <w:p>
            <w:pPr>
              <w:spacing w:after="20" w:before="0" w:line="240" w:lineRule="auto"/>
            </w:pPr>
            <w:r/>
            <w:r>
              <w:rPr>
                <w:sz w:val="16"/>
              </w:rPr>
              <w:t>0.4137</w:t>
            </w:r>
          </w:p>
        </w:tc>
        <w:tc>
          <w:tcPr>
            <w:tcW w:type="dxa" w:w="1440"/>
          </w:tcPr>
          <w:p>
            <w:pPr>
              <w:spacing w:after="20" w:before="0" w:line="240" w:lineRule="auto"/>
            </w:pPr>
            <w:r/>
            <w:r>
              <w:rPr>
                <w:sz w:val="16"/>
              </w:rPr>
              <w:t>0.2681</w:t>
            </w:r>
          </w:p>
        </w:tc>
        <w:tc>
          <w:tcPr>
            <w:tcW w:type="dxa" w:w="1440"/>
          </w:tcPr>
          <w:p>
            <w:pPr>
              <w:spacing w:after="20" w:before="0" w:line="240" w:lineRule="auto"/>
            </w:pPr>
            <w:r/>
            <w:r>
              <w:rPr>
                <w:sz w:val="16"/>
              </w:rPr>
              <w:t>0.3307</w:t>
            </w:r>
          </w:p>
        </w:tc>
        <w:tc>
          <w:tcPr>
            <w:tcW w:type="dxa" w:w="1440"/>
          </w:tcPr>
          <w:p>
            <w:pPr>
              <w:spacing w:after="20" w:before="0" w:line="240" w:lineRule="auto"/>
            </w:pPr>
            <w:r/>
            <w:r>
              <w:rPr>
                <w:sz w:val="16"/>
              </w:rPr>
              <w:t>0.3430</w:t>
            </w:r>
          </w:p>
        </w:tc>
        <w:tc>
          <w:tcPr>
            <w:tcW w:type="dxa" w:w="1440"/>
          </w:tcPr>
          <w:p>
            <w:pPr>
              <w:spacing w:after="20" w:before="0" w:line="240" w:lineRule="auto"/>
            </w:pPr>
            <w:r/>
            <w:r>
              <w:rPr>
                <w:sz w:val="16"/>
              </w:rPr>
              <w:t>0.2697</w:t>
            </w:r>
          </w:p>
        </w:tc>
        <w:tc>
          <w:tcPr>
            <w:tcW w:type="dxa" w:w="1440"/>
          </w:tcPr>
          <w:p>
            <w:pPr>
              <w:spacing w:after="20" w:before="0" w:line="240" w:lineRule="auto"/>
            </w:pPr>
            <w:r/>
            <w:r>
              <w:rPr>
                <w:sz w:val="16"/>
              </w:rPr>
              <w:t>0.4120</w:t>
            </w:r>
          </w:p>
        </w:tc>
      </w:tr>
    </w:tbl>
    <w:p>
      <w:r>
        <w:t xml:space="preserve">Recall/FPR rise monotonically on both framings; all four points sit under the cascade's 0.5 FPR budget, so </w:t>
      </w:r>
      <w:r>
        <w:rPr>
          <w:rFonts w:ascii="Consolas" w:hAnsi="Consolas"/>
          <w:sz w:val="20"/>
        </w:rPr>
        <w:t>select_cascade_contamination</w:t>
      </w:r>
      <w:r>
        <w:t xml:space="preserve"> picks </w:t>
      </w:r>
      <w:r>
        <w:rPr>
          <w:rFonts w:ascii="Consolas" w:hAnsi="Consolas"/>
          <w:sz w:val="20"/>
        </w:rPr>
        <w:t>contamination=0.30</w:t>
      </w:r>
      <w:r>
        <w:t xml:space="preserve"> on both. This ceiling is exactly what Ch. 8.4's cascade result traces back to: even the best available Stage-1 recall (33.1%, hard framing) caps the whole cascade's end-to-end recall.</w:t>
      </w:r>
    </w:p>
    <w:p>
      <w:pPr>
        <w:pStyle w:val="Heading2"/>
      </w:pPr>
      <w:r>
        <w:t>Appendix D — Supporting Tables</w:t>
      </w:r>
    </w:p>
    <w:p>
      <w:r>
        <w:t>Full versions of tables summarised in the report body, moved here to stay within the 15-page body budget.</w:t>
      </w:r>
    </w:p>
    <w:p>
      <w:pPr>
        <w:pStyle w:val="Heading3"/>
      </w:pPr>
      <w:r>
        <w:t>D.1 Cliff's delta, all Dataset A features (referenced in Ch. 3.2)</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feature</w:t>
            </w:r>
          </w:p>
        </w:tc>
        <w:tc>
          <w:tcPr>
            <w:tcW w:type="dxa" w:w="3360"/>
          </w:tcPr>
          <w:p>
            <w:pPr>
              <w:spacing w:after="20" w:before="0" w:line="240" w:lineRule="auto"/>
            </w:pPr>
            <w:r/>
            <w:r>
              <w:rPr>
                <w:b/>
                <w:sz w:val="16"/>
              </w:rPr>
              <w:t>Cliff's δ</w:t>
            </w:r>
          </w:p>
        </w:tc>
        <w:tc>
          <w:tcPr>
            <w:tcW w:type="dxa" w:w="3360"/>
          </w:tcPr>
          <w:p>
            <w:pPr>
              <w:spacing w:after="20" w:before="0" w:line="240" w:lineRule="auto"/>
            </w:pPr>
            <w:r/>
            <w:r>
              <w:rPr>
                <w:b/>
                <w:sz w:val="16"/>
              </w:rPr>
              <w:t>verdict</w:t>
            </w:r>
          </w:p>
        </w:tc>
      </w:tr>
      <w:tr>
        <w:tc>
          <w:tcPr>
            <w:tcW w:type="dxa" w:w="3360"/>
          </w:tcPr>
          <w:p>
            <w:pPr>
              <w:spacing w:after="20" w:before="0" w:line="240" w:lineRule="auto"/>
            </w:pPr>
            <w:r/>
            <w:r>
              <w:rPr>
                <w:sz w:val="16"/>
              </w:rPr>
              <w:t>vol_primary</w:t>
            </w:r>
          </w:p>
        </w:tc>
        <w:tc>
          <w:tcPr>
            <w:tcW w:type="dxa" w:w="3360"/>
          </w:tcPr>
          <w:p>
            <w:pPr>
              <w:spacing w:after="20" w:before="0" w:line="240" w:lineRule="auto"/>
            </w:pPr>
            <w:r/>
            <w:r>
              <w:rPr>
                <w:sz w:val="16"/>
              </w:rPr>
              <w:t>+0.242</w:t>
            </w:r>
          </w:p>
        </w:tc>
        <w:tc>
          <w:tcPr>
            <w:tcW w:type="dxa" w:w="3360"/>
          </w:tcPr>
          <w:p>
            <w:pPr>
              <w:spacing w:after="20" w:before="0" w:line="240" w:lineRule="auto"/>
            </w:pPr>
            <w:r/>
            <w:r>
              <w:rPr>
                <w:sz w:val="16"/>
              </w:rPr>
              <w:t>small</w:t>
            </w:r>
          </w:p>
        </w:tc>
      </w:tr>
      <w:tr>
        <w:tc>
          <w:tcPr>
            <w:tcW w:type="dxa" w:w="3360"/>
          </w:tcPr>
          <w:p>
            <w:pPr>
              <w:spacing w:after="20" w:before="0" w:line="240" w:lineRule="auto"/>
            </w:pPr>
            <w:r/>
            <w:r>
              <w:rPr>
                <w:sz w:val="16"/>
              </w:rPr>
              <w:t>vol_secondary</w:t>
            </w:r>
          </w:p>
        </w:tc>
        <w:tc>
          <w:tcPr>
            <w:tcW w:type="dxa" w:w="3360"/>
          </w:tcPr>
          <w:p>
            <w:pPr>
              <w:spacing w:after="20" w:before="0" w:line="240" w:lineRule="auto"/>
            </w:pPr>
            <w:r/>
            <w:r>
              <w:rPr>
                <w:sz w:val="16"/>
              </w:rPr>
              <w:t>+0.551</w:t>
            </w:r>
          </w:p>
        </w:tc>
        <w:tc>
          <w:tcPr>
            <w:tcW w:type="dxa" w:w="3360"/>
          </w:tcPr>
          <w:p>
            <w:pPr>
              <w:spacing w:after="20" w:before="0" w:line="240" w:lineRule="auto"/>
            </w:pPr>
            <w:r/>
            <w:r>
              <w:rPr>
                <w:sz w:val="16"/>
              </w:rPr>
              <w:t>large</w:t>
            </w:r>
          </w:p>
        </w:tc>
      </w:tr>
      <w:tr>
        <w:tc>
          <w:tcPr>
            <w:tcW w:type="dxa" w:w="3360"/>
          </w:tcPr>
          <w:p>
            <w:pPr>
              <w:spacing w:after="20" w:before="0" w:line="240" w:lineRule="auto"/>
            </w:pPr>
            <w:r/>
            <w:r>
              <w:rPr>
                <w:sz w:val="16"/>
              </w:rPr>
              <w:t>vol_total</w:t>
            </w:r>
          </w:p>
        </w:tc>
        <w:tc>
          <w:tcPr>
            <w:tcW w:type="dxa" w:w="3360"/>
          </w:tcPr>
          <w:p>
            <w:pPr>
              <w:spacing w:after="20" w:before="0" w:line="240" w:lineRule="auto"/>
            </w:pPr>
            <w:r/>
            <w:r>
              <w:rPr>
                <w:sz w:val="16"/>
              </w:rPr>
              <w:t>+0.564</w:t>
            </w:r>
          </w:p>
        </w:tc>
        <w:tc>
          <w:tcPr>
            <w:tcW w:type="dxa" w:w="3360"/>
          </w:tcPr>
          <w:p>
            <w:pPr>
              <w:spacing w:after="20" w:before="0" w:line="240" w:lineRule="auto"/>
            </w:pPr>
            <w:r/>
            <w:r>
              <w:rPr>
                <w:sz w:val="16"/>
              </w:rPr>
              <w:t>large</w:t>
            </w:r>
          </w:p>
        </w:tc>
      </w:tr>
      <w:tr>
        <w:tc>
          <w:tcPr>
            <w:tcW w:type="dxa" w:w="3360"/>
          </w:tcPr>
          <w:p>
            <w:pPr>
              <w:spacing w:after="20" w:before="0" w:line="240" w:lineRule="auto"/>
            </w:pPr>
            <w:r/>
            <w:r>
              <w:rPr>
                <w:sz w:val="16"/>
              </w:rPr>
              <w:t>rand_entropy</w:t>
            </w:r>
          </w:p>
        </w:tc>
        <w:tc>
          <w:tcPr>
            <w:tcW w:type="dxa" w:w="3360"/>
          </w:tcPr>
          <w:p>
            <w:pPr>
              <w:spacing w:after="20" w:before="0" w:line="240" w:lineRule="auto"/>
            </w:pPr>
            <w:r/>
            <w:r>
              <w:rPr>
                <w:sz w:val="16"/>
              </w:rPr>
              <w:t>−0.125</w:t>
            </w:r>
          </w:p>
        </w:tc>
        <w:tc>
          <w:tcPr>
            <w:tcW w:type="dxa" w:w="3360"/>
          </w:tcPr>
          <w:p>
            <w:pPr>
              <w:spacing w:after="20" w:before="0" w:line="240" w:lineRule="auto"/>
            </w:pPr>
            <w:r/>
            <w:r>
              <w:rPr>
                <w:sz w:val="16"/>
              </w:rPr>
              <w:t>negligible</w:t>
            </w:r>
          </w:p>
        </w:tc>
      </w:tr>
      <w:tr>
        <w:tc>
          <w:tcPr>
            <w:tcW w:type="dxa" w:w="3360"/>
          </w:tcPr>
          <w:p>
            <w:pPr>
              <w:spacing w:after="20" w:before="0" w:line="240" w:lineRule="auto"/>
            </w:pPr>
            <w:r/>
            <w:r>
              <w:rPr>
                <w:sz w:val="16"/>
              </w:rPr>
              <w:t>rand_dispersion</w:t>
            </w:r>
          </w:p>
        </w:tc>
        <w:tc>
          <w:tcPr>
            <w:tcW w:type="dxa" w:w="3360"/>
          </w:tcPr>
          <w:p>
            <w:pPr>
              <w:spacing w:after="20" w:before="0" w:line="240" w:lineRule="auto"/>
            </w:pPr>
            <w:r/>
            <w:r>
              <w:rPr>
                <w:sz w:val="16"/>
              </w:rPr>
              <w:t>+0.591</w:t>
            </w:r>
          </w:p>
        </w:tc>
        <w:tc>
          <w:tcPr>
            <w:tcW w:type="dxa" w:w="3360"/>
          </w:tcPr>
          <w:p>
            <w:pPr>
              <w:spacing w:after="20" w:before="0" w:line="240" w:lineRule="auto"/>
            </w:pPr>
            <w:r/>
            <w:r>
              <w:rPr>
                <w:sz w:val="16"/>
              </w:rPr>
              <w:t>large</w:t>
            </w:r>
          </w:p>
        </w:tc>
      </w:tr>
      <w:tr>
        <w:tc>
          <w:tcPr>
            <w:tcW w:type="dxa" w:w="3360"/>
          </w:tcPr>
          <w:p>
            <w:pPr>
              <w:spacing w:after="20" w:before="0" w:line="240" w:lineRule="auto"/>
            </w:pPr>
            <w:r/>
            <w:r>
              <w:rPr>
                <w:sz w:val="16"/>
              </w:rPr>
              <w:t>struct_segments</w:t>
            </w:r>
          </w:p>
        </w:tc>
        <w:tc>
          <w:tcPr>
            <w:tcW w:type="dxa" w:w="3360"/>
          </w:tcPr>
          <w:p>
            <w:pPr>
              <w:spacing w:after="20" w:before="0" w:line="240" w:lineRule="auto"/>
            </w:pPr>
            <w:r/>
            <w:r>
              <w:rPr>
                <w:sz w:val="16"/>
              </w:rPr>
              <w:t>+0.533</w:t>
            </w:r>
          </w:p>
        </w:tc>
        <w:tc>
          <w:tcPr>
            <w:tcW w:type="dxa" w:w="3360"/>
          </w:tcPr>
          <w:p>
            <w:pPr>
              <w:spacing w:after="20" w:before="0" w:line="240" w:lineRule="auto"/>
            </w:pPr>
            <w:r/>
            <w:r>
              <w:rPr>
                <w:sz w:val="16"/>
              </w:rPr>
              <w:t>large</w:t>
            </w:r>
          </w:p>
        </w:tc>
      </w:tr>
      <w:tr>
        <w:tc>
          <w:tcPr>
            <w:tcW w:type="dxa" w:w="3360"/>
          </w:tcPr>
          <w:p>
            <w:pPr>
              <w:spacing w:after="20" w:before="0" w:line="240" w:lineRule="auto"/>
            </w:pPr>
            <w:r/>
            <w:r>
              <w:rPr>
                <w:sz w:val="16"/>
              </w:rPr>
              <w:t>struct_max_segment</w:t>
            </w:r>
          </w:p>
        </w:tc>
        <w:tc>
          <w:tcPr>
            <w:tcW w:type="dxa" w:w="3360"/>
          </w:tcPr>
          <w:p>
            <w:pPr>
              <w:spacing w:after="20" w:before="0" w:line="240" w:lineRule="auto"/>
            </w:pPr>
            <w:r/>
            <w:r>
              <w:rPr>
                <w:sz w:val="16"/>
              </w:rPr>
              <w:t>−0.145</w:t>
            </w:r>
          </w:p>
        </w:tc>
        <w:tc>
          <w:tcPr>
            <w:tcW w:type="dxa" w:w="3360"/>
          </w:tcPr>
          <w:p>
            <w:pPr>
              <w:spacing w:after="20" w:before="0" w:line="240" w:lineRule="auto"/>
            </w:pPr>
            <w:r/>
            <w:r>
              <w:rPr>
                <w:sz w:val="16"/>
              </w:rPr>
              <w:t>negligible</w:t>
            </w:r>
          </w:p>
        </w:tc>
      </w:tr>
    </w:tbl>
    <w:p>
      <w:pPr>
        <w:pStyle w:val="Heading3"/>
      </w:pPr>
      <w:r>
        <w:t>D.2 Variance Inflation Factor, Dataset A (referenced in Ch. 4.4)</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360"/>
        <w:gridCol w:w="3360"/>
        <w:gridCol w:w="3360"/>
      </w:tblGrid>
      <w:tr>
        <w:tc>
          <w:tcPr>
            <w:tcW w:type="dxa" w:w="3360"/>
          </w:tcPr>
          <w:p>
            <w:pPr>
              <w:spacing w:after="20" w:before="0" w:line="240" w:lineRule="auto"/>
            </w:pPr>
            <w:r/>
            <w:r>
              <w:rPr>
                <w:b/>
                <w:sz w:val="16"/>
              </w:rPr>
              <w:t>feature</w:t>
            </w:r>
          </w:p>
        </w:tc>
        <w:tc>
          <w:tcPr>
            <w:tcW w:type="dxa" w:w="3360"/>
          </w:tcPr>
          <w:p>
            <w:pPr>
              <w:spacing w:after="20" w:before="0" w:line="240" w:lineRule="auto"/>
            </w:pPr>
            <w:r/>
            <w:r>
              <w:rPr>
                <w:b/>
                <w:sz w:val="16"/>
              </w:rPr>
              <w:t>VIF</w:t>
            </w:r>
          </w:p>
        </w:tc>
        <w:tc>
          <w:tcPr>
            <w:tcW w:type="dxa" w:w="3360"/>
          </w:tcPr>
          <w:p>
            <w:pPr>
              <w:spacing w:after="20" w:before="0" w:line="240" w:lineRule="auto"/>
            </w:pPr>
            <w:r/>
            <w:r>
              <w:rPr>
                <w:b/>
                <w:sz w:val="16"/>
              </w:rPr>
              <w:t>flagged (&gt;10)</w:t>
            </w:r>
          </w:p>
        </w:tc>
      </w:tr>
      <w:tr>
        <w:tc>
          <w:tcPr>
            <w:tcW w:type="dxa" w:w="3360"/>
          </w:tcPr>
          <w:p>
            <w:pPr>
              <w:spacing w:after="20" w:before="0" w:line="240" w:lineRule="auto"/>
            </w:pPr>
            <w:r/>
            <w:r>
              <w:rPr>
                <w:sz w:val="16"/>
              </w:rPr>
              <w:t>vol_primary</w:t>
            </w:r>
          </w:p>
        </w:tc>
        <w:tc>
          <w:tcPr>
            <w:tcW w:type="dxa" w:w="3360"/>
          </w:tcPr>
          <w:p>
            <w:pPr>
              <w:spacing w:after="20" w:before="0" w:line="240" w:lineRule="auto"/>
            </w:pPr>
            <w:r/>
            <w:r>
              <w:rPr>
                <w:sz w:val="16"/>
              </w:rPr>
              <w:t>128.3</w:t>
            </w:r>
          </w:p>
        </w:tc>
        <w:tc>
          <w:tcPr>
            <w:tcW w:type="dxa" w:w="3360"/>
          </w:tcPr>
          <w:p>
            <w:pPr>
              <w:spacing w:after="20" w:before="0" w:line="240" w:lineRule="auto"/>
            </w:pPr>
            <w:r/>
            <w:r>
              <w:rPr>
                <w:sz w:val="16"/>
              </w:rPr>
              <w:t>yes</w:t>
            </w:r>
          </w:p>
        </w:tc>
      </w:tr>
      <w:tr>
        <w:tc>
          <w:tcPr>
            <w:tcW w:type="dxa" w:w="3360"/>
          </w:tcPr>
          <w:p>
            <w:pPr>
              <w:spacing w:after="20" w:before="0" w:line="240" w:lineRule="auto"/>
            </w:pPr>
            <w:r/>
            <w:r>
              <w:rPr>
                <w:sz w:val="16"/>
              </w:rPr>
              <w:t>vol_secondary</w:t>
            </w:r>
          </w:p>
        </w:tc>
        <w:tc>
          <w:tcPr>
            <w:tcW w:type="dxa" w:w="3360"/>
          </w:tcPr>
          <w:p>
            <w:pPr>
              <w:spacing w:after="20" w:before="0" w:line="240" w:lineRule="auto"/>
            </w:pPr>
            <w:r/>
            <w:r>
              <w:rPr>
                <w:sz w:val="16"/>
              </w:rPr>
              <w:t>113.6</w:t>
            </w:r>
          </w:p>
        </w:tc>
        <w:tc>
          <w:tcPr>
            <w:tcW w:type="dxa" w:w="3360"/>
          </w:tcPr>
          <w:p>
            <w:pPr>
              <w:spacing w:after="20" w:before="0" w:line="240" w:lineRule="auto"/>
            </w:pPr>
            <w:r/>
            <w:r>
              <w:rPr>
                <w:sz w:val="16"/>
              </w:rPr>
              <w:t>yes</w:t>
            </w:r>
          </w:p>
        </w:tc>
      </w:tr>
      <w:tr>
        <w:tc>
          <w:tcPr>
            <w:tcW w:type="dxa" w:w="3360"/>
          </w:tcPr>
          <w:p>
            <w:pPr>
              <w:spacing w:after="20" w:before="0" w:line="240" w:lineRule="auto"/>
            </w:pPr>
            <w:r/>
            <w:r>
              <w:rPr>
                <w:sz w:val="16"/>
              </w:rPr>
              <w:t>vol_total</w:t>
            </w:r>
          </w:p>
        </w:tc>
        <w:tc>
          <w:tcPr>
            <w:tcW w:type="dxa" w:w="3360"/>
          </w:tcPr>
          <w:p>
            <w:pPr>
              <w:spacing w:after="20" w:before="0" w:line="240" w:lineRule="auto"/>
            </w:pPr>
            <w:r/>
            <w:r>
              <w:rPr>
                <w:sz w:val="16"/>
              </w:rPr>
              <w:t>136.3</w:t>
            </w:r>
          </w:p>
        </w:tc>
        <w:tc>
          <w:tcPr>
            <w:tcW w:type="dxa" w:w="3360"/>
          </w:tcPr>
          <w:p>
            <w:pPr>
              <w:spacing w:after="20" w:before="0" w:line="240" w:lineRule="auto"/>
            </w:pPr>
            <w:r/>
            <w:r>
              <w:rPr>
                <w:sz w:val="16"/>
              </w:rPr>
              <w:t>yes</w:t>
            </w:r>
          </w:p>
        </w:tc>
      </w:tr>
      <w:tr>
        <w:tc>
          <w:tcPr>
            <w:tcW w:type="dxa" w:w="3360"/>
          </w:tcPr>
          <w:p>
            <w:pPr>
              <w:spacing w:after="20" w:before="0" w:line="240" w:lineRule="auto"/>
            </w:pPr>
            <w:r/>
            <w:r>
              <w:rPr>
                <w:sz w:val="16"/>
              </w:rPr>
              <w:t>rand_entropy</w:t>
            </w:r>
          </w:p>
        </w:tc>
        <w:tc>
          <w:tcPr>
            <w:tcW w:type="dxa" w:w="3360"/>
          </w:tcPr>
          <w:p>
            <w:pPr>
              <w:spacing w:after="20" w:before="0" w:line="240" w:lineRule="auto"/>
            </w:pPr>
            <w:r/>
            <w:r>
              <w:rPr>
                <w:sz w:val="16"/>
              </w:rPr>
              <w:t>2.33</w:t>
            </w:r>
          </w:p>
        </w:tc>
        <w:tc>
          <w:tcPr>
            <w:tcW w:type="dxa" w:w="3360"/>
          </w:tcPr>
          <w:p>
            <w:pPr>
              <w:spacing w:after="20" w:before="0" w:line="240" w:lineRule="auto"/>
            </w:pPr>
            <w:r/>
            <w:r>
              <w:rPr>
                <w:sz w:val="16"/>
              </w:rPr>
              <w:t>no</w:t>
            </w:r>
          </w:p>
        </w:tc>
      </w:tr>
      <w:tr>
        <w:tc>
          <w:tcPr>
            <w:tcW w:type="dxa" w:w="3360"/>
          </w:tcPr>
          <w:p>
            <w:pPr>
              <w:spacing w:after="20" w:before="0" w:line="240" w:lineRule="auto"/>
            </w:pPr>
            <w:r/>
            <w:r>
              <w:rPr>
                <w:sz w:val="16"/>
              </w:rPr>
              <w:t>rand_dispersion</w:t>
            </w:r>
          </w:p>
        </w:tc>
        <w:tc>
          <w:tcPr>
            <w:tcW w:type="dxa" w:w="3360"/>
          </w:tcPr>
          <w:p>
            <w:pPr>
              <w:spacing w:after="20" w:before="0" w:line="240" w:lineRule="auto"/>
            </w:pPr>
            <w:r/>
            <w:r>
              <w:rPr>
                <w:sz w:val="16"/>
              </w:rPr>
              <w:t>14.4</w:t>
            </w:r>
          </w:p>
        </w:tc>
        <w:tc>
          <w:tcPr>
            <w:tcW w:type="dxa" w:w="3360"/>
          </w:tcPr>
          <w:p>
            <w:pPr>
              <w:spacing w:after="20" w:before="0" w:line="240" w:lineRule="auto"/>
            </w:pPr>
            <w:r/>
            <w:r>
              <w:rPr>
                <w:sz w:val="16"/>
              </w:rPr>
              <w:t>yes</w:t>
            </w:r>
          </w:p>
        </w:tc>
      </w:tr>
      <w:tr>
        <w:tc>
          <w:tcPr>
            <w:tcW w:type="dxa" w:w="3360"/>
          </w:tcPr>
          <w:p>
            <w:pPr>
              <w:spacing w:after="20" w:before="0" w:line="240" w:lineRule="auto"/>
            </w:pPr>
            <w:r/>
            <w:r>
              <w:rPr>
                <w:sz w:val="16"/>
              </w:rPr>
              <w:t>struct_segments</w:t>
            </w:r>
          </w:p>
        </w:tc>
        <w:tc>
          <w:tcPr>
            <w:tcW w:type="dxa" w:w="3360"/>
          </w:tcPr>
          <w:p>
            <w:pPr>
              <w:spacing w:after="20" w:before="0" w:line="240" w:lineRule="auto"/>
            </w:pPr>
            <w:r/>
            <w:r>
              <w:rPr>
                <w:sz w:val="16"/>
              </w:rPr>
              <w:t>100.5</w:t>
            </w:r>
          </w:p>
        </w:tc>
        <w:tc>
          <w:tcPr>
            <w:tcW w:type="dxa" w:w="3360"/>
          </w:tcPr>
          <w:p>
            <w:pPr>
              <w:spacing w:after="20" w:before="0" w:line="240" w:lineRule="auto"/>
            </w:pPr>
            <w:r/>
            <w:r>
              <w:rPr>
                <w:sz w:val="16"/>
              </w:rPr>
              <w:t>yes</w:t>
            </w:r>
          </w:p>
        </w:tc>
      </w:tr>
      <w:tr>
        <w:tc>
          <w:tcPr>
            <w:tcW w:type="dxa" w:w="3360"/>
          </w:tcPr>
          <w:p>
            <w:pPr>
              <w:spacing w:after="20" w:before="0" w:line="240" w:lineRule="auto"/>
            </w:pPr>
            <w:r/>
            <w:r>
              <w:rPr>
                <w:sz w:val="16"/>
              </w:rPr>
              <w:t>struct_max_segment</w:t>
            </w:r>
          </w:p>
        </w:tc>
        <w:tc>
          <w:tcPr>
            <w:tcW w:type="dxa" w:w="3360"/>
          </w:tcPr>
          <w:p>
            <w:pPr>
              <w:spacing w:after="20" w:before="0" w:line="240" w:lineRule="auto"/>
            </w:pPr>
            <w:r/>
            <w:r>
              <w:rPr>
                <w:sz w:val="16"/>
              </w:rPr>
              <w:t>168.0</w:t>
            </w:r>
          </w:p>
        </w:tc>
        <w:tc>
          <w:tcPr>
            <w:tcW w:type="dxa" w:w="3360"/>
          </w:tcPr>
          <w:p>
            <w:pPr>
              <w:spacing w:after="20" w:before="0" w:line="240" w:lineRule="auto"/>
            </w:pPr>
            <w:r/>
            <w:r>
              <w:rPr>
                <w:sz w:val="16"/>
              </w:rPr>
              <w:t>yes</w:t>
            </w:r>
          </w:p>
        </w:tc>
      </w:tr>
    </w:tbl>
    <w:p>
      <w:pPr>
        <w:pStyle w:val="Heading3"/>
      </w:pPr>
      <w:r>
        <w:t>D.3 Kolmogorov–Smirnov distribution shift, intersection columns (referenced in Ch. 5.2)</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680"/>
        <w:gridCol w:w="1680"/>
        <w:gridCol w:w="1680"/>
        <w:gridCol w:w="1680"/>
        <w:gridCol w:w="1680"/>
        <w:gridCol w:w="1680"/>
      </w:tblGrid>
      <w:tr>
        <w:tc>
          <w:tcPr>
            <w:tcW w:type="dxa" w:w="1680"/>
          </w:tcPr>
          <w:p>
            <w:pPr>
              <w:spacing w:after="20" w:before="0" w:line="240" w:lineRule="auto"/>
            </w:pPr>
            <w:r/>
            <w:r>
              <w:rPr>
                <w:b/>
                <w:sz w:val="16"/>
              </w:rPr>
              <w:t>feature</w:t>
            </w:r>
          </w:p>
        </w:tc>
        <w:tc>
          <w:tcPr>
            <w:tcW w:type="dxa" w:w="1680"/>
          </w:tcPr>
          <w:p>
            <w:pPr>
              <w:spacing w:after="20" w:before="0" w:line="240" w:lineRule="auto"/>
            </w:pPr>
            <w:r/>
            <w:r>
              <w:rPr>
                <w:b/>
                <w:sz w:val="16"/>
              </w:rPr>
              <w:t>family</w:t>
            </w:r>
          </w:p>
        </w:tc>
        <w:tc>
          <w:tcPr>
            <w:tcW w:type="dxa" w:w="1680"/>
          </w:tcPr>
          <w:p>
            <w:pPr>
              <w:spacing w:after="20" w:before="0" w:line="240" w:lineRule="auto"/>
            </w:pPr>
            <w:r/>
            <w:r>
              <w:rPr>
                <w:b/>
                <w:sz w:val="16"/>
              </w:rPr>
              <w:t>KS</w:t>
            </w:r>
          </w:p>
        </w:tc>
        <w:tc>
          <w:tcPr>
            <w:tcW w:type="dxa" w:w="1680"/>
          </w:tcPr>
          <w:p>
            <w:pPr>
              <w:spacing w:after="20" w:before="0" w:line="240" w:lineRule="auto"/>
            </w:pPr>
            <w:r/>
            <w:r>
              <w:rPr>
                <w:b/>
                <w:sz w:val="16"/>
              </w:rPr>
              <w:t>mean (A)</w:t>
            </w:r>
          </w:p>
        </w:tc>
        <w:tc>
          <w:tcPr>
            <w:tcW w:type="dxa" w:w="1680"/>
          </w:tcPr>
          <w:p>
            <w:pPr>
              <w:spacing w:after="20" w:before="0" w:line="240" w:lineRule="auto"/>
            </w:pPr>
            <w:r/>
            <w:r>
              <w:rPr>
                <w:b/>
                <w:sz w:val="16"/>
              </w:rPr>
              <w:t>mean (B)</w:t>
            </w:r>
          </w:p>
        </w:tc>
        <w:tc>
          <w:tcPr>
            <w:tcW w:type="dxa" w:w="1680"/>
          </w:tcPr>
          <w:p>
            <w:pPr>
              <w:spacing w:after="20" w:before="0" w:line="240" w:lineRule="auto"/>
            </w:pPr>
            <w:r/>
            <w:r>
              <w:rPr>
                <w:b/>
                <w:sz w:val="16"/>
              </w:rPr>
              <w:t>ratio (B/A)</w:t>
            </w:r>
          </w:p>
        </w:tc>
      </w:tr>
      <w:tr>
        <w:tc>
          <w:tcPr>
            <w:tcW w:type="dxa" w:w="1680"/>
          </w:tcPr>
          <w:p>
            <w:pPr>
              <w:spacing w:after="20" w:before="0" w:line="240" w:lineRule="auto"/>
            </w:pPr>
            <w:r/>
            <w:r>
              <w:rPr>
                <w:sz w:val="16"/>
              </w:rPr>
              <w:t>vol_primary</w:t>
            </w:r>
          </w:p>
        </w:tc>
        <w:tc>
          <w:tcPr>
            <w:tcW w:type="dxa" w:w="1680"/>
          </w:tcPr>
          <w:p>
            <w:pPr>
              <w:spacing w:after="20" w:before="0" w:line="240" w:lineRule="auto"/>
            </w:pPr>
            <w:r/>
            <w:r>
              <w:rPr>
                <w:sz w:val="16"/>
              </w:rPr>
              <w:t>F1</w:t>
            </w:r>
          </w:p>
        </w:tc>
        <w:tc>
          <w:tcPr>
            <w:tcW w:type="dxa" w:w="1680"/>
          </w:tcPr>
          <w:p>
            <w:pPr>
              <w:spacing w:after="20" w:before="0" w:line="240" w:lineRule="auto"/>
            </w:pPr>
            <w:r/>
            <w:r>
              <w:rPr>
                <w:sz w:val="16"/>
              </w:rPr>
              <w:t>1.0000</w:t>
            </w:r>
          </w:p>
        </w:tc>
        <w:tc>
          <w:tcPr>
            <w:tcW w:type="dxa" w:w="1680"/>
          </w:tcPr>
          <w:p>
            <w:pPr>
              <w:spacing w:after="20" w:before="0" w:line="240" w:lineRule="auto"/>
            </w:pPr>
            <w:r/>
            <w:r>
              <w:rPr>
                <w:sz w:val="16"/>
              </w:rPr>
              <w:t>12.39</w:t>
            </w:r>
          </w:p>
        </w:tc>
        <w:tc>
          <w:tcPr>
            <w:tcW w:type="dxa" w:w="1680"/>
          </w:tcPr>
          <w:p>
            <w:pPr>
              <w:spacing w:after="20" w:before="0" w:line="240" w:lineRule="auto"/>
            </w:pPr>
            <w:r/>
            <w:r>
              <w:rPr>
                <w:sz w:val="16"/>
              </w:rPr>
              <w:t>173.03</w:t>
            </w:r>
          </w:p>
        </w:tc>
        <w:tc>
          <w:tcPr>
            <w:tcW w:type="dxa" w:w="1680"/>
          </w:tcPr>
          <w:p>
            <w:pPr>
              <w:spacing w:after="20" w:before="0" w:line="240" w:lineRule="auto"/>
            </w:pPr>
            <w:r/>
            <w:r>
              <w:rPr>
                <w:sz w:val="16"/>
              </w:rPr>
              <w:t>×14.0</w:t>
            </w:r>
          </w:p>
        </w:tc>
      </w:tr>
      <w:tr>
        <w:tc>
          <w:tcPr>
            <w:tcW w:type="dxa" w:w="1680"/>
          </w:tcPr>
          <w:p>
            <w:pPr>
              <w:spacing w:after="20" w:before="0" w:line="240" w:lineRule="auto"/>
            </w:pPr>
            <w:r/>
            <w:r>
              <w:rPr>
                <w:sz w:val="16"/>
              </w:rPr>
              <w:t>vol_secondary</w:t>
            </w:r>
          </w:p>
        </w:tc>
        <w:tc>
          <w:tcPr>
            <w:tcW w:type="dxa" w:w="1680"/>
          </w:tcPr>
          <w:p>
            <w:pPr>
              <w:spacing w:after="20" w:before="0" w:line="240" w:lineRule="auto"/>
            </w:pPr>
            <w:r/>
            <w:r>
              <w:rPr>
                <w:sz w:val="16"/>
              </w:rPr>
              <w:t>F1</w:t>
            </w:r>
          </w:p>
        </w:tc>
        <w:tc>
          <w:tcPr>
            <w:tcW w:type="dxa" w:w="1680"/>
          </w:tcPr>
          <w:p>
            <w:pPr>
              <w:spacing w:after="20" w:before="0" w:line="240" w:lineRule="auto"/>
            </w:pPr>
            <w:r/>
            <w:r>
              <w:rPr>
                <w:sz w:val="16"/>
              </w:rPr>
              <w:t>1.0000</w:t>
            </w:r>
          </w:p>
        </w:tc>
        <w:tc>
          <w:tcPr>
            <w:tcW w:type="dxa" w:w="1680"/>
          </w:tcPr>
          <w:p>
            <w:pPr>
              <w:spacing w:after="20" w:before="0" w:line="240" w:lineRule="auto"/>
            </w:pPr>
            <w:r/>
            <w:r>
              <w:rPr>
                <w:sz w:val="16"/>
              </w:rPr>
              <w:t>5.83</w:t>
            </w:r>
          </w:p>
        </w:tc>
        <w:tc>
          <w:tcPr>
            <w:tcW w:type="dxa" w:w="1680"/>
          </w:tcPr>
          <w:p>
            <w:pPr>
              <w:spacing w:after="20" w:before="0" w:line="240" w:lineRule="auto"/>
            </w:pPr>
            <w:r/>
            <w:r>
              <w:rPr>
                <w:sz w:val="16"/>
              </w:rPr>
              <w:t>95.19</w:t>
            </w:r>
          </w:p>
        </w:tc>
        <w:tc>
          <w:tcPr>
            <w:tcW w:type="dxa" w:w="1680"/>
          </w:tcPr>
          <w:p>
            <w:pPr>
              <w:spacing w:after="20" w:before="0" w:line="240" w:lineRule="auto"/>
            </w:pPr>
            <w:r/>
            <w:r>
              <w:rPr>
                <w:sz w:val="16"/>
              </w:rPr>
              <w:t>×16.3</w:t>
            </w:r>
          </w:p>
        </w:tc>
      </w:tr>
      <w:tr>
        <w:tc>
          <w:tcPr>
            <w:tcW w:type="dxa" w:w="1680"/>
          </w:tcPr>
          <w:p>
            <w:pPr>
              <w:spacing w:after="20" w:before="0" w:line="240" w:lineRule="auto"/>
            </w:pPr>
            <w:r/>
            <w:r>
              <w:rPr>
                <w:sz w:val="16"/>
              </w:rPr>
              <w:t>vol_total</w:t>
            </w:r>
          </w:p>
        </w:tc>
        <w:tc>
          <w:tcPr>
            <w:tcW w:type="dxa" w:w="1680"/>
          </w:tcPr>
          <w:p>
            <w:pPr>
              <w:spacing w:after="20" w:before="0" w:line="240" w:lineRule="auto"/>
            </w:pPr>
            <w:r/>
            <w:r>
              <w:rPr>
                <w:sz w:val="16"/>
              </w:rPr>
              <w:t>F1</w:t>
            </w:r>
          </w:p>
        </w:tc>
        <w:tc>
          <w:tcPr>
            <w:tcW w:type="dxa" w:w="1680"/>
          </w:tcPr>
          <w:p>
            <w:pPr>
              <w:spacing w:after="20" w:before="0" w:line="240" w:lineRule="auto"/>
            </w:pPr>
            <w:r/>
            <w:r>
              <w:rPr>
                <w:sz w:val="16"/>
              </w:rPr>
              <w:t>1.0000</w:t>
            </w:r>
          </w:p>
        </w:tc>
        <w:tc>
          <w:tcPr>
            <w:tcW w:type="dxa" w:w="1680"/>
          </w:tcPr>
          <w:p>
            <w:pPr>
              <w:spacing w:after="20" w:before="0" w:line="240" w:lineRule="auto"/>
            </w:pPr>
            <w:r/>
            <w:r>
              <w:rPr>
                <w:sz w:val="16"/>
              </w:rPr>
              <w:t>21.81</w:t>
            </w:r>
          </w:p>
        </w:tc>
        <w:tc>
          <w:tcPr>
            <w:tcW w:type="dxa" w:w="1680"/>
          </w:tcPr>
          <w:p>
            <w:pPr>
              <w:spacing w:after="20" w:before="0" w:line="240" w:lineRule="auto"/>
            </w:pPr>
            <w:r/>
            <w:r>
              <w:rPr>
                <w:sz w:val="16"/>
              </w:rPr>
              <w:t>40,523.60</w:t>
            </w:r>
          </w:p>
        </w:tc>
        <w:tc>
          <w:tcPr>
            <w:tcW w:type="dxa" w:w="1680"/>
          </w:tcPr>
          <w:p>
            <w:pPr>
              <w:spacing w:after="20" w:before="0" w:line="240" w:lineRule="auto"/>
            </w:pPr>
            <w:r/>
            <w:r>
              <w:rPr>
                <w:sz w:val="16"/>
              </w:rPr>
              <w:t>×1,858.6</w:t>
            </w:r>
          </w:p>
        </w:tc>
      </w:tr>
      <w:tr>
        <w:tc>
          <w:tcPr>
            <w:tcW w:type="dxa" w:w="1680"/>
          </w:tcPr>
          <w:p>
            <w:pPr>
              <w:spacing w:after="20" w:before="0" w:line="240" w:lineRule="auto"/>
            </w:pPr>
            <w:r/>
            <w:r>
              <w:rPr>
                <w:sz w:val="16"/>
              </w:rPr>
              <w:t>struct_segments</w:t>
            </w:r>
          </w:p>
        </w:tc>
        <w:tc>
          <w:tcPr>
            <w:tcW w:type="dxa" w:w="1680"/>
          </w:tcPr>
          <w:p>
            <w:pPr>
              <w:spacing w:after="20" w:before="0" w:line="240" w:lineRule="auto"/>
            </w:pPr>
            <w:r/>
            <w:r>
              <w:rPr>
                <w:sz w:val="16"/>
              </w:rPr>
              <w:t>F3</w:t>
            </w:r>
          </w:p>
        </w:tc>
        <w:tc>
          <w:tcPr>
            <w:tcW w:type="dxa" w:w="1680"/>
          </w:tcPr>
          <w:p>
            <w:pPr>
              <w:spacing w:after="20" w:before="0" w:line="240" w:lineRule="auto"/>
            </w:pPr>
            <w:r/>
            <w:r>
              <w:rPr>
                <w:sz w:val="16"/>
              </w:rPr>
              <w:t>1.0000</w:t>
            </w:r>
          </w:p>
        </w:tc>
        <w:tc>
          <w:tcPr>
            <w:tcW w:type="dxa" w:w="1680"/>
          </w:tcPr>
          <w:p>
            <w:pPr>
              <w:spacing w:after="20" w:before="0" w:line="240" w:lineRule="auto"/>
            </w:pPr>
            <w:r/>
            <w:r>
              <w:rPr>
                <w:sz w:val="16"/>
              </w:rPr>
              <w:t>4.68</w:t>
            </w:r>
          </w:p>
        </w:tc>
        <w:tc>
          <w:tcPr>
            <w:tcW w:type="dxa" w:w="1680"/>
          </w:tcPr>
          <w:p>
            <w:pPr>
              <w:spacing w:after="20" w:before="0" w:line="240" w:lineRule="auto"/>
            </w:pPr>
            <w:r/>
            <w:r>
              <w:rPr>
                <w:sz w:val="16"/>
              </w:rPr>
              <w:t>70.79</w:t>
            </w:r>
          </w:p>
        </w:tc>
        <w:tc>
          <w:tcPr>
            <w:tcW w:type="dxa" w:w="1680"/>
          </w:tcPr>
          <w:p>
            <w:pPr>
              <w:spacing w:after="20" w:before="0" w:line="240" w:lineRule="auto"/>
            </w:pPr>
            <w:r/>
            <w:r>
              <w:rPr>
                <w:sz w:val="16"/>
              </w:rPr>
              <w:t>×15.1</w:t>
            </w:r>
          </w:p>
        </w:tc>
      </w:tr>
      <w:tr>
        <w:tc>
          <w:tcPr>
            <w:tcW w:type="dxa" w:w="1680"/>
          </w:tcPr>
          <w:p>
            <w:pPr>
              <w:spacing w:after="20" w:before="0" w:line="240" w:lineRule="auto"/>
            </w:pPr>
            <w:r/>
            <w:r>
              <w:rPr>
                <w:sz w:val="16"/>
              </w:rPr>
              <w:t>rand_dispersion</w:t>
            </w:r>
          </w:p>
        </w:tc>
        <w:tc>
          <w:tcPr>
            <w:tcW w:type="dxa" w:w="1680"/>
          </w:tcPr>
          <w:p>
            <w:pPr>
              <w:spacing w:after="20" w:before="0" w:line="240" w:lineRule="auto"/>
            </w:pPr>
            <w:r/>
            <w:r>
              <w:rPr>
                <w:sz w:val="16"/>
              </w:rPr>
              <w:t>F2</w:t>
            </w:r>
          </w:p>
        </w:tc>
        <w:tc>
          <w:tcPr>
            <w:tcW w:type="dxa" w:w="1680"/>
          </w:tcPr>
          <w:p>
            <w:pPr>
              <w:spacing w:after="20" w:before="0" w:line="240" w:lineRule="auto"/>
            </w:pPr>
            <w:r/>
            <w:r>
              <w:rPr>
                <w:sz w:val="16"/>
              </w:rPr>
              <w:t>0.9897</w:t>
            </w:r>
          </w:p>
        </w:tc>
        <w:tc>
          <w:tcPr>
            <w:tcW w:type="dxa" w:w="1680"/>
          </w:tcPr>
          <w:p>
            <w:pPr>
              <w:spacing w:after="20" w:before="0" w:line="240" w:lineRule="auto"/>
            </w:pPr>
            <w:r/>
            <w:r>
              <w:rPr>
                <w:sz w:val="16"/>
              </w:rPr>
              <w:t>0.89</w:t>
            </w:r>
          </w:p>
        </w:tc>
        <w:tc>
          <w:tcPr>
            <w:tcW w:type="dxa" w:w="1680"/>
          </w:tcPr>
          <w:p>
            <w:pPr>
              <w:spacing w:after="20" w:before="0" w:line="240" w:lineRule="auto"/>
            </w:pPr>
            <w:r/>
            <w:r>
              <w:rPr>
                <w:sz w:val="16"/>
              </w:rPr>
              <w:t>9.34</w:t>
            </w:r>
          </w:p>
        </w:tc>
        <w:tc>
          <w:tcPr>
            <w:tcW w:type="dxa" w:w="1680"/>
          </w:tcPr>
          <w:p>
            <w:pPr>
              <w:spacing w:after="20" w:before="0" w:line="240" w:lineRule="auto"/>
            </w:pPr>
            <w:r/>
            <w:r>
              <w:rPr>
                <w:sz w:val="16"/>
              </w:rPr>
              <w:t>×10.5</w:t>
            </w:r>
          </w:p>
        </w:tc>
      </w:tr>
      <w:tr>
        <w:tc>
          <w:tcPr>
            <w:tcW w:type="dxa" w:w="1680"/>
          </w:tcPr>
          <w:p>
            <w:pPr>
              <w:spacing w:after="20" w:before="0" w:line="240" w:lineRule="auto"/>
            </w:pPr>
            <w:r/>
            <w:r>
              <w:rPr>
                <w:sz w:val="16"/>
              </w:rPr>
              <w:t>struct_max_segment</w:t>
            </w:r>
          </w:p>
        </w:tc>
        <w:tc>
          <w:tcPr>
            <w:tcW w:type="dxa" w:w="1680"/>
          </w:tcPr>
          <w:p>
            <w:pPr>
              <w:spacing w:after="20" w:before="0" w:line="240" w:lineRule="auto"/>
            </w:pPr>
            <w:r/>
            <w:r>
              <w:rPr>
                <w:sz w:val="16"/>
              </w:rPr>
              <w:t>F3</w:t>
            </w:r>
          </w:p>
        </w:tc>
        <w:tc>
          <w:tcPr>
            <w:tcW w:type="dxa" w:w="1680"/>
          </w:tcPr>
          <w:p>
            <w:pPr>
              <w:spacing w:after="20" w:before="0" w:line="240" w:lineRule="auto"/>
            </w:pPr>
            <w:r/>
            <w:r>
              <w:rPr>
                <w:sz w:val="16"/>
              </w:rPr>
              <w:t>0.9011</w:t>
            </w:r>
          </w:p>
        </w:tc>
        <w:tc>
          <w:tcPr>
            <w:tcW w:type="dxa" w:w="1680"/>
          </w:tcPr>
          <w:p>
            <w:pPr>
              <w:spacing w:after="20" w:before="0" w:line="240" w:lineRule="auto"/>
            </w:pPr>
            <w:r/>
            <w:r>
              <w:rPr>
                <w:sz w:val="16"/>
              </w:rPr>
              <w:t>8.17</w:t>
            </w:r>
          </w:p>
        </w:tc>
        <w:tc>
          <w:tcPr>
            <w:tcW w:type="dxa" w:w="1680"/>
          </w:tcPr>
          <w:p>
            <w:pPr>
              <w:spacing w:after="20" w:before="0" w:line="240" w:lineRule="auto"/>
            </w:pPr>
            <w:r/>
            <w:r>
              <w:rPr>
                <w:sz w:val="16"/>
              </w:rPr>
              <w:t>220.02</w:t>
            </w:r>
          </w:p>
        </w:tc>
        <w:tc>
          <w:tcPr>
            <w:tcW w:type="dxa" w:w="1680"/>
          </w:tcPr>
          <w:p>
            <w:pPr>
              <w:spacing w:after="20" w:before="0" w:line="240" w:lineRule="auto"/>
            </w:pPr>
            <w:r/>
            <w:r>
              <w:rPr>
                <w:sz w:val="16"/>
              </w:rPr>
              <w:t>×26.9</w:t>
            </w:r>
          </w:p>
        </w:tc>
      </w:tr>
      <w:tr>
        <w:tc>
          <w:tcPr>
            <w:tcW w:type="dxa" w:w="1680"/>
          </w:tcPr>
          <w:p>
            <w:pPr>
              <w:spacing w:after="20" w:before="0" w:line="240" w:lineRule="auto"/>
            </w:pPr>
            <w:r/>
            <w:r>
              <w:rPr>
                <w:sz w:val="16"/>
              </w:rPr>
              <w:t>rand_entropy</w:t>
            </w:r>
          </w:p>
        </w:tc>
        <w:tc>
          <w:tcPr>
            <w:tcW w:type="dxa" w:w="1680"/>
          </w:tcPr>
          <w:p>
            <w:pPr>
              <w:spacing w:after="20" w:before="0" w:line="240" w:lineRule="auto"/>
            </w:pPr>
            <w:r/>
            <w:r>
              <w:rPr>
                <w:sz w:val="16"/>
              </w:rPr>
              <w:t>F2</w:t>
            </w:r>
          </w:p>
        </w:tc>
        <w:tc>
          <w:tcPr>
            <w:tcW w:type="dxa" w:w="1680"/>
          </w:tcPr>
          <w:p>
            <w:pPr>
              <w:spacing w:after="20" w:before="0" w:line="240" w:lineRule="auto"/>
            </w:pPr>
            <w:r/>
            <w:r>
              <w:rPr>
                <w:sz w:val="16"/>
              </w:rPr>
              <w:t>0.8916</w:t>
            </w:r>
          </w:p>
        </w:tc>
        <w:tc>
          <w:tcPr>
            <w:tcW w:type="dxa" w:w="1680"/>
          </w:tcPr>
          <w:p>
            <w:pPr>
              <w:spacing w:after="20" w:before="0" w:line="240" w:lineRule="auto"/>
            </w:pPr>
            <w:r/>
            <w:r>
              <w:rPr>
                <w:sz w:val="16"/>
              </w:rPr>
              <w:t>2.48</w:t>
            </w:r>
          </w:p>
        </w:tc>
        <w:tc>
          <w:tcPr>
            <w:tcW w:type="dxa" w:w="1680"/>
          </w:tcPr>
          <w:p>
            <w:pPr>
              <w:spacing w:after="20" w:before="0" w:line="240" w:lineRule="auto"/>
            </w:pPr>
            <w:r/>
            <w:r>
              <w:rPr>
                <w:sz w:val="16"/>
              </w:rPr>
              <w:t>1.00</w:t>
            </w:r>
          </w:p>
        </w:tc>
        <w:tc>
          <w:tcPr>
            <w:tcW w:type="dxa" w:w="1680"/>
          </w:tcPr>
          <w:p>
            <w:pPr>
              <w:spacing w:after="20" w:before="0" w:line="240" w:lineRule="auto"/>
            </w:pPr>
            <w:r/>
            <w:r>
              <w:rPr>
                <w:sz w:val="16"/>
              </w:rPr>
              <w:t>×0.40</w:t>
            </w:r>
          </w:p>
        </w:tc>
      </w:tr>
    </w:tbl>
    <w:p>
      <w:pPr>
        <w:pStyle w:val="Heading3"/>
      </w:pPr>
      <w:r>
        <w:t>D.4 Cross-model pairwise error overlap vs. chance baseline, Dataset A (referenced in Ch. 8.1.4)</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16"/>
        <w:gridCol w:w="2016"/>
        <w:gridCol w:w="2016"/>
        <w:gridCol w:w="2016"/>
        <w:gridCol w:w="2016"/>
      </w:tblGrid>
      <w:tr>
        <w:tc>
          <w:tcPr>
            <w:tcW w:type="dxa" w:w="2016"/>
          </w:tcPr>
          <w:p>
            <w:pPr>
              <w:spacing w:after="20" w:before="0" w:line="240" w:lineRule="auto"/>
            </w:pPr>
            <w:r/>
            <w:r>
              <w:rPr>
                <w:b/>
                <w:sz w:val="16"/>
              </w:rPr>
              <w:t>pair</w:t>
            </w:r>
          </w:p>
        </w:tc>
        <w:tc>
          <w:tcPr>
            <w:tcW w:type="dxa" w:w="2016"/>
          </w:tcPr>
          <w:p>
            <w:pPr>
              <w:spacing w:after="20" w:before="0" w:line="240" w:lineRule="auto"/>
            </w:pPr>
            <w:r/>
            <w:r>
              <w:rPr>
                <w:b/>
                <w:sz w:val="16"/>
              </w:rPr>
              <w:t>error</w:t>
            </w:r>
          </w:p>
        </w:tc>
        <w:tc>
          <w:tcPr>
            <w:tcW w:type="dxa" w:w="2016"/>
          </w:tcPr>
          <w:p>
            <w:pPr>
              <w:spacing w:after="20" w:before="0" w:line="240" w:lineRule="auto"/>
            </w:pPr>
            <w:r/>
            <w:r>
              <w:rPr>
                <w:b/>
                <w:sz w:val="16"/>
              </w:rPr>
              <w:t>actual</w:t>
            </w:r>
          </w:p>
        </w:tc>
        <w:tc>
          <w:tcPr>
            <w:tcW w:type="dxa" w:w="2016"/>
          </w:tcPr>
          <w:p>
            <w:pPr>
              <w:spacing w:after="20" w:before="0" w:line="240" w:lineRule="auto"/>
            </w:pPr>
            <w:r/>
            <w:r>
              <w:rPr>
                <w:b/>
                <w:sz w:val="16"/>
              </w:rPr>
              <w:t>expected (indep.)</w:t>
            </w:r>
          </w:p>
        </w:tc>
        <w:tc>
          <w:tcPr>
            <w:tcW w:type="dxa" w:w="2016"/>
          </w:tcPr>
          <w:p>
            <w:pPr>
              <w:spacing w:after="20" w:before="0" w:line="240" w:lineRule="auto"/>
            </w:pPr>
            <w:r/>
            <w:r>
              <w:rPr>
                <w:b/>
                <w:sz w:val="16"/>
              </w:rPr>
              <w:t>ratio</w:t>
            </w:r>
          </w:p>
        </w:tc>
      </w:tr>
      <w:tr>
        <w:tc>
          <w:tcPr>
            <w:tcW w:type="dxa" w:w="2016"/>
          </w:tcPr>
          <w:p>
            <w:pPr>
              <w:spacing w:after="20" w:before="0" w:line="240" w:lineRule="auto"/>
            </w:pPr>
            <w:r/>
            <w:r>
              <w:rPr>
                <w:sz w:val="16"/>
              </w:rPr>
              <w:t>XGBoost vs. CNN</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42</w:t>
            </w:r>
          </w:p>
        </w:tc>
        <w:tc>
          <w:tcPr>
            <w:tcW w:type="dxa" w:w="2016"/>
          </w:tcPr>
          <w:p>
            <w:pPr>
              <w:spacing w:after="20" w:before="0" w:line="240" w:lineRule="auto"/>
            </w:pPr>
            <w:r/>
            <w:r>
              <w:rPr>
                <w:sz w:val="16"/>
              </w:rPr>
              <w:t>0.1</w:t>
            </w:r>
          </w:p>
        </w:tc>
        <w:tc>
          <w:tcPr>
            <w:tcW w:type="dxa" w:w="2016"/>
          </w:tcPr>
          <w:p>
            <w:pPr>
              <w:spacing w:after="20" w:before="0" w:line="240" w:lineRule="auto"/>
            </w:pPr>
            <w:r/>
            <w:r>
              <w:rPr>
                <w:sz w:val="16"/>
              </w:rPr>
              <w:t>407× higher</w:t>
            </w:r>
          </w:p>
        </w:tc>
      </w:tr>
      <w:tr>
        <w:tc>
          <w:tcPr>
            <w:tcW w:type="dxa" w:w="2016"/>
          </w:tcPr>
          <w:p>
            <w:pPr>
              <w:spacing w:after="20" w:before="0" w:line="240" w:lineRule="auto"/>
            </w:pPr>
            <w:r/>
            <w:r>
              <w:rPr>
                <w:sz w:val="16"/>
              </w:rPr>
              <w:t>XGBoost vs. CNN</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46,775</w:t>
            </w:r>
          </w:p>
        </w:tc>
        <w:tc>
          <w:tcPr>
            <w:tcW w:type="dxa" w:w="2016"/>
          </w:tcPr>
          <w:p>
            <w:pPr>
              <w:spacing w:after="20" w:before="0" w:line="240" w:lineRule="auto"/>
            </w:pPr>
            <w:r/>
            <w:r>
              <w:rPr>
                <w:sz w:val="16"/>
              </w:rPr>
              <w:t>18,954</w:t>
            </w:r>
          </w:p>
        </w:tc>
        <w:tc>
          <w:tcPr>
            <w:tcW w:type="dxa" w:w="2016"/>
          </w:tcPr>
          <w:p>
            <w:pPr>
              <w:spacing w:after="20" w:before="0" w:line="240" w:lineRule="auto"/>
            </w:pPr>
            <w:r/>
            <w:r>
              <w:rPr>
                <w:sz w:val="16"/>
              </w:rPr>
              <w:t>2.47× higher</w:t>
            </w:r>
          </w:p>
        </w:tc>
      </w:tr>
      <w:tr>
        <w:tc>
          <w:tcPr>
            <w:tcW w:type="dxa" w:w="2016"/>
          </w:tcPr>
          <w:p>
            <w:pPr>
              <w:spacing w:after="20" w:before="0" w:line="240" w:lineRule="auto"/>
            </w:pPr>
            <w:r/>
            <w:r>
              <w:rPr>
                <w:sz w:val="16"/>
              </w:rPr>
              <w:t>XGBoost vs. IsoForest</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22</w:t>
            </w:r>
          </w:p>
        </w:tc>
        <w:tc>
          <w:tcPr>
            <w:tcW w:type="dxa" w:w="2016"/>
          </w:tcPr>
          <w:p>
            <w:pPr>
              <w:spacing w:after="20" w:before="0" w:line="240" w:lineRule="auto"/>
            </w:pPr>
            <w:r/>
            <w:r>
              <w:rPr>
                <w:sz w:val="16"/>
              </w:rPr>
              <w:t>54</w:t>
            </w:r>
          </w:p>
        </w:tc>
        <w:tc>
          <w:tcPr>
            <w:tcW w:type="dxa" w:w="2016"/>
          </w:tcPr>
          <w:p>
            <w:pPr>
              <w:spacing w:after="20" w:before="0" w:line="240" w:lineRule="auto"/>
            </w:pPr>
            <w:r/>
            <w:r>
              <w:rPr>
                <w:sz w:val="16"/>
              </w:rPr>
              <w:t>2.4× lower</w:t>
            </w:r>
          </w:p>
        </w:tc>
      </w:tr>
      <w:tr>
        <w:tc>
          <w:tcPr>
            <w:tcW w:type="dxa" w:w="2016"/>
          </w:tcPr>
          <w:p>
            <w:pPr>
              <w:spacing w:after="20" w:before="0" w:line="240" w:lineRule="auto"/>
            </w:pPr>
            <w:r/>
            <w:r>
              <w:rPr>
                <w:sz w:val="16"/>
              </w:rPr>
              <w:t>XGBoost vs. IsoForest</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3,489</w:t>
            </w:r>
          </w:p>
        </w:tc>
        <w:tc>
          <w:tcPr>
            <w:tcW w:type="dxa" w:w="2016"/>
          </w:tcPr>
          <w:p>
            <w:pPr>
              <w:spacing w:after="20" w:before="0" w:line="240" w:lineRule="auto"/>
            </w:pPr>
            <w:r/>
            <w:r>
              <w:rPr>
                <w:sz w:val="16"/>
              </w:rPr>
              <w:t>14,720</w:t>
            </w:r>
          </w:p>
        </w:tc>
        <w:tc>
          <w:tcPr>
            <w:tcW w:type="dxa" w:w="2016"/>
          </w:tcPr>
          <w:p>
            <w:pPr>
              <w:spacing w:after="20" w:before="0" w:line="240" w:lineRule="auto"/>
            </w:pPr>
            <w:r/>
            <w:r>
              <w:rPr>
                <w:sz w:val="16"/>
              </w:rPr>
              <w:t>4.2× lower</w:t>
            </w:r>
          </w:p>
        </w:tc>
      </w:tr>
      <w:tr>
        <w:tc>
          <w:tcPr>
            <w:tcW w:type="dxa" w:w="2016"/>
          </w:tcPr>
          <w:p>
            <w:pPr>
              <w:spacing w:after="20" w:before="0" w:line="240" w:lineRule="auto"/>
            </w:pPr>
            <w:r/>
            <w:r>
              <w:rPr>
                <w:sz w:val="16"/>
              </w:rPr>
              <w:t>XGBoost vs. AE</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40</w:t>
            </w:r>
          </w:p>
        </w:tc>
        <w:tc>
          <w:tcPr>
            <w:tcW w:type="dxa" w:w="2016"/>
          </w:tcPr>
          <w:p>
            <w:pPr>
              <w:spacing w:after="20" w:before="0" w:line="240" w:lineRule="auto"/>
            </w:pPr>
            <w:r/>
            <w:r>
              <w:rPr>
                <w:sz w:val="16"/>
              </w:rPr>
              <w:t>57</w:t>
            </w:r>
          </w:p>
        </w:tc>
        <w:tc>
          <w:tcPr>
            <w:tcW w:type="dxa" w:w="2016"/>
          </w:tcPr>
          <w:p>
            <w:pPr>
              <w:spacing w:after="20" w:before="0" w:line="240" w:lineRule="auto"/>
            </w:pPr>
            <w:r/>
            <w:r>
              <w:rPr>
                <w:sz w:val="16"/>
              </w:rPr>
              <w:t>1.4× lower</w:t>
            </w:r>
          </w:p>
        </w:tc>
      </w:tr>
      <w:tr>
        <w:tc>
          <w:tcPr>
            <w:tcW w:type="dxa" w:w="2016"/>
          </w:tcPr>
          <w:p>
            <w:pPr>
              <w:spacing w:after="20" w:before="0" w:line="240" w:lineRule="auto"/>
            </w:pPr>
            <w:r/>
            <w:r>
              <w:rPr>
                <w:sz w:val="16"/>
              </w:rPr>
              <w:t>XGBoost vs. AE</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1,128</w:t>
            </w:r>
          </w:p>
        </w:tc>
        <w:tc>
          <w:tcPr>
            <w:tcW w:type="dxa" w:w="2016"/>
          </w:tcPr>
          <w:p>
            <w:pPr>
              <w:spacing w:after="20" w:before="0" w:line="240" w:lineRule="auto"/>
            </w:pPr>
            <w:r/>
            <w:r>
              <w:rPr>
                <w:sz w:val="16"/>
              </w:rPr>
              <w:t>2,310</w:t>
            </w:r>
          </w:p>
        </w:tc>
        <w:tc>
          <w:tcPr>
            <w:tcW w:type="dxa" w:w="2016"/>
          </w:tcPr>
          <w:p>
            <w:pPr>
              <w:spacing w:after="20" w:before="0" w:line="240" w:lineRule="auto"/>
            </w:pPr>
            <w:r/>
            <w:r>
              <w:rPr>
                <w:sz w:val="16"/>
              </w:rPr>
              <w:t>2.1× lower</w:t>
            </w:r>
          </w:p>
        </w:tc>
      </w:tr>
      <w:tr>
        <w:tc>
          <w:tcPr>
            <w:tcW w:type="dxa" w:w="2016"/>
          </w:tcPr>
          <w:p>
            <w:pPr>
              <w:spacing w:after="20" w:before="0" w:line="240" w:lineRule="auto"/>
            </w:pPr>
            <w:r/>
            <w:r>
              <w:rPr>
                <w:sz w:val="16"/>
              </w:rPr>
              <w:t>IsoForest vs. CNN</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15</w:t>
            </w:r>
          </w:p>
        </w:tc>
        <w:tc>
          <w:tcPr>
            <w:tcW w:type="dxa" w:w="2016"/>
          </w:tcPr>
          <w:p>
            <w:pPr>
              <w:spacing w:after="20" w:before="0" w:line="240" w:lineRule="auto"/>
            </w:pPr>
            <w:r/>
            <w:r>
              <w:rPr>
                <w:sz w:val="16"/>
              </w:rPr>
              <w:t>174</w:t>
            </w:r>
          </w:p>
        </w:tc>
        <w:tc>
          <w:tcPr>
            <w:tcW w:type="dxa" w:w="2016"/>
          </w:tcPr>
          <w:p>
            <w:pPr>
              <w:spacing w:after="20" w:before="0" w:line="240" w:lineRule="auto"/>
            </w:pPr>
            <w:r/>
            <w:r>
              <w:rPr>
                <w:sz w:val="16"/>
              </w:rPr>
              <w:t>11.6× lower</w:t>
            </w:r>
          </w:p>
        </w:tc>
      </w:tr>
      <w:tr>
        <w:tc>
          <w:tcPr>
            <w:tcW w:type="dxa" w:w="2016"/>
          </w:tcPr>
          <w:p>
            <w:pPr>
              <w:spacing w:after="20" w:before="0" w:line="240" w:lineRule="auto"/>
            </w:pPr>
            <w:r/>
            <w:r>
              <w:rPr>
                <w:sz w:val="16"/>
              </w:rPr>
              <w:t>IsoForest vs. CNN</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3,457</w:t>
            </w:r>
          </w:p>
        </w:tc>
        <w:tc>
          <w:tcPr>
            <w:tcW w:type="dxa" w:w="2016"/>
          </w:tcPr>
          <w:p>
            <w:pPr>
              <w:spacing w:after="20" w:before="0" w:line="240" w:lineRule="auto"/>
            </w:pPr>
            <w:r/>
            <w:r>
              <w:rPr>
                <w:sz w:val="16"/>
              </w:rPr>
              <w:t>14,711</w:t>
            </w:r>
          </w:p>
        </w:tc>
        <w:tc>
          <w:tcPr>
            <w:tcW w:type="dxa" w:w="2016"/>
          </w:tcPr>
          <w:p>
            <w:pPr>
              <w:spacing w:after="20" w:before="0" w:line="240" w:lineRule="auto"/>
            </w:pPr>
            <w:r/>
            <w:r>
              <w:rPr>
                <w:sz w:val="16"/>
              </w:rPr>
              <w:t>4.3× lower</w:t>
            </w:r>
          </w:p>
        </w:tc>
      </w:tr>
      <w:tr>
        <w:tc>
          <w:tcPr>
            <w:tcW w:type="dxa" w:w="2016"/>
          </w:tcPr>
          <w:p>
            <w:pPr>
              <w:spacing w:after="20" w:before="0" w:line="240" w:lineRule="auto"/>
            </w:pPr>
            <w:r/>
            <w:r>
              <w:rPr>
                <w:sz w:val="16"/>
              </w:rPr>
              <w:t>IsoForest vs. AE</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97,731</w:t>
            </w:r>
          </w:p>
        </w:tc>
        <w:tc>
          <w:tcPr>
            <w:tcW w:type="dxa" w:w="2016"/>
          </w:tcPr>
          <w:p>
            <w:pPr>
              <w:spacing w:after="20" w:before="0" w:line="240" w:lineRule="auto"/>
            </w:pPr>
            <w:r/>
            <w:r>
              <w:rPr>
                <w:sz w:val="16"/>
              </w:rPr>
              <w:t>95,452</w:t>
            </w:r>
          </w:p>
        </w:tc>
        <w:tc>
          <w:tcPr>
            <w:tcW w:type="dxa" w:w="2016"/>
          </w:tcPr>
          <w:p>
            <w:pPr>
              <w:spacing w:after="20" w:before="0" w:line="240" w:lineRule="auto"/>
            </w:pPr>
            <w:r/>
            <w:r>
              <w:rPr>
                <w:sz w:val="16"/>
              </w:rPr>
              <w:t>≈chance (1.02×)</w:t>
            </w:r>
          </w:p>
        </w:tc>
      </w:tr>
      <w:tr>
        <w:tc>
          <w:tcPr>
            <w:tcW w:type="dxa" w:w="2016"/>
          </w:tcPr>
          <w:p>
            <w:pPr>
              <w:spacing w:after="20" w:before="0" w:line="240" w:lineRule="auto"/>
            </w:pPr>
            <w:r/>
            <w:r>
              <w:rPr>
                <w:sz w:val="16"/>
              </w:rPr>
              <w:t>IsoForest vs. AE</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5,327</w:t>
            </w:r>
          </w:p>
        </w:tc>
        <w:tc>
          <w:tcPr>
            <w:tcW w:type="dxa" w:w="2016"/>
          </w:tcPr>
          <w:p>
            <w:pPr>
              <w:spacing w:after="20" w:before="0" w:line="240" w:lineRule="auto"/>
            </w:pPr>
            <w:r/>
            <w:r>
              <w:rPr>
                <w:sz w:val="16"/>
              </w:rPr>
              <w:t>1,793</w:t>
            </w:r>
          </w:p>
        </w:tc>
        <w:tc>
          <w:tcPr>
            <w:tcW w:type="dxa" w:w="2016"/>
          </w:tcPr>
          <w:p>
            <w:pPr>
              <w:spacing w:after="20" w:before="0" w:line="240" w:lineRule="auto"/>
            </w:pPr>
            <w:r/>
            <w:r>
              <w:rPr>
                <w:sz w:val="16"/>
              </w:rPr>
              <w:t>3.0× higher</w:t>
            </w:r>
          </w:p>
        </w:tc>
      </w:tr>
      <w:tr>
        <w:tc>
          <w:tcPr>
            <w:tcW w:type="dxa" w:w="2016"/>
          </w:tcPr>
          <w:p>
            <w:pPr>
              <w:spacing w:after="20" w:before="0" w:line="240" w:lineRule="auto"/>
            </w:pPr>
            <w:r/>
            <w:r>
              <w:rPr>
                <w:sz w:val="16"/>
              </w:rPr>
              <w:t>CNN vs. AE</w:t>
            </w:r>
          </w:p>
        </w:tc>
        <w:tc>
          <w:tcPr>
            <w:tcW w:type="dxa" w:w="2016"/>
          </w:tcPr>
          <w:p>
            <w:pPr>
              <w:spacing w:after="20" w:before="0" w:line="240" w:lineRule="auto"/>
            </w:pPr>
            <w:r/>
            <w:r>
              <w:rPr>
                <w:sz w:val="16"/>
              </w:rPr>
              <w:t>FN</w:t>
            </w:r>
          </w:p>
        </w:tc>
        <w:tc>
          <w:tcPr>
            <w:tcW w:type="dxa" w:w="2016"/>
          </w:tcPr>
          <w:p>
            <w:pPr>
              <w:spacing w:after="20" w:before="0" w:line="240" w:lineRule="auto"/>
            </w:pPr>
            <w:r/>
            <w:r>
              <w:rPr>
                <w:sz w:val="16"/>
              </w:rPr>
              <w:t>92</w:t>
            </w:r>
          </w:p>
        </w:tc>
        <w:tc>
          <w:tcPr>
            <w:tcW w:type="dxa" w:w="2016"/>
          </w:tcPr>
          <w:p>
            <w:pPr>
              <w:spacing w:after="20" w:before="0" w:line="240" w:lineRule="auto"/>
            </w:pPr>
            <w:r/>
            <w:r>
              <w:rPr>
                <w:sz w:val="16"/>
              </w:rPr>
              <w:t>184</w:t>
            </w:r>
          </w:p>
        </w:tc>
        <w:tc>
          <w:tcPr>
            <w:tcW w:type="dxa" w:w="2016"/>
          </w:tcPr>
          <w:p>
            <w:pPr>
              <w:spacing w:after="20" w:before="0" w:line="240" w:lineRule="auto"/>
            </w:pPr>
            <w:r/>
            <w:r>
              <w:rPr>
                <w:sz w:val="16"/>
              </w:rPr>
              <w:t>2.0× lower</w:t>
            </w:r>
          </w:p>
        </w:tc>
      </w:tr>
      <w:tr>
        <w:tc>
          <w:tcPr>
            <w:tcW w:type="dxa" w:w="2016"/>
          </w:tcPr>
          <w:p>
            <w:pPr>
              <w:spacing w:after="20" w:before="0" w:line="240" w:lineRule="auto"/>
            </w:pPr>
            <w:r/>
            <w:r>
              <w:rPr>
                <w:sz w:val="16"/>
              </w:rPr>
              <w:t>CNN vs. AE</w:t>
            </w:r>
          </w:p>
        </w:tc>
        <w:tc>
          <w:tcPr>
            <w:tcW w:type="dxa" w:w="2016"/>
          </w:tcPr>
          <w:p>
            <w:pPr>
              <w:spacing w:after="20" w:before="0" w:line="240" w:lineRule="auto"/>
            </w:pPr>
            <w:r/>
            <w:r>
              <w:rPr>
                <w:sz w:val="16"/>
              </w:rPr>
              <w:t>FP</w:t>
            </w:r>
          </w:p>
        </w:tc>
        <w:tc>
          <w:tcPr>
            <w:tcW w:type="dxa" w:w="2016"/>
          </w:tcPr>
          <w:p>
            <w:pPr>
              <w:spacing w:after="20" w:before="0" w:line="240" w:lineRule="auto"/>
            </w:pPr>
            <w:r/>
            <w:r>
              <w:rPr>
                <w:sz w:val="16"/>
              </w:rPr>
              <w:t>1,109</w:t>
            </w:r>
          </w:p>
        </w:tc>
        <w:tc>
          <w:tcPr>
            <w:tcW w:type="dxa" w:w="2016"/>
          </w:tcPr>
          <w:p>
            <w:pPr>
              <w:spacing w:after="20" w:before="0" w:line="240" w:lineRule="auto"/>
            </w:pPr>
            <w:r/>
            <w:r>
              <w:rPr>
                <w:sz w:val="16"/>
              </w:rPr>
              <w:t>2,309</w:t>
            </w:r>
          </w:p>
        </w:tc>
        <w:tc>
          <w:tcPr>
            <w:tcW w:type="dxa" w:w="2016"/>
          </w:tcPr>
          <w:p>
            <w:pPr>
              <w:spacing w:after="20" w:before="0" w:line="240" w:lineRule="auto"/>
            </w:pPr>
            <w:r/>
            <w:r>
              <w:rPr>
                <w:sz w:val="16"/>
              </w:rPr>
              <w:t>2.1× lower</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 w:line="240"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60" w:after="20" w:line="240"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60" w:after="20" w:line="240"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60" w:after="20" w:line="240" w:lineRule="auto"/>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