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68BC" w14:textId="77777777" w:rsidR="00207637" w:rsidRDefault="00D35D21">
      <w:pPr>
        <w:pStyle w:val="Title"/>
      </w:pPr>
      <w:r>
        <w:t>Machine Learning for Wetting Front Stall Prediction in Snowpack</w:t>
      </w:r>
    </w:p>
    <w:p w14:paraId="7523D40D" w14:textId="77777777" w:rsidR="00207637" w:rsidRDefault="00D35D21">
      <w:pPr>
        <w:spacing w:after="120"/>
        <w:jc w:val="center"/>
      </w:pPr>
      <w:r>
        <w:rPr>
          <w:i/>
          <w:iCs/>
          <w:sz w:val="28"/>
          <w:szCs w:val="28"/>
        </w:rPr>
        <w:t>Technical Report</w:t>
      </w:r>
    </w:p>
    <w:p w14:paraId="7A8AFC2B" w14:textId="77777777" w:rsidR="00207637" w:rsidRDefault="00D35D21">
      <w:pPr>
        <w:spacing w:after="480"/>
        <w:jc w:val="center"/>
      </w:pPr>
      <w:r>
        <w:t>Author: Ron Simenhois</w:t>
      </w:r>
      <w:r>
        <w:tab/>
      </w:r>
      <w:r>
        <w:tab/>
        <w:t>Date: November 2025</w:t>
      </w:r>
    </w:p>
    <w:p w14:paraId="40F8EACB" w14:textId="77777777" w:rsidR="00207637" w:rsidRDefault="00D35D21">
      <w:pPr>
        <w:pStyle w:val="Heading1"/>
      </w:pPr>
      <w:r>
        <w:t>1. Executive Summary</w:t>
      </w:r>
    </w:p>
    <w:p w14:paraId="28543A40" w14:textId="51560669" w:rsidR="00207637" w:rsidRDefault="00D35D21">
      <w:pPr>
        <w:spacing w:after="240"/>
      </w:pPr>
      <w:r>
        <w:t xml:space="preserve">This report presents a machine learning system that predicts wetting front stalls in snowpack layers. The system achieves </w:t>
      </w:r>
      <w:r>
        <w:t>performance with a test set ROC-AUC of 0.9897 and accuracy of 95.45%, demonstrating that SNOWPACK model outputs can effectively predict capillary barrier formation. SHAP analysis (Lundberg &amp; Lee, 2017) reveals that interface stress characteristics and layer geometry drive stall behavior, providing physically interpretable insights into wet snow avalanche mechanics.</w:t>
      </w:r>
    </w:p>
    <w:p w14:paraId="424B6E2F" w14:textId="77777777" w:rsidR="00207637" w:rsidRDefault="00D35D21">
      <w:pPr>
        <w:pStyle w:val="Heading1"/>
      </w:pPr>
      <w:r>
        <w:t>2. Introduction</w:t>
      </w:r>
    </w:p>
    <w:p w14:paraId="62CEDF1C" w14:textId="77777777" w:rsidR="00207637" w:rsidRDefault="00D35D21">
      <w:pPr>
        <w:spacing w:after="180"/>
      </w:pPr>
      <w:r>
        <w:t>Wet slab avalanches pose significant hazards in mountainous regions, particularly during spring warming cycles (Baggi &amp; Schweizer, 2009). These avalanches often initiate when liquid water infiltrating the snowpack encounters a capillary barrier, causing the wetting front to stall and weaken the underlying layers (Wever et al., 2016). Understanding and predicting where and when these stalls occur remains crucial for avalanche forecasting.</w:t>
      </w:r>
    </w:p>
    <w:p w14:paraId="35520D70" w14:textId="77777777" w:rsidR="00207637" w:rsidRDefault="00D35D21">
      <w:pPr>
        <w:spacing w:after="180"/>
      </w:pPr>
      <w:r>
        <w:t>This work develops a machine learning approach that predicts wetting front stalls using comprehensive snowpack properties extracted from SNOWPACK model simulations (Lehning et al., 2002a, 2002b). Rather than relying on simplified rule-based heuristics, the ML model learns complex, non-linear relationships between layer properties and stall behavior directly from data.</w:t>
      </w:r>
    </w:p>
    <w:p w14:paraId="27DA5A7B" w14:textId="422443A7" w:rsidR="00207637" w:rsidRDefault="00822B40">
      <w:pPr>
        <w:spacing w:after="240"/>
      </w:pPr>
      <w:r>
        <w:t>We used</w:t>
      </w:r>
      <w:r w:rsidR="00D35D21">
        <w:t xml:space="preserve"> dynamic lookback timing</w:t>
      </w:r>
      <w:r>
        <w:t xml:space="preserve"> to</w:t>
      </w:r>
      <w:r w:rsidR="00D35D21">
        <w:t xml:space="preserve"> </w:t>
      </w:r>
      <w:proofErr w:type="gramStart"/>
      <w:r w:rsidR="00D35D21">
        <w:t>extracts</w:t>
      </w:r>
      <w:proofErr w:type="gramEnd"/>
      <w:r w:rsidR="00D35D21">
        <w:t xml:space="preserve"> features from the last timestamp where both the layer above and below the interface had liquid water content (LWC) below 1%, capturing the true pre-wetting state rather than an arbitrary fixed time window. This physically meaningful approach ensures the model learns from consistent initial conditions across all training examples.</w:t>
      </w:r>
    </w:p>
    <w:p w14:paraId="7ECDDD86" w14:textId="77777777" w:rsidR="00207637" w:rsidRDefault="00D35D21">
      <w:pPr>
        <w:pStyle w:val="Heading1"/>
      </w:pPr>
      <w:r>
        <w:t>3. Data Collection Methods</w:t>
      </w:r>
    </w:p>
    <w:p w14:paraId="3AB84A67" w14:textId="77777777" w:rsidR="00207637" w:rsidRDefault="00D35D21">
      <w:pPr>
        <w:pStyle w:val="Heading2"/>
      </w:pPr>
      <w:r>
        <w:t>3.1 Stall Event Detection</w:t>
      </w:r>
    </w:p>
    <w:p w14:paraId="4B0B1A79" w14:textId="244D2DFC" w:rsidR="00207637" w:rsidRDefault="00822B40">
      <w:pPr>
        <w:spacing w:after="180"/>
      </w:pPr>
      <w:r>
        <w:t xml:space="preserve">For this study, we used Numerical Weather Predictions forced SNOPWPACK model output files </w:t>
      </w:r>
      <w:r>
        <w:t>(.pro format)</w:t>
      </w:r>
      <w:r>
        <w:t xml:space="preserve"> from the winter of 2024-25 in central Asia. In total we used 5775 .pro files to track </w:t>
      </w:r>
      <w:r w:rsidR="00D35D21">
        <w:t>t</w:t>
      </w:r>
      <w:r w:rsidR="00D35D21">
        <w:t>he height of the wetting front over time. The system flags a stall event when:</w:t>
      </w:r>
    </w:p>
    <w:p w14:paraId="0403719F" w14:textId="77777777" w:rsidR="00207637" w:rsidRDefault="00D35D21">
      <w:pPr>
        <w:pStyle w:val="ListParagraph"/>
        <w:numPr>
          <w:ilvl w:val="0"/>
          <w:numId w:val="2"/>
        </w:numPr>
      </w:pPr>
      <w:r>
        <w:lastRenderedPageBreak/>
        <w:t>The wetting front height remains stable within a 5 cm tolerance for at least 12 hours</w:t>
      </w:r>
    </w:p>
    <w:p w14:paraId="132A9630" w14:textId="77777777" w:rsidR="00207637" w:rsidRDefault="00D35D21">
      <w:pPr>
        <w:pStyle w:val="ListParagraph"/>
        <w:numPr>
          <w:ilvl w:val="0"/>
          <w:numId w:val="2"/>
        </w:numPr>
      </w:pPr>
      <w:r>
        <w:t>The front sits above the minimum wetting front height threshold (5 cm)</w:t>
      </w:r>
    </w:p>
    <w:p w14:paraId="63D07678" w14:textId="77777777" w:rsidR="00207637" w:rsidRDefault="00D35D21">
      <w:pPr>
        <w:pStyle w:val="ListParagraph"/>
        <w:numPr>
          <w:ilvl w:val="0"/>
          <w:numId w:val="2"/>
        </w:numPr>
      </w:pPr>
      <w:r>
        <w:t>Total snow height exceeds 25 cm</w:t>
      </w:r>
    </w:p>
    <w:p w14:paraId="4F5DBAED" w14:textId="77777777" w:rsidR="00207637" w:rsidRDefault="00D35D21">
      <w:pPr>
        <w:pStyle w:val="ListParagraph"/>
        <w:numPr>
          <w:ilvl w:val="0"/>
          <w:numId w:val="2"/>
        </w:numPr>
        <w:spacing w:after="180"/>
      </w:pPr>
      <w:r>
        <w:t>The algorithm tracks the stalling layer by element IDs, not heights, ensuring consistency as the snowpack settles</w:t>
      </w:r>
    </w:p>
    <w:p w14:paraId="59D8EE10" w14:textId="77777777" w:rsidR="00207637" w:rsidRDefault="00D35D21">
      <w:pPr>
        <w:spacing w:after="240"/>
      </w:pPr>
      <w:r>
        <w:t>This layer ID-based tracking proves critical because snowpack layers compact over time. By tracking specific layer element IDs rather than absolute heights, the system correctly identifies the same physical interface even as settlement occurs.</w:t>
      </w:r>
    </w:p>
    <w:p w14:paraId="7231BF17" w14:textId="77777777" w:rsidR="00207637" w:rsidRDefault="00D35D21">
      <w:pPr>
        <w:pStyle w:val="Heading2"/>
      </w:pPr>
      <w:r>
        <w:t>3.2 Dynamic LWC-Based Lookback</w:t>
      </w:r>
    </w:p>
    <w:p w14:paraId="797CC90B" w14:textId="00607D40" w:rsidR="00207637" w:rsidRDefault="00D35D21">
      <w:pPr>
        <w:spacing w:after="180"/>
      </w:pPr>
      <w:r>
        <w:t xml:space="preserve">A key </w:t>
      </w:r>
      <w:r w:rsidR="001B325D">
        <w:t>feature</w:t>
      </w:r>
      <w:r>
        <w:t xml:space="preserve"> in this pipeline involves dynamically determining </w:t>
      </w:r>
      <w:proofErr w:type="gramStart"/>
      <w:r>
        <w:t>the feature</w:t>
      </w:r>
      <w:proofErr w:type="gramEnd"/>
      <w:r>
        <w:t xml:space="preserve"> </w:t>
      </w:r>
      <w:proofErr w:type="gramStart"/>
      <w:r>
        <w:t>extraction time</w:t>
      </w:r>
      <w:proofErr w:type="gramEnd"/>
      <w:r>
        <w:t>. Instead of using a fixed lookback window (e.g., 24 hours before stall), the system searches backwards in time to find the last timestamp where both layers adjacent to the stalling interface had LWC &lt; 1%. This approach:</w:t>
      </w:r>
    </w:p>
    <w:p w14:paraId="43399638" w14:textId="77777777" w:rsidR="00207637" w:rsidRDefault="00D35D21">
      <w:pPr>
        <w:pStyle w:val="ListParagraph"/>
        <w:numPr>
          <w:ilvl w:val="0"/>
          <w:numId w:val="2"/>
        </w:numPr>
      </w:pPr>
      <w:r>
        <w:t>Captures the true pre-wetting state of both layers</w:t>
      </w:r>
    </w:p>
    <w:p w14:paraId="1344B97D" w14:textId="77777777" w:rsidR="00207637" w:rsidRDefault="00D35D21">
      <w:pPr>
        <w:pStyle w:val="ListParagraph"/>
        <w:numPr>
          <w:ilvl w:val="0"/>
          <w:numId w:val="2"/>
        </w:numPr>
      </w:pPr>
      <w:r>
        <w:t>Ensures consistent initial conditions across all training examples</w:t>
      </w:r>
    </w:p>
    <w:p w14:paraId="4E8CAD67" w14:textId="77777777" w:rsidR="00207637" w:rsidRDefault="00D35D21">
      <w:pPr>
        <w:pStyle w:val="ListParagraph"/>
        <w:numPr>
          <w:ilvl w:val="0"/>
          <w:numId w:val="2"/>
        </w:numPr>
      </w:pPr>
      <w:r>
        <w:t>Allows variable lookback times (typically 6-48 hours) based on wetting dynamics</w:t>
      </w:r>
    </w:p>
    <w:p w14:paraId="05E51CB7" w14:textId="77777777" w:rsidR="00207637" w:rsidRDefault="00D35D21">
      <w:pPr>
        <w:pStyle w:val="ListParagraph"/>
        <w:numPr>
          <w:ilvl w:val="0"/>
          <w:numId w:val="2"/>
        </w:numPr>
        <w:spacing w:after="240"/>
      </w:pPr>
      <w:r>
        <w:t>Provides physically meaningful baseline for prediction</w:t>
      </w:r>
    </w:p>
    <w:p w14:paraId="418B5938" w14:textId="77777777" w:rsidR="00207637" w:rsidRDefault="00D35D21">
      <w:pPr>
        <w:pStyle w:val="Heading2"/>
      </w:pPr>
      <w:r>
        <w:t>3.3 Balanced Dataset with Hard Negatives</w:t>
      </w:r>
    </w:p>
    <w:p w14:paraId="19EA90CA" w14:textId="77777777" w:rsidR="00207637" w:rsidRDefault="00D35D21">
      <w:pPr>
        <w:spacing w:after="180"/>
      </w:pPr>
      <w:r>
        <w:t>To create a robust classifier, the dataset includes both positive examples (interfaces where stalls occurred) and negative examples (interfaces where stalls did not occur). The negative sampling strategy employs "hard negatives" to maximize learning signal:</w:t>
      </w:r>
    </w:p>
    <w:p w14:paraId="56C147E2" w14:textId="77777777" w:rsidR="00207637" w:rsidRDefault="00D35D21">
      <w:pPr>
        <w:pStyle w:val="ListParagraph"/>
        <w:numPr>
          <w:ilvl w:val="0"/>
          <w:numId w:val="3"/>
        </w:numPr>
      </w:pPr>
      <w:r>
        <w:rPr>
          <w:b/>
          <w:bCs/>
        </w:rPr>
        <w:t xml:space="preserve">Positive Examples: </w:t>
      </w:r>
      <w:r>
        <w:t>Interfaces where the detector identified wetting front stalls</w:t>
      </w:r>
    </w:p>
    <w:p w14:paraId="4FEF9346" w14:textId="77777777" w:rsidR="00207637" w:rsidRDefault="00D35D21">
      <w:pPr>
        <w:pStyle w:val="ListParagraph"/>
        <w:numPr>
          <w:ilvl w:val="0"/>
          <w:numId w:val="3"/>
        </w:numPr>
      </w:pPr>
      <w:r>
        <w:rPr>
          <w:b/>
          <w:bCs/>
        </w:rPr>
        <w:t xml:space="preserve">Nearby Negatives: </w:t>
      </w:r>
      <w:r>
        <w:t>Interfaces within 5 cm of stalling interfaces (same time, different layer)</w:t>
      </w:r>
    </w:p>
    <w:p w14:paraId="34F1CD08" w14:textId="77777777" w:rsidR="00207637" w:rsidRDefault="00D35D21">
      <w:pPr>
        <w:pStyle w:val="ListParagraph"/>
        <w:numPr>
          <w:ilvl w:val="0"/>
          <w:numId w:val="3"/>
        </w:numPr>
        <w:spacing w:after="180"/>
      </w:pPr>
      <w:r>
        <w:rPr>
          <w:b/>
          <w:bCs/>
        </w:rPr>
        <w:t xml:space="preserve">Random Negatives: </w:t>
      </w:r>
      <w:r>
        <w:t>Interfaces more than 10 cm from stalling interfaces</w:t>
      </w:r>
    </w:p>
    <w:p w14:paraId="3B537543" w14:textId="77777777" w:rsidR="00207637" w:rsidRDefault="00D35D21">
      <w:pPr>
        <w:spacing w:after="240"/>
      </w:pPr>
      <w:r>
        <w:t>The system targets a 1:2 positive-to-negative ratio by prioritizing nearby negatives then filling with random negatives. Nearby negatives prove particularly valuable as they force the model to learn subtle differences between stalling and non-stalling interfaces under similar conditions.</w:t>
      </w:r>
    </w:p>
    <w:p w14:paraId="0BC65E84" w14:textId="77777777" w:rsidR="00207637" w:rsidRDefault="00D35D21">
      <w:pPr>
        <w:pStyle w:val="Heading1"/>
      </w:pPr>
      <w:r>
        <w:t>4. Dataset Description</w:t>
      </w:r>
    </w:p>
    <w:p w14:paraId="542492E4" w14:textId="77777777" w:rsidR="00207637" w:rsidRDefault="00D35D21">
      <w:pPr>
        <w:pStyle w:val="Heading2"/>
      </w:pPr>
      <w:r>
        <w:t>4.1 Dataset Statistics</w:t>
      </w:r>
    </w:p>
    <w:p w14:paraId="1A2423BA" w14:textId="77777777" w:rsidR="00207637" w:rsidRDefault="00D35D21">
      <w:pPr>
        <w:spacing w:after="180"/>
      </w:pPr>
      <w:r>
        <w:t>The final training dataset consists of:</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43"/>
        <w:gridCol w:w="4481"/>
      </w:tblGrid>
      <w:tr w:rsidR="00207637" w14:paraId="3E0C261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777B4373" w14:textId="77777777" w:rsidR="00207637" w:rsidRDefault="00D35D21">
            <w:pPr>
              <w:jc w:val="center"/>
            </w:pPr>
            <w:r>
              <w:rPr>
                <w:b/>
                <w:bCs/>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4ED78B69" w14:textId="77777777" w:rsidR="00207637" w:rsidRDefault="00D35D21">
            <w:pPr>
              <w:jc w:val="center"/>
            </w:pPr>
            <w:r>
              <w:rPr>
                <w:b/>
                <w:bCs/>
              </w:rPr>
              <w:t>Value</w:t>
            </w:r>
          </w:p>
        </w:tc>
      </w:tr>
      <w:tr w:rsidR="00207637" w14:paraId="0879F2D5" w14:textId="77777777">
        <w:tc>
          <w:tcPr>
            <w:tcW w:w="4680" w:type="dxa"/>
            <w:tcBorders>
              <w:top w:val="single" w:sz="1" w:space="0" w:color="CCCCCC"/>
              <w:left w:val="single" w:sz="1" w:space="0" w:color="CCCCCC"/>
              <w:bottom w:val="single" w:sz="1" w:space="0" w:color="CCCCCC"/>
              <w:right w:val="single" w:sz="1" w:space="0" w:color="CCCCCC"/>
            </w:tcBorders>
          </w:tcPr>
          <w:p w14:paraId="731D3BBB" w14:textId="77777777" w:rsidR="00207637" w:rsidRDefault="00D35D21">
            <w:r>
              <w:t>Total Samples</w:t>
            </w:r>
          </w:p>
        </w:tc>
        <w:tc>
          <w:tcPr>
            <w:tcW w:w="4680" w:type="dxa"/>
            <w:tcBorders>
              <w:top w:val="single" w:sz="1" w:space="0" w:color="CCCCCC"/>
              <w:left w:val="single" w:sz="1" w:space="0" w:color="CCCCCC"/>
              <w:bottom w:val="single" w:sz="1" w:space="0" w:color="CCCCCC"/>
              <w:right w:val="single" w:sz="1" w:space="0" w:color="CCCCCC"/>
            </w:tcBorders>
          </w:tcPr>
          <w:p w14:paraId="438961CE" w14:textId="77777777" w:rsidR="00207637" w:rsidRDefault="00D35D21">
            <w:pPr>
              <w:jc w:val="center"/>
            </w:pPr>
            <w:r>
              <w:t>10,224</w:t>
            </w:r>
          </w:p>
        </w:tc>
      </w:tr>
      <w:tr w:rsidR="00207637" w14:paraId="64C14846" w14:textId="77777777">
        <w:tc>
          <w:tcPr>
            <w:tcW w:w="4680" w:type="dxa"/>
            <w:tcBorders>
              <w:top w:val="single" w:sz="1" w:space="0" w:color="CCCCCC"/>
              <w:left w:val="single" w:sz="1" w:space="0" w:color="CCCCCC"/>
              <w:bottom w:val="single" w:sz="1" w:space="0" w:color="CCCCCC"/>
              <w:right w:val="single" w:sz="1" w:space="0" w:color="CCCCCC"/>
            </w:tcBorders>
          </w:tcPr>
          <w:p w14:paraId="4965846F" w14:textId="77777777" w:rsidR="00207637" w:rsidRDefault="00D35D21">
            <w:r>
              <w:lastRenderedPageBreak/>
              <w:t>Positive Examples (stall = 1)</w:t>
            </w:r>
          </w:p>
        </w:tc>
        <w:tc>
          <w:tcPr>
            <w:tcW w:w="4680" w:type="dxa"/>
            <w:tcBorders>
              <w:top w:val="single" w:sz="1" w:space="0" w:color="CCCCCC"/>
              <w:left w:val="single" w:sz="1" w:space="0" w:color="CCCCCC"/>
              <w:bottom w:val="single" w:sz="1" w:space="0" w:color="CCCCCC"/>
              <w:right w:val="single" w:sz="1" w:space="0" w:color="CCCCCC"/>
            </w:tcBorders>
          </w:tcPr>
          <w:p w14:paraId="569672DC" w14:textId="77777777" w:rsidR="00207637" w:rsidRDefault="00D35D21">
            <w:pPr>
              <w:jc w:val="center"/>
            </w:pPr>
            <w:r>
              <w:t>3,408</w:t>
            </w:r>
          </w:p>
        </w:tc>
      </w:tr>
      <w:tr w:rsidR="00207637" w14:paraId="51251045" w14:textId="77777777">
        <w:tc>
          <w:tcPr>
            <w:tcW w:w="4680" w:type="dxa"/>
            <w:tcBorders>
              <w:top w:val="single" w:sz="1" w:space="0" w:color="CCCCCC"/>
              <w:left w:val="single" w:sz="1" w:space="0" w:color="CCCCCC"/>
              <w:bottom w:val="single" w:sz="1" w:space="0" w:color="CCCCCC"/>
              <w:right w:val="single" w:sz="1" w:space="0" w:color="CCCCCC"/>
            </w:tcBorders>
          </w:tcPr>
          <w:p w14:paraId="65FE83EA" w14:textId="77777777" w:rsidR="00207637" w:rsidRDefault="00D35D21">
            <w:r>
              <w:t>Negative Examples (stall = 0)</w:t>
            </w:r>
          </w:p>
        </w:tc>
        <w:tc>
          <w:tcPr>
            <w:tcW w:w="4680" w:type="dxa"/>
            <w:tcBorders>
              <w:top w:val="single" w:sz="1" w:space="0" w:color="CCCCCC"/>
              <w:left w:val="single" w:sz="1" w:space="0" w:color="CCCCCC"/>
              <w:bottom w:val="single" w:sz="1" w:space="0" w:color="CCCCCC"/>
              <w:right w:val="single" w:sz="1" w:space="0" w:color="CCCCCC"/>
            </w:tcBorders>
          </w:tcPr>
          <w:p w14:paraId="701783B8" w14:textId="77777777" w:rsidR="00207637" w:rsidRDefault="00D35D21">
            <w:pPr>
              <w:jc w:val="center"/>
            </w:pPr>
            <w:r>
              <w:t>6,816</w:t>
            </w:r>
          </w:p>
        </w:tc>
      </w:tr>
      <w:tr w:rsidR="00207637" w14:paraId="2C5F11FA" w14:textId="77777777">
        <w:tc>
          <w:tcPr>
            <w:tcW w:w="4680" w:type="dxa"/>
            <w:tcBorders>
              <w:top w:val="single" w:sz="1" w:space="0" w:color="CCCCCC"/>
              <w:left w:val="single" w:sz="1" w:space="0" w:color="CCCCCC"/>
              <w:bottom w:val="single" w:sz="1" w:space="0" w:color="CCCCCC"/>
              <w:right w:val="single" w:sz="1" w:space="0" w:color="CCCCCC"/>
            </w:tcBorders>
          </w:tcPr>
          <w:p w14:paraId="15EE0C99" w14:textId="77777777" w:rsidR="00207637" w:rsidRDefault="00D35D21">
            <w:proofErr w:type="spellStart"/>
            <w:proofErr w:type="gramStart"/>
            <w:r>
              <w:t>Positive:Negative</w:t>
            </w:r>
            <w:proofErr w:type="spellEnd"/>
            <w:proofErr w:type="gramEnd"/>
            <w:r>
              <w:t xml:space="preserve"> Ratio</w:t>
            </w:r>
          </w:p>
        </w:tc>
        <w:tc>
          <w:tcPr>
            <w:tcW w:w="4680" w:type="dxa"/>
            <w:tcBorders>
              <w:top w:val="single" w:sz="1" w:space="0" w:color="CCCCCC"/>
              <w:left w:val="single" w:sz="1" w:space="0" w:color="CCCCCC"/>
              <w:bottom w:val="single" w:sz="1" w:space="0" w:color="CCCCCC"/>
              <w:right w:val="single" w:sz="1" w:space="0" w:color="CCCCCC"/>
            </w:tcBorders>
          </w:tcPr>
          <w:p w14:paraId="686601C7" w14:textId="77777777" w:rsidR="00207637" w:rsidRDefault="00D35D21">
            <w:pPr>
              <w:jc w:val="center"/>
            </w:pPr>
            <w:r>
              <w:t>1:2</w:t>
            </w:r>
          </w:p>
        </w:tc>
      </w:tr>
      <w:tr w:rsidR="00207637" w14:paraId="175DF132" w14:textId="77777777">
        <w:tc>
          <w:tcPr>
            <w:tcW w:w="4680" w:type="dxa"/>
            <w:tcBorders>
              <w:top w:val="single" w:sz="1" w:space="0" w:color="CCCCCC"/>
              <w:left w:val="single" w:sz="1" w:space="0" w:color="CCCCCC"/>
              <w:bottom w:val="single" w:sz="1" w:space="0" w:color="CCCCCC"/>
              <w:right w:val="single" w:sz="1" w:space="0" w:color="CCCCCC"/>
            </w:tcBorders>
          </w:tcPr>
          <w:p w14:paraId="56415FC3" w14:textId="77777777" w:rsidR="00207637" w:rsidRDefault="00D35D21">
            <w:r>
              <w:t>Initial Features</w:t>
            </w:r>
          </w:p>
        </w:tc>
        <w:tc>
          <w:tcPr>
            <w:tcW w:w="4680" w:type="dxa"/>
            <w:tcBorders>
              <w:top w:val="single" w:sz="1" w:space="0" w:color="CCCCCC"/>
              <w:left w:val="single" w:sz="1" w:space="0" w:color="CCCCCC"/>
              <w:bottom w:val="single" w:sz="1" w:space="0" w:color="CCCCCC"/>
              <w:right w:val="single" w:sz="1" w:space="0" w:color="CCCCCC"/>
            </w:tcBorders>
          </w:tcPr>
          <w:p w14:paraId="2503A1AB" w14:textId="77777777" w:rsidR="00207637" w:rsidRDefault="00D35D21">
            <w:pPr>
              <w:jc w:val="center"/>
            </w:pPr>
            <w:r>
              <w:t>76</w:t>
            </w:r>
          </w:p>
        </w:tc>
      </w:tr>
      <w:tr w:rsidR="00207637" w14:paraId="4AC11ECB" w14:textId="77777777">
        <w:tc>
          <w:tcPr>
            <w:tcW w:w="4680" w:type="dxa"/>
            <w:tcBorders>
              <w:top w:val="single" w:sz="1" w:space="0" w:color="CCCCCC"/>
              <w:left w:val="single" w:sz="1" w:space="0" w:color="CCCCCC"/>
              <w:bottom w:val="single" w:sz="1" w:space="0" w:color="CCCCCC"/>
              <w:right w:val="single" w:sz="1" w:space="0" w:color="CCCCCC"/>
            </w:tcBorders>
          </w:tcPr>
          <w:p w14:paraId="09FAB700" w14:textId="77777777" w:rsidR="00207637" w:rsidRDefault="00D35D21">
            <w:r>
              <w:t>Features After Preprocessing</w:t>
            </w:r>
          </w:p>
        </w:tc>
        <w:tc>
          <w:tcPr>
            <w:tcW w:w="4680" w:type="dxa"/>
            <w:tcBorders>
              <w:top w:val="single" w:sz="1" w:space="0" w:color="CCCCCC"/>
              <w:left w:val="single" w:sz="1" w:space="0" w:color="CCCCCC"/>
              <w:bottom w:val="single" w:sz="1" w:space="0" w:color="CCCCCC"/>
              <w:right w:val="single" w:sz="1" w:space="0" w:color="CCCCCC"/>
            </w:tcBorders>
          </w:tcPr>
          <w:p w14:paraId="724B3870" w14:textId="77777777" w:rsidR="00207637" w:rsidRDefault="00D35D21">
            <w:pPr>
              <w:jc w:val="center"/>
            </w:pPr>
            <w:r>
              <w:t>55</w:t>
            </w:r>
          </w:p>
        </w:tc>
      </w:tr>
    </w:tbl>
    <w:p w14:paraId="6DC72032" w14:textId="77777777" w:rsidR="00207637" w:rsidRDefault="00207637">
      <w:pPr>
        <w:spacing w:after="240"/>
      </w:pPr>
    </w:p>
    <w:p w14:paraId="0B2AFED3" w14:textId="77777777" w:rsidR="00207637" w:rsidRDefault="00D35D21">
      <w:pPr>
        <w:pStyle w:val="Heading2"/>
      </w:pPr>
      <w:r>
        <w:t>4.2 Feature Categories</w:t>
      </w:r>
    </w:p>
    <w:p w14:paraId="0B7EA46B" w14:textId="77777777" w:rsidR="00207637" w:rsidRDefault="00D35D21">
      <w:pPr>
        <w:spacing w:after="180"/>
      </w:pPr>
      <w:r>
        <w:t xml:space="preserve">The system extracts </w:t>
      </w:r>
      <w:proofErr w:type="gramStart"/>
      <w:r>
        <w:t>features</w:t>
      </w:r>
      <w:proofErr w:type="gramEnd"/>
      <w:r>
        <w:t xml:space="preserve"> from three categories:</w:t>
      </w:r>
    </w:p>
    <w:p w14:paraId="14766674" w14:textId="77777777" w:rsidR="00207637" w:rsidRDefault="00D35D21">
      <w:pPr>
        <w:pStyle w:val="ListParagraph"/>
        <w:numPr>
          <w:ilvl w:val="0"/>
          <w:numId w:val="4"/>
        </w:numPr>
      </w:pPr>
      <w:r>
        <w:rPr>
          <w:b/>
          <w:bCs/>
        </w:rPr>
        <w:t xml:space="preserve">Above Layer Properties: </w:t>
      </w:r>
      <w:r>
        <w:t>Temperature, density, LWC, grain size, bond size, hardness, viscous deformation rate, shear strength, etc.</w:t>
      </w:r>
    </w:p>
    <w:p w14:paraId="1D4531DB" w14:textId="77777777" w:rsidR="00207637" w:rsidRDefault="00D35D21">
      <w:pPr>
        <w:pStyle w:val="ListParagraph"/>
        <w:numPr>
          <w:ilvl w:val="0"/>
          <w:numId w:val="4"/>
        </w:numPr>
      </w:pPr>
      <w:r>
        <w:rPr>
          <w:b/>
          <w:bCs/>
        </w:rPr>
        <w:t xml:space="preserve">Below Layer Properties: </w:t>
      </w:r>
      <w:r>
        <w:t>Same parameters as above layer</w:t>
      </w:r>
    </w:p>
    <w:p w14:paraId="02965D81" w14:textId="77777777" w:rsidR="00207637" w:rsidRDefault="00D35D21">
      <w:pPr>
        <w:pStyle w:val="ListParagraph"/>
        <w:numPr>
          <w:ilvl w:val="0"/>
          <w:numId w:val="4"/>
        </w:numPr>
        <w:spacing w:after="180"/>
      </w:pPr>
      <w:r>
        <w:rPr>
          <w:b/>
          <w:bCs/>
        </w:rPr>
        <w:t xml:space="preserve">Interface Properties: </w:t>
      </w:r>
      <w:r>
        <w:t>Differences, ratios, and gradients between adjacent layers (e.g., density difference, grain size ratio, temperature gradient)</w:t>
      </w:r>
    </w:p>
    <w:p w14:paraId="5D8DC127" w14:textId="77777777" w:rsidR="00207637" w:rsidRDefault="00D35D21">
      <w:pPr>
        <w:spacing w:after="240"/>
      </w:pPr>
      <w:r>
        <w:t>The interface properties prove particularly important as they capture the discontinuities between layers that create capillary barriers (Hirashima et al., 2010). The comprehensive extraction includes all available SNOWPACK parameters, allowing the model to discover which physical properties most strongly predict stall behavior.</w:t>
      </w:r>
    </w:p>
    <w:p w14:paraId="2237E437" w14:textId="77777777" w:rsidR="00207637" w:rsidRDefault="00D35D21">
      <w:r>
        <w:br w:type="page"/>
      </w:r>
    </w:p>
    <w:p w14:paraId="553AE3CD" w14:textId="77777777" w:rsidR="00207637" w:rsidRDefault="00D35D21">
      <w:pPr>
        <w:pStyle w:val="Heading1"/>
      </w:pPr>
      <w:r>
        <w:lastRenderedPageBreak/>
        <w:t>5. Model Training and Hyperparameter Tuning</w:t>
      </w:r>
    </w:p>
    <w:p w14:paraId="4F4216CC" w14:textId="77777777" w:rsidR="00207637" w:rsidRDefault="00D35D21">
      <w:pPr>
        <w:pStyle w:val="Heading2"/>
      </w:pPr>
      <w:r>
        <w:t>5.1 Preprocessing Pipeline</w:t>
      </w:r>
    </w:p>
    <w:p w14:paraId="35717C75" w14:textId="77777777" w:rsidR="00207637" w:rsidRDefault="00D35D21">
      <w:pPr>
        <w:spacing w:after="180"/>
      </w:pPr>
      <w:r>
        <w:t>The preprocessing pipeline applies the following transformations:</w:t>
      </w:r>
    </w:p>
    <w:p w14:paraId="5DC06101" w14:textId="77777777" w:rsidR="00207637" w:rsidRDefault="00D35D21">
      <w:pPr>
        <w:pStyle w:val="ListParagraph"/>
        <w:numPr>
          <w:ilvl w:val="0"/>
          <w:numId w:val="3"/>
        </w:numPr>
      </w:pPr>
      <w:r>
        <w:rPr>
          <w:b/>
          <w:bCs/>
        </w:rPr>
        <w:t xml:space="preserve">Missing Value Imputation: </w:t>
      </w:r>
      <w:r>
        <w:t>The pipeline imputes missing values using the median of each feature</w:t>
      </w:r>
    </w:p>
    <w:p w14:paraId="38564EA9" w14:textId="77777777" w:rsidR="00207637" w:rsidRDefault="00D35D21">
      <w:pPr>
        <w:pStyle w:val="ListParagraph"/>
        <w:numPr>
          <w:ilvl w:val="0"/>
          <w:numId w:val="3"/>
        </w:numPr>
      </w:pPr>
      <w:r>
        <w:rPr>
          <w:b/>
          <w:bCs/>
        </w:rPr>
        <w:t xml:space="preserve">Low Variance Removal: </w:t>
      </w:r>
      <w:r>
        <w:t>The system removes 6 features with near-zero variance (threshold = 0.01)</w:t>
      </w:r>
    </w:p>
    <w:p w14:paraId="6214876E" w14:textId="77777777" w:rsidR="00207637" w:rsidRDefault="00D35D21">
      <w:pPr>
        <w:pStyle w:val="ListParagraph"/>
        <w:numPr>
          <w:ilvl w:val="0"/>
          <w:numId w:val="3"/>
        </w:numPr>
      </w:pPr>
      <w:r>
        <w:rPr>
          <w:b/>
          <w:bCs/>
        </w:rPr>
        <w:t xml:space="preserve">Correlation Filtering: </w:t>
      </w:r>
      <w:r>
        <w:t>The pipeline eliminates 15 highly correlated features (|r| &gt; 0.95) to reduce multicollinearity</w:t>
      </w:r>
    </w:p>
    <w:p w14:paraId="489C5F3A" w14:textId="77777777" w:rsidR="00207637" w:rsidRDefault="00D35D21">
      <w:pPr>
        <w:pStyle w:val="ListParagraph"/>
        <w:numPr>
          <w:ilvl w:val="0"/>
          <w:numId w:val="3"/>
        </w:numPr>
        <w:spacing w:after="240"/>
      </w:pPr>
      <w:r>
        <w:rPr>
          <w:b/>
          <w:bCs/>
        </w:rPr>
        <w:t xml:space="preserve">Feature Scaling: </w:t>
      </w:r>
      <w:proofErr w:type="spellStart"/>
      <w:r>
        <w:t>StandardScaler</w:t>
      </w:r>
      <w:proofErr w:type="spellEnd"/>
      <w:r>
        <w:t xml:space="preserve"> normalizes features to zero mean and unit variance</w:t>
      </w:r>
    </w:p>
    <w:p w14:paraId="31FE0CDD" w14:textId="77777777" w:rsidR="00207637" w:rsidRDefault="00D35D21">
      <w:pPr>
        <w:pStyle w:val="Heading2"/>
      </w:pPr>
      <w:r>
        <w:t>5.2 Data Splitting Strategy</w:t>
      </w:r>
    </w:p>
    <w:p w14:paraId="7A403720" w14:textId="77777777" w:rsidR="00207637" w:rsidRDefault="00D35D21">
      <w:pPr>
        <w:spacing w:after="180"/>
      </w:pPr>
      <w:r>
        <w:t>The pipeline splits the dataset into three sets:</w:t>
      </w:r>
    </w:p>
    <w:p w14:paraId="0C8FB359" w14:textId="77777777" w:rsidR="00207637" w:rsidRDefault="00D35D21">
      <w:pPr>
        <w:pStyle w:val="ListParagraph"/>
        <w:numPr>
          <w:ilvl w:val="0"/>
          <w:numId w:val="2"/>
        </w:numPr>
      </w:pPr>
      <w:r>
        <w:rPr>
          <w:b/>
          <w:bCs/>
        </w:rPr>
        <w:t xml:space="preserve">Training Set: </w:t>
      </w:r>
      <w:r>
        <w:t>6,134 samples (60%)</w:t>
      </w:r>
    </w:p>
    <w:p w14:paraId="7FE02662" w14:textId="77777777" w:rsidR="00207637" w:rsidRDefault="00D35D21">
      <w:pPr>
        <w:pStyle w:val="ListParagraph"/>
        <w:numPr>
          <w:ilvl w:val="0"/>
          <w:numId w:val="2"/>
        </w:numPr>
      </w:pPr>
      <w:r>
        <w:rPr>
          <w:b/>
          <w:bCs/>
        </w:rPr>
        <w:t xml:space="preserve">Validation Set: </w:t>
      </w:r>
      <w:r>
        <w:t>2,045 samples (20%)</w:t>
      </w:r>
    </w:p>
    <w:p w14:paraId="552D81A0" w14:textId="77777777" w:rsidR="00207637" w:rsidRDefault="00D35D21">
      <w:pPr>
        <w:pStyle w:val="ListParagraph"/>
        <w:numPr>
          <w:ilvl w:val="0"/>
          <w:numId w:val="2"/>
        </w:numPr>
        <w:spacing w:after="180"/>
      </w:pPr>
      <w:r>
        <w:rPr>
          <w:b/>
          <w:bCs/>
        </w:rPr>
        <w:t xml:space="preserve">Test Set: </w:t>
      </w:r>
      <w:r>
        <w:t>2,045 samples (20%)</w:t>
      </w:r>
    </w:p>
    <w:p w14:paraId="4DD2B310" w14:textId="77777777" w:rsidR="00207637" w:rsidRDefault="00D35D21">
      <w:pPr>
        <w:spacing w:after="240"/>
      </w:pPr>
      <w:r>
        <w:t>The hyperparameter tuning process employs time-series cross-validation to respect temporal ordering and prevent data leakage. This approach proves critical for snowpack data where temporal patterns influence predictions.</w:t>
      </w:r>
    </w:p>
    <w:p w14:paraId="272C41C8" w14:textId="77777777" w:rsidR="00207637" w:rsidRDefault="00D35D21">
      <w:pPr>
        <w:pStyle w:val="Heading2"/>
      </w:pPr>
      <w:r>
        <w:t>5.3 Models Evaluated</w:t>
      </w:r>
    </w:p>
    <w:p w14:paraId="67E46EBE" w14:textId="77777777" w:rsidR="00207637" w:rsidRDefault="00D35D21">
      <w:pPr>
        <w:spacing w:after="180"/>
      </w:pPr>
      <w:r>
        <w:t>We evaluated four gradient boosting ensemble methods:</w:t>
      </w:r>
    </w:p>
    <w:p w14:paraId="41796E1A" w14:textId="77777777" w:rsidR="00207637" w:rsidRDefault="00D35D21">
      <w:pPr>
        <w:pStyle w:val="ListParagraph"/>
        <w:numPr>
          <w:ilvl w:val="0"/>
          <w:numId w:val="4"/>
        </w:numPr>
      </w:pPr>
      <w:r>
        <w:rPr>
          <w:b/>
          <w:bCs/>
        </w:rPr>
        <w:t xml:space="preserve">Random Forest </w:t>
      </w:r>
      <w:r>
        <w:t>(</w:t>
      </w:r>
      <w:proofErr w:type="spellStart"/>
      <w:r>
        <w:t>Breiman</w:t>
      </w:r>
      <w:proofErr w:type="spellEnd"/>
      <w:r>
        <w:t>, 2001)</w:t>
      </w:r>
    </w:p>
    <w:p w14:paraId="6A81B7AE" w14:textId="77777777" w:rsidR="00207637" w:rsidRDefault="00D35D21">
      <w:pPr>
        <w:pStyle w:val="ListParagraph"/>
        <w:numPr>
          <w:ilvl w:val="0"/>
          <w:numId w:val="4"/>
        </w:numPr>
      </w:pPr>
      <w:proofErr w:type="spellStart"/>
      <w:r>
        <w:rPr>
          <w:b/>
          <w:bCs/>
        </w:rPr>
        <w:t>XGBoost</w:t>
      </w:r>
      <w:proofErr w:type="spellEnd"/>
      <w:r>
        <w:rPr>
          <w:b/>
          <w:bCs/>
        </w:rPr>
        <w:t xml:space="preserve"> </w:t>
      </w:r>
      <w:r>
        <w:t xml:space="preserve">(Chen &amp; </w:t>
      </w:r>
      <w:proofErr w:type="spellStart"/>
      <w:r>
        <w:t>Guestrin</w:t>
      </w:r>
      <w:proofErr w:type="spellEnd"/>
      <w:r>
        <w:t>, 2016)</w:t>
      </w:r>
    </w:p>
    <w:p w14:paraId="0D707F0E" w14:textId="77777777" w:rsidR="00207637" w:rsidRDefault="00D35D21">
      <w:pPr>
        <w:pStyle w:val="ListParagraph"/>
        <w:numPr>
          <w:ilvl w:val="0"/>
          <w:numId w:val="4"/>
        </w:numPr>
      </w:pPr>
      <w:proofErr w:type="spellStart"/>
      <w:r>
        <w:rPr>
          <w:b/>
          <w:bCs/>
        </w:rPr>
        <w:t>LightGBM</w:t>
      </w:r>
      <w:proofErr w:type="spellEnd"/>
      <w:r>
        <w:rPr>
          <w:b/>
          <w:bCs/>
        </w:rPr>
        <w:t xml:space="preserve"> </w:t>
      </w:r>
      <w:r>
        <w:t>(Ke et al., 2017)</w:t>
      </w:r>
    </w:p>
    <w:p w14:paraId="2FC704B1" w14:textId="77777777" w:rsidR="00207637" w:rsidRDefault="00D35D21">
      <w:pPr>
        <w:pStyle w:val="ListParagraph"/>
        <w:numPr>
          <w:ilvl w:val="0"/>
          <w:numId w:val="4"/>
        </w:numPr>
        <w:spacing w:after="240"/>
      </w:pPr>
      <w:r>
        <w:rPr>
          <w:b/>
          <w:bCs/>
        </w:rPr>
        <w:t xml:space="preserve">Gradient Boosting </w:t>
      </w:r>
      <w:r>
        <w:t>(Friedman, 2001)</w:t>
      </w:r>
    </w:p>
    <w:p w14:paraId="010BD485" w14:textId="77777777" w:rsidR="00207637" w:rsidRDefault="00D35D21">
      <w:pPr>
        <w:pStyle w:val="Heading2"/>
      </w:pPr>
      <w:r>
        <w:t>5.4 Hyperparameter Optimization</w:t>
      </w:r>
    </w:p>
    <w:p w14:paraId="3DE49A1B" w14:textId="77777777" w:rsidR="00207637" w:rsidRDefault="00D35D21">
      <w:pPr>
        <w:spacing w:after="180"/>
      </w:pPr>
      <w:r>
        <w:t>We used randomized search with 3-fold time-series cross-validation to tune hyperparameters, evaluating 30 random configurations for each model. Key hyperparameters tuned include:</w:t>
      </w:r>
    </w:p>
    <w:p w14:paraId="05F8C299" w14:textId="77777777" w:rsidR="00207637" w:rsidRDefault="00D35D21">
      <w:pPr>
        <w:pStyle w:val="ListParagraph"/>
        <w:numPr>
          <w:ilvl w:val="0"/>
          <w:numId w:val="2"/>
        </w:numPr>
      </w:pPr>
      <w:r>
        <w:t>Tree depth and number of estimators</w:t>
      </w:r>
    </w:p>
    <w:p w14:paraId="334E1CC8" w14:textId="77777777" w:rsidR="00207637" w:rsidRDefault="00D35D21">
      <w:pPr>
        <w:pStyle w:val="ListParagraph"/>
        <w:numPr>
          <w:ilvl w:val="0"/>
          <w:numId w:val="2"/>
        </w:numPr>
      </w:pPr>
      <w:r>
        <w:t>Learning rate and regularization parameters</w:t>
      </w:r>
    </w:p>
    <w:p w14:paraId="56B2FD25" w14:textId="77777777" w:rsidR="00207637" w:rsidRDefault="00D35D21">
      <w:pPr>
        <w:pStyle w:val="ListParagraph"/>
        <w:numPr>
          <w:ilvl w:val="0"/>
          <w:numId w:val="2"/>
        </w:numPr>
      </w:pPr>
      <w:r>
        <w:t>Subsampling ratios (feature and row)</w:t>
      </w:r>
    </w:p>
    <w:p w14:paraId="2BA66223" w14:textId="77777777" w:rsidR="00207637" w:rsidRDefault="00D35D21">
      <w:pPr>
        <w:pStyle w:val="ListParagraph"/>
        <w:numPr>
          <w:ilvl w:val="0"/>
          <w:numId w:val="2"/>
        </w:numPr>
        <w:spacing w:after="180"/>
      </w:pPr>
      <w:r>
        <w:t>Class weight balancing</w:t>
      </w:r>
    </w:p>
    <w:p w14:paraId="290FAF8F" w14:textId="77777777" w:rsidR="00207637" w:rsidRDefault="00D35D21">
      <w:pPr>
        <w:spacing w:after="240"/>
      </w:pPr>
      <w:r>
        <w:t xml:space="preserve">The best </w:t>
      </w:r>
      <w:proofErr w:type="spellStart"/>
      <w:r>
        <w:t>XGBoost</w:t>
      </w:r>
      <w:proofErr w:type="spellEnd"/>
      <w:r>
        <w:t xml:space="preserve"> configuration used: </w:t>
      </w:r>
      <w:proofErr w:type="spellStart"/>
      <w:r>
        <w:t>max_depth</w:t>
      </w:r>
      <w:proofErr w:type="spellEnd"/>
      <w:r>
        <w:t xml:space="preserve">=3, </w:t>
      </w:r>
      <w:proofErr w:type="spellStart"/>
      <w:r>
        <w:t>n_estimators</w:t>
      </w:r>
      <w:proofErr w:type="spellEnd"/>
      <w:r>
        <w:t xml:space="preserve">=300, </w:t>
      </w:r>
      <w:proofErr w:type="spellStart"/>
      <w:r>
        <w:t>learning_rate</w:t>
      </w:r>
      <w:proofErr w:type="spellEnd"/>
      <w:r>
        <w:t xml:space="preserve">=0.2, subsample=1.0, </w:t>
      </w:r>
      <w:proofErr w:type="spellStart"/>
      <w:r>
        <w:t>scale_pos_weight</w:t>
      </w:r>
      <w:proofErr w:type="spellEnd"/>
      <w:r>
        <w:t xml:space="preserve">=2, </w:t>
      </w:r>
      <w:proofErr w:type="spellStart"/>
      <w:r>
        <w:t>min_child_weight</w:t>
      </w:r>
      <w:proofErr w:type="spellEnd"/>
      <w:r>
        <w:t xml:space="preserve">=1, gamma=0.2, </w:t>
      </w:r>
      <w:proofErr w:type="spellStart"/>
      <w:r>
        <w:t>colsample_bytree</w:t>
      </w:r>
      <w:proofErr w:type="spellEnd"/>
      <w:r>
        <w:t>=1.0.</w:t>
      </w:r>
    </w:p>
    <w:p w14:paraId="59CEC86E" w14:textId="77777777" w:rsidR="00207637" w:rsidRDefault="00D35D21">
      <w:pPr>
        <w:pStyle w:val="Heading1"/>
      </w:pPr>
      <w:r>
        <w:t>6. Results</w:t>
      </w:r>
    </w:p>
    <w:p w14:paraId="6CEC08BD" w14:textId="77777777" w:rsidR="00207637" w:rsidRDefault="00D35D21">
      <w:pPr>
        <w:pStyle w:val="Heading2"/>
      </w:pPr>
      <w:r>
        <w:lastRenderedPageBreak/>
        <w:t>6.1 Model Comparison</w:t>
      </w:r>
    </w:p>
    <w:p w14:paraId="36182044" w14:textId="77777777" w:rsidR="00207637" w:rsidRDefault="00D35D21">
      <w:pPr>
        <w:spacing w:after="180"/>
      </w:pPr>
      <w:r>
        <w:t xml:space="preserve">All four models achieved excellent performance, with </w:t>
      </w:r>
      <w:proofErr w:type="spellStart"/>
      <w:r>
        <w:t>XGBoost</w:t>
      </w:r>
      <w:proofErr w:type="spellEnd"/>
      <w:r>
        <w:t xml:space="preserve"> slightly outperforming the others on validation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1816"/>
        <w:gridCol w:w="1816"/>
        <w:gridCol w:w="1816"/>
        <w:gridCol w:w="1788"/>
        <w:gridCol w:w="1788"/>
      </w:tblGrid>
      <w:tr w:rsidR="00207637" w14:paraId="2A81594B"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D5E8F0"/>
          </w:tcPr>
          <w:p w14:paraId="569A8FDE" w14:textId="77777777" w:rsidR="00207637" w:rsidRDefault="00D35D21">
            <w:pPr>
              <w:jc w:val="center"/>
            </w:pPr>
            <w:r>
              <w:rPr>
                <w:b/>
                <w:bCs/>
                <w:sz w:val="22"/>
                <w:szCs w:val="22"/>
              </w:rPr>
              <w:t>Model</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Pr>
          <w:p w14:paraId="028E1636" w14:textId="77777777" w:rsidR="00207637" w:rsidRDefault="00D35D21">
            <w:pPr>
              <w:jc w:val="center"/>
            </w:pPr>
            <w:r>
              <w:rPr>
                <w:b/>
                <w:bCs/>
                <w:sz w:val="22"/>
                <w:szCs w:val="22"/>
              </w:rPr>
              <w:t>Accuracy</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Pr>
          <w:p w14:paraId="1FF6D1F0" w14:textId="77777777" w:rsidR="00207637" w:rsidRDefault="00D35D21">
            <w:pPr>
              <w:jc w:val="center"/>
            </w:pPr>
            <w:r>
              <w:rPr>
                <w:b/>
                <w:bCs/>
                <w:sz w:val="22"/>
                <w:szCs w:val="22"/>
              </w:rPr>
              <w:t>Precision</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Pr>
          <w:p w14:paraId="5AE0A022" w14:textId="77777777" w:rsidR="00207637" w:rsidRDefault="00D35D21">
            <w:pPr>
              <w:jc w:val="center"/>
            </w:pPr>
            <w:r>
              <w:rPr>
                <w:b/>
                <w:bCs/>
                <w:sz w:val="22"/>
                <w:szCs w:val="22"/>
              </w:rPr>
              <w:t>Recall</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Pr>
          <w:p w14:paraId="766C0ED1" w14:textId="77777777" w:rsidR="00207637" w:rsidRDefault="00D35D21">
            <w:pPr>
              <w:jc w:val="center"/>
            </w:pPr>
            <w:r>
              <w:rPr>
                <w:b/>
                <w:bCs/>
                <w:sz w:val="22"/>
                <w:szCs w:val="22"/>
              </w:rPr>
              <w:t>ROC-AUC</w:t>
            </w:r>
          </w:p>
        </w:tc>
      </w:tr>
      <w:tr w:rsidR="00207637" w14:paraId="728FA7DD" w14:textId="77777777">
        <w:tc>
          <w:tcPr>
            <w:tcW w:w="1872" w:type="dxa"/>
            <w:tcBorders>
              <w:top w:val="single" w:sz="1" w:space="0" w:color="CCCCCC"/>
              <w:left w:val="single" w:sz="1" w:space="0" w:color="CCCCCC"/>
              <w:bottom w:val="single" w:sz="1" w:space="0" w:color="CCCCCC"/>
              <w:right w:val="single" w:sz="1" w:space="0" w:color="CCCCCC"/>
            </w:tcBorders>
            <w:shd w:val="clear" w:color="auto" w:fill="F0F8FF"/>
          </w:tcPr>
          <w:p w14:paraId="3F4B6558" w14:textId="77777777" w:rsidR="00207637" w:rsidRDefault="00D35D21">
            <w:proofErr w:type="spellStart"/>
            <w:r>
              <w:rPr>
                <w:b/>
                <w:bCs/>
                <w:sz w:val="22"/>
                <w:szCs w:val="22"/>
              </w:rPr>
              <w:t>XGBoost</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0F8FF"/>
          </w:tcPr>
          <w:p w14:paraId="4A7BA54E" w14:textId="77777777" w:rsidR="00207637" w:rsidRDefault="00D35D21">
            <w:pPr>
              <w:jc w:val="center"/>
            </w:pPr>
            <w:r>
              <w:rPr>
                <w:sz w:val="22"/>
                <w:szCs w:val="22"/>
              </w:rPr>
              <w:t>0.9545</w:t>
            </w:r>
          </w:p>
        </w:tc>
        <w:tc>
          <w:tcPr>
            <w:tcW w:w="1872" w:type="dxa"/>
            <w:tcBorders>
              <w:top w:val="single" w:sz="1" w:space="0" w:color="CCCCCC"/>
              <w:left w:val="single" w:sz="1" w:space="0" w:color="CCCCCC"/>
              <w:bottom w:val="single" w:sz="1" w:space="0" w:color="CCCCCC"/>
              <w:right w:val="single" w:sz="1" w:space="0" w:color="CCCCCC"/>
            </w:tcBorders>
            <w:shd w:val="clear" w:color="auto" w:fill="F0F8FF"/>
          </w:tcPr>
          <w:p w14:paraId="04816DFE" w14:textId="77777777" w:rsidR="00207637" w:rsidRDefault="00D35D21">
            <w:pPr>
              <w:jc w:val="center"/>
            </w:pPr>
            <w:r>
              <w:rPr>
                <w:sz w:val="22"/>
                <w:szCs w:val="22"/>
              </w:rPr>
              <w:t>0.9287</w:t>
            </w:r>
          </w:p>
        </w:tc>
        <w:tc>
          <w:tcPr>
            <w:tcW w:w="1872" w:type="dxa"/>
            <w:tcBorders>
              <w:top w:val="single" w:sz="1" w:space="0" w:color="CCCCCC"/>
              <w:left w:val="single" w:sz="1" w:space="0" w:color="CCCCCC"/>
              <w:bottom w:val="single" w:sz="1" w:space="0" w:color="CCCCCC"/>
              <w:right w:val="single" w:sz="1" w:space="0" w:color="CCCCCC"/>
            </w:tcBorders>
            <w:shd w:val="clear" w:color="auto" w:fill="F0F8FF"/>
          </w:tcPr>
          <w:p w14:paraId="746555C7" w14:textId="77777777" w:rsidR="00207637" w:rsidRDefault="00D35D21">
            <w:pPr>
              <w:jc w:val="center"/>
            </w:pPr>
            <w:r>
              <w:rPr>
                <w:sz w:val="22"/>
                <w:szCs w:val="22"/>
              </w:rPr>
              <w:t>0.9355</w:t>
            </w:r>
          </w:p>
        </w:tc>
        <w:tc>
          <w:tcPr>
            <w:tcW w:w="1872" w:type="dxa"/>
            <w:tcBorders>
              <w:top w:val="single" w:sz="1" w:space="0" w:color="CCCCCC"/>
              <w:left w:val="single" w:sz="1" w:space="0" w:color="CCCCCC"/>
              <w:bottom w:val="single" w:sz="1" w:space="0" w:color="CCCCCC"/>
              <w:right w:val="single" w:sz="1" w:space="0" w:color="CCCCCC"/>
            </w:tcBorders>
            <w:shd w:val="clear" w:color="auto" w:fill="F0F8FF"/>
          </w:tcPr>
          <w:p w14:paraId="6E98AF72" w14:textId="77777777" w:rsidR="00207637" w:rsidRDefault="00D35D21">
            <w:pPr>
              <w:jc w:val="center"/>
            </w:pPr>
            <w:r>
              <w:rPr>
                <w:b/>
                <w:bCs/>
                <w:sz w:val="22"/>
                <w:szCs w:val="22"/>
              </w:rPr>
              <w:t>0.9938</w:t>
            </w:r>
          </w:p>
        </w:tc>
      </w:tr>
      <w:tr w:rsidR="00207637" w14:paraId="172B5848" w14:textId="77777777">
        <w:tc>
          <w:tcPr>
            <w:tcW w:w="1872" w:type="dxa"/>
            <w:tcBorders>
              <w:top w:val="single" w:sz="1" w:space="0" w:color="CCCCCC"/>
              <w:left w:val="single" w:sz="1" w:space="0" w:color="CCCCCC"/>
              <w:bottom w:val="single" w:sz="1" w:space="0" w:color="CCCCCC"/>
              <w:right w:val="single" w:sz="1" w:space="0" w:color="CCCCCC"/>
            </w:tcBorders>
          </w:tcPr>
          <w:p w14:paraId="0C27C871" w14:textId="77777777" w:rsidR="00207637" w:rsidRDefault="00D35D21">
            <w:proofErr w:type="spellStart"/>
            <w:r>
              <w:rPr>
                <w:sz w:val="22"/>
                <w:szCs w:val="22"/>
              </w:rPr>
              <w:t>LightGBM</w:t>
            </w:r>
            <w:proofErr w:type="spellEnd"/>
          </w:p>
        </w:tc>
        <w:tc>
          <w:tcPr>
            <w:tcW w:w="1872" w:type="dxa"/>
            <w:tcBorders>
              <w:top w:val="single" w:sz="1" w:space="0" w:color="CCCCCC"/>
              <w:left w:val="single" w:sz="1" w:space="0" w:color="CCCCCC"/>
              <w:bottom w:val="single" w:sz="1" w:space="0" w:color="CCCCCC"/>
              <w:right w:val="single" w:sz="1" w:space="0" w:color="CCCCCC"/>
            </w:tcBorders>
          </w:tcPr>
          <w:p w14:paraId="6D4153F7" w14:textId="77777777" w:rsidR="00207637" w:rsidRDefault="00D35D21">
            <w:pPr>
              <w:jc w:val="center"/>
            </w:pPr>
            <w:r>
              <w:rPr>
                <w:sz w:val="22"/>
                <w:szCs w:val="22"/>
              </w:rPr>
              <w:t>0.9503</w:t>
            </w:r>
          </w:p>
        </w:tc>
        <w:tc>
          <w:tcPr>
            <w:tcW w:w="1872" w:type="dxa"/>
            <w:tcBorders>
              <w:top w:val="single" w:sz="1" w:space="0" w:color="CCCCCC"/>
              <w:left w:val="single" w:sz="1" w:space="0" w:color="CCCCCC"/>
              <w:bottom w:val="single" w:sz="1" w:space="0" w:color="CCCCCC"/>
              <w:right w:val="single" w:sz="1" w:space="0" w:color="CCCCCC"/>
            </w:tcBorders>
          </w:tcPr>
          <w:p w14:paraId="7E3F1E6B" w14:textId="77777777" w:rsidR="00207637" w:rsidRDefault="00D35D21">
            <w:pPr>
              <w:jc w:val="center"/>
            </w:pPr>
            <w:r>
              <w:rPr>
                <w:sz w:val="22"/>
                <w:szCs w:val="22"/>
              </w:rPr>
              <w:t>0.9220</w:t>
            </w:r>
          </w:p>
        </w:tc>
        <w:tc>
          <w:tcPr>
            <w:tcW w:w="1872" w:type="dxa"/>
            <w:tcBorders>
              <w:top w:val="single" w:sz="1" w:space="0" w:color="CCCCCC"/>
              <w:left w:val="single" w:sz="1" w:space="0" w:color="CCCCCC"/>
              <w:bottom w:val="single" w:sz="1" w:space="0" w:color="CCCCCC"/>
              <w:right w:val="single" w:sz="1" w:space="0" w:color="CCCCCC"/>
            </w:tcBorders>
          </w:tcPr>
          <w:p w14:paraId="567EDA18" w14:textId="77777777" w:rsidR="00207637" w:rsidRDefault="00D35D21">
            <w:pPr>
              <w:jc w:val="center"/>
            </w:pPr>
            <w:r>
              <w:rPr>
                <w:sz w:val="22"/>
                <w:szCs w:val="22"/>
              </w:rPr>
              <w:t>0.9312</w:t>
            </w:r>
          </w:p>
        </w:tc>
        <w:tc>
          <w:tcPr>
            <w:tcW w:w="1872" w:type="dxa"/>
            <w:tcBorders>
              <w:top w:val="single" w:sz="1" w:space="0" w:color="CCCCCC"/>
              <w:left w:val="single" w:sz="1" w:space="0" w:color="CCCCCC"/>
              <w:bottom w:val="single" w:sz="1" w:space="0" w:color="CCCCCC"/>
              <w:right w:val="single" w:sz="1" w:space="0" w:color="CCCCCC"/>
            </w:tcBorders>
          </w:tcPr>
          <w:p w14:paraId="5B81A1DC" w14:textId="77777777" w:rsidR="00207637" w:rsidRDefault="00D35D21">
            <w:pPr>
              <w:jc w:val="center"/>
            </w:pPr>
            <w:r>
              <w:rPr>
                <w:sz w:val="22"/>
                <w:szCs w:val="22"/>
              </w:rPr>
              <w:t>0.9934</w:t>
            </w:r>
          </w:p>
        </w:tc>
      </w:tr>
      <w:tr w:rsidR="00207637" w14:paraId="7DA67CE7" w14:textId="77777777">
        <w:tc>
          <w:tcPr>
            <w:tcW w:w="1872" w:type="dxa"/>
            <w:tcBorders>
              <w:top w:val="single" w:sz="1" w:space="0" w:color="CCCCCC"/>
              <w:left w:val="single" w:sz="1" w:space="0" w:color="CCCCCC"/>
              <w:bottom w:val="single" w:sz="1" w:space="0" w:color="CCCCCC"/>
              <w:right w:val="single" w:sz="1" w:space="0" w:color="CCCCCC"/>
            </w:tcBorders>
          </w:tcPr>
          <w:p w14:paraId="74E67016" w14:textId="77777777" w:rsidR="00207637" w:rsidRDefault="00D35D21">
            <w:r>
              <w:rPr>
                <w:sz w:val="22"/>
                <w:szCs w:val="22"/>
              </w:rPr>
              <w:t>Gradient Boosting</w:t>
            </w:r>
          </w:p>
        </w:tc>
        <w:tc>
          <w:tcPr>
            <w:tcW w:w="1872" w:type="dxa"/>
            <w:tcBorders>
              <w:top w:val="single" w:sz="1" w:space="0" w:color="CCCCCC"/>
              <w:left w:val="single" w:sz="1" w:space="0" w:color="CCCCCC"/>
              <w:bottom w:val="single" w:sz="1" w:space="0" w:color="CCCCCC"/>
              <w:right w:val="single" w:sz="1" w:space="0" w:color="CCCCCC"/>
            </w:tcBorders>
          </w:tcPr>
          <w:p w14:paraId="4766E318" w14:textId="77777777" w:rsidR="00207637" w:rsidRDefault="00D35D21">
            <w:pPr>
              <w:jc w:val="center"/>
            </w:pPr>
            <w:r>
              <w:rPr>
                <w:sz w:val="22"/>
                <w:szCs w:val="22"/>
              </w:rPr>
              <w:t>0.9467</w:t>
            </w:r>
          </w:p>
        </w:tc>
        <w:tc>
          <w:tcPr>
            <w:tcW w:w="1872" w:type="dxa"/>
            <w:tcBorders>
              <w:top w:val="single" w:sz="1" w:space="0" w:color="CCCCCC"/>
              <w:left w:val="single" w:sz="1" w:space="0" w:color="CCCCCC"/>
              <w:bottom w:val="single" w:sz="1" w:space="0" w:color="CCCCCC"/>
              <w:right w:val="single" w:sz="1" w:space="0" w:color="CCCCCC"/>
            </w:tcBorders>
          </w:tcPr>
          <w:p w14:paraId="5122E729" w14:textId="77777777" w:rsidR="00207637" w:rsidRDefault="00D35D21">
            <w:pPr>
              <w:jc w:val="center"/>
            </w:pPr>
            <w:r>
              <w:rPr>
                <w:sz w:val="22"/>
                <w:szCs w:val="22"/>
              </w:rPr>
              <w:t>0.9163</w:t>
            </w:r>
          </w:p>
        </w:tc>
        <w:tc>
          <w:tcPr>
            <w:tcW w:w="1872" w:type="dxa"/>
            <w:tcBorders>
              <w:top w:val="single" w:sz="1" w:space="0" w:color="CCCCCC"/>
              <w:left w:val="single" w:sz="1" w:space="0" w:color="CCCCCC"/>
              <w:bottom w:val="single" w:sz="1" w:space="0" w:color="CCCCCC"/>
              <w:right w:val="single" w:sz="1" w:space="0" w:color="CCCCCC"/>
            </w:tcBorders>
          </w:tcPr>
          <w:p w14:paraId="430AE8C2" w14:textId="77777777" w:rsidR="00207637" w:rsidRDefault="00D35D21">
            <w:pPr>
              <w:jc w:val="center"/>
            </w:pPr>
            <w:r>
              <w:rPr>
                <w:sz w:val="22"/>
                <w:szCs w:val="22"/>
              </w:rPr>
              <w:t>0.9282</w:t>
            </w:r>
          </w:p>
        </w:tc>
        <w:tc>
          <w:tcPr>
            <w:tcW w:w="1872" w:type="dxa"/>
            <w:tcBorders>
              <w:top w:val="single" w:sz="1" w:space="0" w:color="CCCCCC"/>
              <w:left w:val="single" w:sz="1" w:space="0" w:color="CCCCCC"/>
              <w:bottom w:val="single" w:sz="1" w:space="0" w:color="CCCCCC"/>
              <w:right w:val="single" w:sz="1" w:space="0" w:color="CCCCCC"/>
            </w:tcBorders>
          </w:tcPr>
          <w:p w14:paraId="149044A7" w14:textId="77777777" w:rsidR="00207637" w:rsidRDefault="00D35D21">
            <w:pPr>
              <w:jc w:val="center"/>
            </w:pPr>
            <w:r>
              <w:rPr>
                <w:sz w:val="22"/>
                <w:szCs w:val="22"/>
              </w:rPr>
              <w:t>0.9932</w:t>
            </w:r>
          </w:p>
        </w:tc>
      </w:tr>
      <w:tr w:rsidR="00207637" w14:paraId="20AFDFDD" w14:textId="77777777">
        <w:tc>
          <w:tcPr>
            <w:tcW w:w="1872" w:type="dxa"/>
            <w:tcBorders>
              <w:top w:val="single" w:sz="1" w:space="0" w:color="CCCCCC"/>
              <w:left w:val="single" w:sz="1" w:space="0" w:color="CCCCCC"/>
              <w:bottom w:val="single" w:sz="1" w:space="0" w:color="CCCCCC"/>
              <w:right w:val="single" w:sz="1" w:space="0" w:color="CCCCCC"/>
            </w:tcBorders>
          </w:tcPr>
          <w:p w14:paraId="771299A2" w14:textId="77777777" w:rsidR="00207637" w:rsidRDefault="00D35D21">
            <w:r>
              <w:rPr>
                <w:sz w:val="22"/>
                <w:szCs w:val="22"/>
              </w:rPr>
              <w:t>Random Forest</w:t>
            </w:r>
          </w:p>
        </w:tc>
        <w:tc>
          <w:tcPr>
            <w:tcW w:w="1872" w:type="dxa"/>
            <w:tcBorders>
              <w:top w:val="single" w:sz="1" w:space="0" w:color="CCCCCC"/>
              <w:left w:val="single" w:sz="1" w:space="0" w:color="CCCCCC"/>
              <w:bottom w:val="single" w:sz="1" w:space="0" w:color="CCCCCC"/>
              <w:right w:val="single" w:sz="1" w:space="0" w:color="CCCCCC"/>
            </w:tcBorders>
          </w:tcPr>
          <w:p w14:paraId="1F9CD576" w14:textId="77777777" w:rsidR="00207637" w:rsidRDefault="00D35D21">
            <w:pPr>
              <w:jc w:val="center"/>
            </w:pPr>
            <w:r>
              <w:rPr>
                <w:sz w:val="22"/>
                <w:szCs w:val="22"/>
              </w:rPr>
              <w:t>0.9421</w:t>
            </w:r>
          </w:p>
        </w:tc>
        <w:tc>
          <w:tcPr>
            <w:tcW w:w="1872" w:type="dxa"/>
            <w:tcBorders>
              <w:top w:val="single" w:sz="1" w:space="0" w:color="CCCCCC"/>
              <w:left w:val="single" w:sz="1" w:space="0" w:color="CCCCCC"/>
              <w:bottom w:val="single" w:sz="1" w:space="0" w:color="CCCCCC"/>
              <w:right w:val="single" w:sz="1" w:space="0" w:color="CCCCCC"/>
            </w:tcBorders>
          </w:tcPr>
          <w:p w14:paraId="5EB5E236" w14:textId="77777777" w:rsidR="00207637" w:rsidRDefault="00D35D21">
            <w:pPr>
              <w:jc w:val="center"/>
            </w:pPr>
            <w:r>
              <w:rPr>
                <w:sz w:val="22"/>
                <w:szCs w:val="22"/>
              </w:rPr>
              <w:t>0.9090</w:t>
            </w:r>
          </w:p>
        </w:tc>
        <w:tc>
          <w:tcPr>
            <w:tcW w:w="1872" w:type="dxa"/>
            <w:tcBorders>
              <w:top w:val="single" w:sz="1" w:space="0" w:color="CCCCCC"/>
              <w:left w:val="single" w:sz="1" w:space="0" w:color="CCCCCC"/>
              <w:bottom w:val="single" w:sz="1" w:space="0" w:color="CCCCCC"/>
              <w:right w:val="single" w:sz="1" w:space="0" w:color="CCCCCC"/>
            </w:tcBorders>
          </w:tcPr>
          <w:p w14:paraId="02B4235D" w14:textId="77777777" w:rsidR="00207637" w:rsidRDefault="00D35D21">
            <w:pPr>
              <w:jc w:val="center"/>
            </w:pPr>
            <w:r>
              <w:rPr>
                <w:sz w:val="22"/>
                <w:szCs w:val="22"/>
              </w:rPr>
              <w:t>0.9194</w:t>
            </w:r>
          </w:p>
        </w:tc>
        <w:tc>
          <w:tcPr>
            <w:tcW w:w="1872" w:type="dxa"/>
            <w:tcBorders>
              <w:top w:val="single" w:sz="1" w:space="0" w:color="CCCCCC"/>
              <w:left w:val="single" w:sz="1" w:space="0" w:color="CCCCCC"/>
              <w:bottom w:val="single" w:sz="1" w:space="0" w:color="CCCCCC"/>
              <w:right w:val="single" w:sz="1" w:space="0" w:color="CCCCCC"/>
            </w:tcBorders>
          </w:tcPr>
          <w:p w14:paraId="53BD4FEB" w14:textId="77777777" w:rsidR="00207637" w:rsidRDefault="00D35D21">
            <w:pPr>
              <w:jc w:val="center"/>
            </w:pPr>
            <w:r>
              <w:rPr>
                <w:sz w:val="22"/>
                <w:szCs w:val="22"/>
              </w:rPr>
              <w:t>0.9839</w:t>
            </w:r>
          </w:p>
        </w:tc>
      </w:tr>
    </w:tbl>
    <w:p w14:paraId="162BE493" w14:textId="77777777" w:rsidR="00207637" w:rsidRDefault="00207637">
      <w:pPr>
        <w:spacing w:after="240"/>
      </w:pPr>
    </w:p>
    <w:p w14:paraId="2CEC933A" w14:textId="77777777" w:rsidR="00207637" w:rsidRDefault="00D35D21">
      <w:pPr>
        <w:pStyle w:val="Heading2"/>
      </w:pPr>
      <w:r>
        <w:t>6.2 Test Set Performance (</w:t>
      </w:r>
      <w:proofErr w:type="spellStart"/>
      <w:r>
        <w:t>XGBoost</w:t>
      </w:r>
      <w:proofErr w:type="spellEnd"/>
      <w:r>
        <w:t>)</w:t>
      </w:r>
    </w:p>
    <w:p w14:paraId="0AD8D7EA" w14:textId="77777777" w:rsidR="00207637" w:rsidRDefault="00D35D21">
      <w:pPr>
        <w:spacing w:after="180"/>
      </w:pPr>
      <w:r>
        <w:t>The best model (</w:t>
      </w:r>
      <w:proofErr w:type="spellStart"/>
      <w:r>
        <w:t>XGBoost</w:t>
      </w:r>
      <w:proofErr w:type="spellEnd"/>
      <w:r>
        <w:t>) achieved the following performance on the held-out test set:</w:t>
      </w:r>
    </w:p>
    <w:p w14:paraId="3BDFD631" w14:textId="77777777" w:rsidR="00207637" w:rsidRDefault="00D35D21">
      <w:pPr>
        <w:pStyle w:val="ListParagraph"/>
        <w:numPr>
          <w:ilvl w:val="0"/>
          <w:numId w:val="2"/>
        </w:numPr>
      </w:pPr>
      <w:r>
        <w:rPr>
          <w:b/>
          <w:bCs/>
        </w:rPr>
        <w:t xml:space="preserve">Accuracy: </w:t>
      </w:r>
      <w:r>
        <w:t>95.45%</w:t>
      </w:r>
    </w:p>
    <w:p w14:paraId="1528F9C2" w14:textId="77777777" w:rsidR="00207637" w:rsidRDefault="00D35D21">
      <w:pPr>
        <w:pStyle w:val="ListParagraph"/>
        <w:numPr>
          <w:ilvl w:val="0"/>
          <w:numId w:val="2"/>
        </w:numPr>
      </w:pPr>
      <w:r>
        <w:rPr>
          <w:b/>
          <w:bCs/>
        </w:rPr>
        <w:t xml:space="preserve">ROC-AUC: </w:t>
      </w:r>
      <w:r>
        <w:t>0.9897</w:t>
      </w:r>
    </w:p>
    <w:p w14:paraId="600246CA" w14:textId="77777777" w:rsidR="00207637" w:rsidRDefault="00D35D21">
      <w:pPr>
        <w:pStyle w:val="ListParagraph"/>
        <w:numPr>
          <w:ilvl w:val="0"/>
          <w:numId w:val="2"/>
        </w:numPr>
      </w:pPr>
      <w:r>
        <w:rPr>
          <w:b/>
          <w:bCs/>
        </w:rPr>
        <w:t xml:space="preserve">Precision: </w:t>
      </w:r>
      <w:r>
        <w:t>92.87%</w:t>
      </w:r>
    </w:p>
    <w:p w14:paraId="52629FE1" w14:textId="77777777" w:rsidR="00207637" w:rsidRDefault="00D35D21">
      <w:pPr>
        <w:pStyle w:val="ListParagraph"/>
        <w:numPr>
          <w:ilvl w:val="0"/>
          <w:numId w:val="2"/>
        </w:numPr>
      </w:pPr>
      <w:r>
        <w:rPr>
          <w:b/>
          <w:bCs/>
        </w:rPr>
        <w:t xml:space="preserve">Recall: </w:t>
      </w:r>
      <w:r>
        <w:t>93.55%</w:t>
      </w:r>
    </w:p>
    <w:p w14:paraId="2C9C552E" w14:textId="77777777" w:rsidR="00207637" w:rsidRDefault="00D35D21">
      <w:pPr>
        <w:pStyle w:val="ListParagraph"/>
        <w:numPr>
          <w:ilvl w:val="0"/>
          <w:numId w:val="2"/>
        </w:numPr>
        <w:spacing w:after="180"/>
      </w:pPr>
      <w:r>
        <w:rPr>
          <w:b/>
          <w:bCs/>
        </w:rPr>
        <w:t xml:space="preserve">F1-Score: </w:t>
      </w:r>
      <w:r>
        <w:t>93.21%</w:t>
      </w:r>
    </w:p>
    <w:p w14:paraId="047C8268" w14:textId="297AC74A" w:rsidR="00207637" w:rsidRDefault="00D35D21">
      <w:pPr>
        <w:spacing w:after="180"/>
      </w:pPr>
      <w:r>
        <w:rPr>
          <w:b/>
          <w:bCs/>
        </w:rPr>
        <w:t>Confusion Matrix</w:t>
      </w:r>
      <w:r w:rsidR="00B8101D">
        <w:rPr>
          <w:b/>
          <w:bCs/>
        </w:rPr>
        <w:t xml:space="preserve"> (Figure 1)</w:t>
      </w:r>
      <w:r>
        <w:rPr>
          <w:b/>
          <w:bCs/>
        </w:rPr>
        <w:t>:</w:t>
      </w:r>
    </w:p>
    <w:p w14:paraId="37A38834" w14:textId="77777777" w:rsidR="00207637" w:rsidRDefault="00D35D21">
      <w:pPr>
        <w:pStyle w:val="ListParagraph"/>
        <w:numPr>
          <w:ilvl w:val="0"/>
          <w:numId w:val="2"/>
        </w:numPr>
      </w:pPr>
      <w:r>
        <w:t>True Negatives: 1,314 (correctly identified non-stalls)</w:t>
      </w:r>
    </w:p>
    <w:p w14:paraId="17AD041E" w14:textId="77777777" w:rsidR="00207637" w:rsidRDefault="00D35D21">
      <w:pPr>
        <w:pStyle w:val="ListParagraph"/>
        <w:numPr>
          <w:ilvl w:val="0"/>
          <w:numId w:val="2"/>
        </w:numPr>
      </w:pPr>
      <w:r>
        <w:t>False Positives: 49 (predicted stall, but didn't stall)</w:t>
      </w:r>
    </w:p>
    <w:p w14:paraId="6383A27A" w14:textId="77777777" w:rsidR="00207637" w:rsidRDefault="00D35D21">
      <w:pPr>
        <w:pStyle w:val="ListParagraph"/>
        <w:numPr>
          <w:ilvl w:val="0"/>
          <w:numId w:val="2"/>
        </w:numPr>
      </w:pPr>
      <w:r>
        <w:t>False Negatives: 44 (predicted no stall, but did stall)</w:t>
      </w:r>
    </w:p>
    <w:p w14:paraId="4BFD0945" w14:textId="77777777" w:rsidR="00207637" w:rsidRDefault="00D35D21">
      <w:pPr>
        <w:pStyle w:val="ListParagraph"/>
        <w:numPr>
          <w:ilvl w:val="0"/>
          <w:numId w:val="2"/>
        </w:numPr>
        <w:spacing w:after="240"/>
      </w:pPr>
      <w:r>
        <w:t>True Positives: 638 (correctly identified stalls)</w:t>
      </w:r>
    </w:p>
    <w:p w14:paraId="4C63E8A9" w14:textId="1A5F7BD7" w:rsidR="00B8101D" w:rsidRDefault="00D35D21">
      <w:r>
        <w:br w:type="page"/>
      </w:r>
      <w:r w:rsidR="00B8101D">
        <w:rPr>
          <w:noProof/>
        </w:rPr>
        <w:lastRenderedPageBreak/>
        <w:drawing>
          <wp:inline distT="0" distB="0" distL="0" distR="0" wp14:anchorId="0408778A" wp14:editId="7E2BCAB3">
            <wp:extent cx="5518150" cy="4629230"/>
            <wp:effectExtent l="0" t="0" r="6350" b="0"/>
            <wp:docPr id="2415702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7028" name="Picture 1" descr="A screenshot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7732" cy="4645657"/>
                    </a:xfrm>
                    <a:prstGeom prst="rect">
                      <a:avLst/>
                    </a:prstGeom>
                    <a:noFill/>
                    <a:ln>
                      <a:noFill/>
                    </a:ln>
                  </pic:spPr>
                </pic:pic>
              </a:graphicData>
            </a:graphic>
          </wp:inline>
        </w:drawing>
      </w:r>
    </w:p>
    <w:p w14:paraId="26A1C8EF" w14:textId="77777777" w:rsidR="00B8101D" w:rsidRPr="00B8101D" w:rsidRDefault="00B8101D" w:rsidP="00B8101D">
      <w:pPr>
        <w:pStyle w:val="NormalWeb"/>
        <w:rPr>
          <w:rFonts w:ascii="Arial" w:hAnsi="Arial" w:cs="Arial"/>
          <w:i/>
          <w:iCs/>
          <w:sz w:val="20"/>
          <w:szCs w:val="20"/>
        </w:rPr>
      </w:pPr>
      <w:r w:rsidRPr="00B8101D">
        <w:rPr>
          <w:rStyle w:val="Strong"/>
          <w:rFonts w:ascii="Arial" w:hAnsi="Arial" w:cs="Arial"/>
          <w:i/>
          <w:iCs/>
          <w:sz w:val="20"/>
          <w:szCs w:val="20"/>
        </w:rPr>
        <w:t>Figure 1:</w:t>
      </w:r>
      <w:r w:rsidRPr="00B8101D">
        <w:rPr>
          <w:rFonts w:ascii="Arial" w:hAnsi="Arial" w:cs="Arial"/>
          <w:i/>
          <w:iCs/>
          <w:sz w:val="20"/>
          <w:szCs w:val="20"/>
        </w:rPr>
        <w:t xml:space="preserve"> Confusion matrix for the </w:t>
      </w:r>
      <w:proofErr w:type="spellStart"/>
      <w:r w:rsidRPr="00B8101D">
        <w:rPr>
          <w:rStyle w:val="HTMLCode"/>
          <w:rFonts w:ascii="Arial" w:hAnsi="Arial" w:cs="Arial"/>
          <w:i/>
          <w:iCs/>
        </w:rPr>
        <w:t>XGBoost</w:t>
      </w:r>
      <w:proofErr w:type="spellEnd"/>
      <w:r w:rsidRPr="00B8101D">
        <w:rPr>
          <w:rFonts w:ascii="Arial" w:hAnsi="Arial" w:cs="Arial"/>
          <w:i/>
          <w:iCs/>
          <w:sz w:val="20"/>
          <w:szCs w:val="20"/>
        </w:rPr>
        <w:t xml:space="preserve"> model on the unseen test set (2,045 samples). The model correctly identified 1,314 "No-Stall" events (True Negatives) and 638 "Stall" events (True Positives). The model's errors were low, with 49 False Positives (predicting a stall that didn't happen) and 44 False Negatives (missing a stall that did happen). Percentages are calculated relative to the true class.</w:t>
      </w:r>
    </w:p>
    <w:p w14:paraId="175A30EF" w14:textId="77777777" w:rsidR="00207637" w:rsidRDefault="00D35D21">
      <w:pPr>
        <w:pStyle w:val="Heading1"/>
      </w:pPr>
      <w:r>
        <w:t>7. Feature Importance and SHAP Analysis</w:t>
      </w:r>
    </w:p>
    <w:p w14:paraId="7A1403E2" w14:textId="77777777" w:rsidR="00207637" w:rsidRDefault="00D35D21">
      <w:pPr>
        <w:pStyle w:val="Heading2"/>
      </w:pPr>
      <w:r>
        <w:t>7.1 SHAP Value Interpretation</w:t>
      </w:r>
    </w:p>
    <w:p w14:paraId="6CE5E4BE" w14:textId="77777777" w:rsidR="00207637" w:rsidRDefault="00D35D21">
      <w:pPr>
        <w:spacing w:after="180"/>
      </w:pPr>
      <w:r>
        <w:t>SHAP (</w:t>
      </w:r>
      <w:proofErr w:type="spellStart"/>
      <w:r>
        <w:t>SHapley</w:t>
      </w:r>
      <w:proofErr w:type="spellEnd"/>
      <w:r>
        <w:t xml:space="preserve"> Additive </w:t>
      </w:r>
      <w:proofErr w:type="spellStart"/>
      <w:r>
        <w:t>exPlanations</w:t>
      </w:r>
      <w:proofErr w:type="spellEnd"/>
      <w:r>
        <w:t>) values provide model-agnostic feature importance measures that explain individual predictions (Lundberg &amp; Lee, 2017). We conducted the analysis on 200 validation samples. The top 10 features by mean absolute SHAP value are: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179"/>
        <w:gridCol w:w="5106"/>
        <w:gridCol w:w="2739"/>
      </w:tblGrid>
      <w:tr w:rsidR="00207637" w14:paraId="6A89134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Pr>
          <w:p w14:paraId="4A853FBD" w14:textId="77777777" w:rsidR="00207637" w:rsidRDefault="00D35D21">
            <w:pPr>
              <w:jc w:val="center"/>
            </w:pPr>
            <w:r>
              <w:rPr>
                <w:b/>
                <w:bCs/>
              </w:rPr>
              <w:t>Rank</w:t>
            </w:r>
          </w:p>
        </w:tc>
        <w:tc>
          <w:tcPr>
            <w:tcW w:w="5280" w:type="dxa"/>
            <w:tcBorders>
              <w:top w:val="single" w:sz="1" w:space="0" w:color="CCCCCC"/>
              <w:left w:val="single" w:sz="1" w:space="0" w:color="CCCCCC"/>
              <w:bottom w:val="single" w:sz="1" w:space="0" w:color="CCCCCC"/>
              <w:right w:val="single" w:sz="1" w:space="0" w:color="CCCCCC"/>
            </w:tcBorders>
            <w:shd w:val="clear" w:color="auto" w:fill="D5E8F0"/>
          </w:tcPr>
          <w:p w14:paraId="74EB1318" w14:textId="77777777" w:rsidR="00207637" w:rsidRDefault="00D35D21">
            <w:r>
              <w:rPr>
                <w:b/>
                <w:bCs/>
              </w:rPr>
              <w:t>Feature</w:t>
            </w:r>
          </w:p>
        </w:tc>
        <w:tc>
          <w:tcPr>
            <w:tcW w:w="2880" w:type="dxa"/>
            <w:tcBorders>
              <w:top w:val="single" w:sz="1" w:space="0" w:color="CCCCCC"/>
              <w:left w:val="single" w:sz="1" w:space="0" w:color="CCCCCC"/>
              <w:bottom w:val="single" w:sz="1" w:space="0" w:color="CCCCCC"/>
              <w:right w:val="single" w:sz="1" w:space="0" w:color="CCCCCC"/>
            </w:tcBorders>
            <w:shd w:val="clear" w:color="auto" w:fill="D5E8F0"/>
          </w:tcPr>
          <w:p w14:paraId="79486CF6" w14:textId="77777777" w:rsidR="00207637" w:rsidRDefault="00D35D21">
            <w:pPr>
              <w:jc w:val="center"/>
            </w:pPr>
            <w:r>
              <w:rPr>
                <w:b/>
                <w:bCs/>
              </w:rPr>
              <w:t>Mean |SHAP|</w:t>
            </w:r>
          </w:p>
        </w:tc>
      </w:tr>
      <w:tr w:rsidR="00207637" w14:paraId="4551922D" w14:textId="77777777">
        <w:tc>
          <w:tcPr>
            <w:tcW w:w="1200" w:type="dxa"/>
            <w:tcBorders>
              <w:top w:val="single" w:sz="1" w:space="0" w:color="CCCCCC"/>
              <w:left w:val="single" w:sz="1" w:space="0" w:color="CCCCCC"/>
              <w:bottom w:val="single" w:sz="1" w:space="0" w:color="CCCCCC"/>
              <w:right w:val="single" w:sz="1" w:space="0" w:color="CCCCCC"/>
            </w:tcBorders>
          </w:tcPr>
          <w:p w14:paraId="27B552A7" w14:textId="77777777" w:rsidR="00207637" w:rsidRDefault="00D35D21">
            <w:pPr>
              <w:jc w:val="center"/>
            </w:pPr>
            <w:r>
              <w:t>1</w:t>
            </w:r>
          </w:p>
        </w:tc>
        <w:tc>
          <w:tcPr>
            <w:tcW w:w="5280" w:type="dxa"/>
            <w:tcBorders>
              <w:top w:val="single" w:sz="1" w:space="0" w:color="CCCCCC"/>
              <w:left w:val="single" w:sz="1" w:space="0" w:color="CCCCCC"/>
              <w:bottom w:val="single" w:sz="1" w:space="0" w:color="CCCCCC"/>
              <w:right w:val="single" w:sz="1" w:space="0" w:color="CCCCCC"/>
            </w:tcBorders>
          </w:tcPr>
          <w:p w14:paraId="72308B8F" w14:textId="77777777" w:rsidR="00207637" w:rsidRDefault="00D35D21">
            <w:proofErr w:type="spellStart"/>
            <w:r>
              <w:rPr>
                <w:b/>
                <w:bCs/>
              </w:rPr>
              <w:t>interface_stress_ratio</w:t>
            </w:r>
            <w:proofErr w:type="spellEnd"/>
          </w:p>
        </w:tc>
        <w:tc>
          <w:tcPr>
            <w:tcW w:w="2880" w:type="dxa"/>
            <w:tcBorders>
              <w:top w:val="single" w:sz="1" w:space="0" w:color="CCCCCC"/>
              <w:left w:val="single" w:sz="1" w:space="0" w:color="CCCCCC"/>
              <w:bottom w:val="single" w:sz="1" w:space="0" w:color="CCCCCC"/>
              <w:right w:val="single" w:sz="1" w:space="0" w:color="CCCCCC"/>
            </w:tcBorders>
          </w:tcPr>
          <w:p w14:paraId="4B66E44F" w14:textId="77777777" w:rsidR="00207637" w:rsidRDefault="00D35D21">
            <w:pPr>
              <w:jc w:val="center"/>
            </w:pPr>
            <w:r>
              <w:t>3.061</w:t>
            </w:r>
          </w:p>
        </w:tc>
      </w:tr>
      <w:tr w:rsidR="00207637" w14:paraId="00CE26AC" w14:textId="77777777">
        <w:tc>
          <w:tcPr>
            <w:tcW w:w="1200" w:type="dxa"/>
            <w:tcBorders>
              <w:top w:val="single" w:sz="1" w:space="0" w:color="CCCCCC"/>
              <w:left w:val="single" w:sz="1" w:space="0" w:color="CCCCCC"/>
              <w:bottom w:val="single" w:sz="1" w:space="0" w:color="CCCCCC"/>
              <w:right w:val="single" w:sz="1" w:space="0" w:color="CCCCCC"/>
            </w:tcBorders>
          </w:tcPr>
          <w:p w14:paraId="65619C44" w14:textId="77777777" w:rsidR="00207637" w:rsidRDefault="00D35D21">
            <w:pPr>
              <w:jc w:val="center"/>
            </w:pPr>
            <w:r>
              <w:t>2</w:t>
            </w:r>
          </w:p>
        </w:tc>
        <w:tc>
          <w:tcPr>
            <w:tcW w:w="5280" w:type="dxa"/>
            <w:tcBorders>
              <w:top w:val="single" w:sz="1" w:space="0" w:color="CCCCCC"/>
              <w:left w:val="single" w:sz="1" w:space="0" w:color="CCCCCC"/>
              <w:bottom w:val="single" w:sz="1" w:space="0" w:color="CCCCCC"/>
              <w:right w:val="single" w:sz="1" w:space="0" w:color="CCCCCC"/>
            </w:tcBorders>
          </w:tcPr>
          <w:p w14:paraId="6CB4C753" w14:textId="77777777" w:rsidR="00207637" w:rsidRDefault="00D35D21">
            <w:proofErr w:type="spellStart"/>
            <w:r>
              <w:rPr>
                <w:b/>
                <w:bCs/>
              </w:rPr>
              <w:t>interface_layer_distance</w:t>
            </w:r>
            <w:proofErr w:type="spellEnd"/>
          </w:p>
        </w:tc>
        <w:tc>
          <w:tcPr>
            <w:tcW w:w="2880" w:type="dxa"/>
            <w:tcBorders>
              <w:top w:val="single" w:sz="1" w:space="0" w:color="CCCCCC"/>
              <w:left w:val="single" w:sz="1" w:space="0" w:color="CCCCCC"/>
              <w:bottom w:val="single" w:sz="1" w:space="0" w:color="CCCCCC"/>
              <w:right w:val="single" w:sz="1" w:space="0" w:color="CCCCCC"/>
            </w:tcBorders>
          </w:tcPr>
          <w:p w14:paraId="6E4FA732" w14:textId="77777777" w:rsidR="00207637" w:rsidRDefault="00D35D21">
            <w:pPr>
              <w:jc w:val="center"/>
            </w:pPr>
            <w:r>
              <w:t>2.275</w:t>
            </w:r>
          </w:p>
        </w:tc>
      </w:tr>
      <w:tr w:rsidR="00207637" w14:paraId="7C719970" w14:textId="77777777">
        <w:tc>
          <w:tcPr>
            <w:tcW w:w="1200" w:type="dxa"/>
            <w:tcBorders>
              <w:top w:val="single" w:sz="1" w:space="0" w:color="CCCCCC"/>
              <w:left w:val="single" w:sz="1" w:space="0" w:color="CCCCCC"/>
              <w:bottom w:val="single" w:sz="1" w:space="0" w:color="CCCCCC"/>
              <w:right w:val="single" w:sz="1" w:space="0" w:color="CCCCCC"/>
            </w:tcBorders>
          </w:tcPr>
          <w:p w14:paraId="7FAE518C" w14:textId="77777777" w:rsidR="00207637" w:rsidRDefault="00D35D21">
            <w:pPr>
              <w:jc w:val="center"/>
            </w:pPr>
            <w:r>
              <w:t>3</w:t>
            </w:r>
          </w:p>
        </w:tc>
        <w:tc>
          <w:tcPr>
            <w:tcW w:w="5280" w:type="dxa"/>
            <w:tcBorders>
              <w:top w:val="single" w:sz="1" w:space="0" w:color="CCCCCC"/>
              <w:left w:val="single" w:sz="1" w:space="0" w:color="CCCCCC"/>
              <w:bottom w:val="single" w:sz="1" w:space="0" w:color="CCCCCC"/>
              <w:right w:val="single" w:sz="1" w:space="0" w:color="CCCCCC"/>
            </w:tcBorders>
          </w:tcPr>
          <w:p w14:paraId="5D7B697C" w14:textId="77777777" w:rsidR="00207637" w:rsidRDefault="00D35D21">
            <w:proofErr w:type="spellStart"/>
            <w:r>
              <w:rPr>
                <w:b/>
                <w:bCs/>
              </w:rPr>
              <w:t>above_stress</w:t>
            </w:r>
            <w:proofErr w:type="spellEnd"/>
          </w:p>
        </w:tc>
        <w:tc>
          <w:tcPr>
            <w:tcW w:w="2880" w:type="dxa"/>
            <w:tcBorders>
              <w:top w:val="single" w:sz="1" w:space="0" w:color="CCCCCC"/>
              <w:left w:val="single" w:sz="1" w:space="0" w:color="CCCCCC"/>
              <w:bottom w:val="single" w:sz="1" w:space="0" w:color="CCCCCC"/>
              <w:right w:val="single" w:sz="1" w:space="0" w:color="CCCCCC"/>
            </w:tcBorders>
          </w:tcPr>
          <w:p w14:paraId="628AA890" w14:textId="77777777" w:rsidR="00207637" w:rsidRDefault="00D35D21">
            <w:pPr>
              <w:jc w:val="center"/>
            </w:pPr>
            <w:r>
              <w:t>2.091</w:t>
            </w:r>
          </w:p>
        </w:tc>
      </w:tr>
      <w:tr w:rsidR="00207637" w14:paraId="00121E3B" w14:textId="77777777">
        <w:tc>
          <w:tcPr>
            <w:tcW w:w="1200" w:type="dxa"/>
            <w:tcBorders>
              <w:top w:val="single" w:sz="1" w:space="0" w:color="CCCCCC"/>
              <w:left w:val="single" w:sz="1" w:space="0" w:color="CCCCCC"/>
              <w:bottom w:val="single" w:sz="1" w:space="0" w:color="CCCCCC"/>
              <w:right w:val="single" w:sz="1" w:space="0" w:color="CCCCCC"/>
            </w:tcBorders>
          </w:tcPr>
          <w:p w14:paraId="2D186AEE" w14:textId="77777777" w:rsidR="00207637" w:rsidRDefault="00D35D21">
            <w:pPr>
              <w:jc w:val="center"/>
            </w:pPr>
            <w:r>
              <w:t>4</w:t>
            </w:r>
          </w:p>
        </w:tc>
        <w:tc>
          <w:tcPr>
            <w:tcW w:w="5280" w:type="dxa"/>
            <w:tcBorders>
              <w:top w:val="single" w:sz="1" w:space="0" w:color="CCCCCC"/>
              <w:left w:val="single" w:sz="1" w:space="0" w:color="CCCCCC"/>
              <w:bottom w:val="single" w:sz="1" w:space="0" w:color="CCCCCC"/>
              <w:right w:val="single" w:sz="1" w:space="0" w:color="CCCCCC"/>
            </w:tcBorders>
          </w:tcPr>
          <w:p w14:paraId="1CCAEF13" w14:textId="77777777" w:rsidR="00207637" w:rsidRDefault="00D35D21">
            <w:proofErr w:type="spellStart"/>
            <w:r>
              <w:t>above_temperature</w:t>
            </w:r>
            <w:proofErr w:type="spellEnd"/>
          </w:p>
        </w:tc>
        <w:tc>
          <w:tcPr>
            <w:tcW w:w="2880" w:type="dxa"/>
            <w:tcBorders>
              <w:top w:val="single" w:sz="1" w:space="0" w:color="CCCCCC"/>
              <w:left w:val="single" w:sz="1" w:space="0" w:color="CCCCCC"/>
              <w:bottom w:val="single" w:sz="1" w:space="0" w:color="CCCCCC"/>
              <w:right w:val="single" w:sz="1" w:space="0" w:color="CCCCCC"/>
            </w:tcBorders>
          </w:tcPr>
          <w:p w14:paraId="304271BD" w14:textId="77777777" w:rsidR="00207637" w:rsidRDefault="00D35D21">
            <w:pPr>
              <w:jc w:val="center"/>
            </w:pPr>
            <w:r>
              <w:t>0.555</w:t>
            </w:r>
          </w:p>
        </w:tc>
      </w:tr>
      <w:tr w:rsidR="00207637" w14:paraId="09B0AE80" w14:textId="77777777">
        <w:tc>
          <w:tcPr>
            <w:tcW w:w="1200" w:type="dxa"/>
            <w:tcBorders>
              <w:top w:val="single" w:sz="1" w:space="0" w:color="CCCCCC"/>
              <w:left w:val="single" w:sz="1" w:space="0" w:color="CCCCCC"/>
              <w:bottom w:val="single" w:sz="1" w:space="0" w:color="CCCCCC"/>
              <w:right w:val="single" w:sz="1" w:space="0" w:color="CCCCCC"/>
            </w:tcBorders>
          </w:tcPr>
          <w:p w14:paraId="521E643F" w14:textId="77777777" w:rsidR="00207637" w:rsidRDefault="00D35D21">
            <w:pPr>
              <w:jc w:val="center"/>
            </w:pPr>
            <w:r>
              <w:lastRenderedPageBreak/>
              <w:t>5</w:t>
            </w:r>
          </w:p>
        </w:tc>
        <w:tc>
          <w:tcPr>
            <w:tcW w:w="5280" w:type="dxa"/>
            <w:tcBorders>
              <w:top w:val="single" w:sz="1" w:space="0" w:color="CCCCCC"/>
              <w:left w:val="single" w:sz="1" w:space="0" w:color="CCCCCC"/>
              <w:bottom w:val="single" w:sz="1" w:space="0" w:color="CCCCCC"/>
              <w:right w:val="single" w:sz="1" w:space="0" w:color="CCCCCC"/>
            </w:tcBorders>
          </w:tcPr>
          <w:p w14:paraId="72F8A22C" w14:textId="77777777" w:rsidR="00207637" w:rsidRDefault="00D35D21">
            <w:proofErr w:type="spellStart"/>
            <w:r>
              <w:t>below_lwc</w:t>
            </w:r>
            <w:proofErr w:type="spellEnd"/>
          </w:p>
        </w:tc>
        <w:tc>
          <w:tcPr>
            <w:tcW w:w="2880" w:type="dxa"/>
            <w:tcBorders>
              <w:top w:val="single" w:sz="1" w:space="0" w:color="CCCCCC"/>
              <w:left w:val="single" w:sz="1" w:space="0" w:color="CCCCCC"/>
              <w:bottom w:val="single" w:sz="1" w:space="0" w:color="CCCCCC"/>
              <w:right w:val="single" w:sz="1" w:space="0" w:color="CCCCCC"/>
            </w:tcBorders>
          </w:tcPr>
          <w:p w14:paraId="47725EEE" w14:textId="77777777" w:rsidR="00207637" w:rsidRDefault="00D35D21">
            <w:pPr>
              <w:jc w:val="center"/>
            </w:pPr>
            <w:r>
              <w:t>0.519</w:t>
            </w:r>
          </w:p>
        </w:tc>
      </w:tr>
      <w:tr w:rsidR="00207637" w14:paraId="39636F3A" w14:textId="77777777">
        <w:tc>
          <w:tcPr>
            <w:tcW w:w="1200" w:type="dxa"/>
            <w:tcBorders>
              <w:top w:val="single" w:sz="1" w:space="0" w:color="CCCCCC"/>
              <w:left w:val="single" w:sz="1" w:space="0" w:color="CCCCCC"/>
              <w:bottom w:val="single" w:sz="1" w:space="0" w:color="CCCCCC"/>
              <w:right w:val="single" w:sz="1" w:space="0" w:color="CCCCCC"/>
            </w:tcBorders>
          </w:tcPr>
          <w:p w14:paraId="5A231667" w14:textId="77777777" w:rsidR="00207637" w:rsidRDefault="00D35D21">
            <w:pPr>
              <w:jc w:val="center"/>
            </w:pPr>
            <w:r>
              <w:t>6</w:t>
            </w:r>
          </w:p>
        </w:tc>
        <w:tc>
          <w:tcPr>
            <w:tcW w:w="5280" w:type="dxa"/>
            <w:tcBorders>
              <w:top w:val="single" w:sz="1" w:space="0" w:color="CCCCCC"/>
              <w:left w:val="single" w:sz="1" w:space="0" w:color="CCCCCC"/>
              <w:bottom w:val="single" w:sz="1" w:space="0" w:color="CCCCCC"/>
              <w:right w:val="single" w:sz="1" w:space="0" w:color="CCCCCC"/>
            </w:tcBorders>
          </w:tcPr>
          <w:p w14:paraId="0F1F4636" w14:textId="77777777" w:rsidR="00207637" w:rsidRDefault="00D35D21">
            <w:proofErr w:type="spellStart"/>
            <w:r>
              <w:t>above_bond_size</w:t>
            </w:r>
            <w:proofErr w:type="spellEnd"/>
          </w:p>
        </w:tc>
        <w:tc>
          <w:tcPr>
            <w:tcW w:w="2880" w:type="dxa"/>
            <w:tcBorders>
              <w:top w:val="single" w:sz="1" w:space="0" w:color="CCCCCC"/>
              <w:left w:val="single" w:sz="1" w:space="0" w:color="CCCCCC"/>
              <w:bottom w:val="single" w:sz="1" w:space="0" w:color="CCCCCC"/>
              <w:right w:val="single" w:sz="1" w:space="0" w:color="CCCCCC"/>
            </w:tcBorders>
          </w:tcPr>
          <w:p w14:paraId="3DD54276" w14:textId="77777777" w:rsidR="00207637" w:rsidRDefault="00D35D21">
            <w:pPr>
              <w:jc w:val="center"/>
            </w:pPr>
            <w:r>
              <w:t>0.442</w:t>
            </w:r>
          </w:p>
        </w:tc>
      </w:tr>
      <w:tr w:rsidR="00207637" w14:paraId="71EE1B87" w14:textId="77777777">
        <w:tc>
          <w:tcPr>
            <w:tcW w:w="1200" w:type="dxa"/>
            <w:tcBorders>
              <w:top w:val="single" w:sz="1" w:space="0" w:color="CCCCCC"/>
              <w:left w:val="single" w:sz="1" w:space="0" w:color="CCCCCC"/>
              <w:bottom w:val="single" w:sz="1" w:space="0" w:color="CCCCCC"/>
              <w:right w:val="single" w:sz="1" w:space="0" w:color="CCCCCC"/>
            </w:tcBorders>
          </w:tcPr>
          <w:p w14:paraId="36AECD0D" w14:textId="77777777" w:rsidR="00207637" w:rsidRDefault="00D35D21">
            <w:pPr>
              <w:jc w:val="center"/>
            </w:pPr>
            <w:r>
              <w:t>7</w:t>
            </w:r>
          </w:p>
        </w:tc>
        <w:tc>
          <w:tcPr>
            <w:tcW w:w="5280" w:type="dxa"/>
            <w:tcBorders>
              <w:top w:val="single" w:sz="1" w:space="0" w:color="CCCCCC"/>
              <w:left w:val="single" w:sz="1" w:space="0" w:color="CCCCCC"/>
              <w:bottom w:val="single" w:sz="1" w:space="0" w:color="CCCCCC"/>
              <w:right w:val="single" w:sz="1" w:space="0" w:color="CCCCCC"/>
            </w:tcBorders>
          </w:tcPr>
          <w:p w14:paraId="6AFD426A" w14:textId="77777777" w:rsidR="00207637" w:rsidRDefault="00D35D21">
            <w:proofErr w:type="spellStart"/>
            <w:r>
              <w:t>stall_height</w:t>
            </w:r>
            <w:proofErr w:type="spellEnd"/>
          </w:p>
        </w:tc>
        <w:tc>
          <w:tcPr>
            <w:tcW w:w="2880" w:type="dxa"/>
            <w:tcBorders>
              <w:top w:val="single" w:sz="1" w:space="0" w:color="CCCCCC"/>
              <w:left w:val="single" w:sz="1" w:space="0" w:color="CCCCCC"/>
              <w:bottom w:val="single" w:sz="1" w:space="0" w:color="CCCCCC"/>
              <w:right w:val="single" w:sz="1" w:space="0" w:color="CCCCCC"/>
            </w:tcBorders>
          </w:tcPr>
          <w:p w14:paraId="10E9BC6B" w14:textId="77777777" w:rsidR="00207637" w:rsidRDefault="00D35D21">
            <w:pPr>
              <w:jc w:val="center"/>
            </w:pPr>
            <w:r>
              <w:t>0.440</w:t>
            </w:r>
          </w:p>
        </w:tc>
      </w:tr>
      <w:tr w:rsidR="00207637" w14:paraId="76092099" w14:textId="77777777">
        <w:tc>
          <w:tcPr>
            <w:tcW w:w="1200" w:type="dxa"/>
            <w:tcBorders>
              <w:top w:val="single" w:sz="1" w:space="0" w:color="CCCCCC"/>
              <w:left w:val="single" w:sz="1" w:space="0" w:color="CCCCCC"/>
              <w:bottom w:val="single" w:sz="1" w:space="0" w:color="CCCCCC"/>
              <w:right w:val="single" w:sz="1" w:space="0" w:color="CCCCCC"/>
            </w:tcBorders>
          </w:tcPr>
          <w:p w14:paraId="56A2EEE5" w14:textId="77777777" w:rsidR="00207637" w:rsidRDefault="00D35D21">
            <w:pPr>
              <w:jc w:val="center"/>
            </w:pPr>
            <w:r>
              <w:t>8</w:t>
            </w:r>
          </w:p>
        </w:tc>
        <w:tc>
          <w:tcPr>
            <w:tcW w:w="5280" w:type="dxa"/>
            <w:tcBorders>
              <w:top w:val="single" w:sz="1" w:space="0" w:color="CCCCCC"/>
              <w:left w:val="single" w:sz="1" w:space="0" w:color="CCCCCC"/>
              <w:bottom w:val="single" w:sz="1" w:space="0" w:color="CCCCCC"/>
              <w:right w:val="single" w:sz="1" w:space="0" w:color="CCCCCC"/>
            </w:tcBorders>
          </w:tcPr>
          <w:p w14:paraId="43B3B3EA" w14:textId="77777777" w:rsidR="00207637" w:rsidRDefault="00D35D21">
            <w:proofErr w:type="spellStart"/>
            <w:r>
              <w:t>above_lwc</w:t>
            </w:r>
            <w:proofErr w:type="spellEnd"/>
          </w:p>
        </w:tc>
        <w:tc>
          <w:tcPr>
            <w:tcW w:w="2880" w:type="dxa"/>
            <w:tcBorders>
              <w:top w:val="single" w:sz="1" w:space="0" w:color="CCCCCC"/>
              <w:left w:val="single" w:sz="1" w:space="0" w:color="CCCCCC"/>
              <w:bottom w:val="single" w:sz="1" w:space="0" w:color="CCCCCC"/>
              <w:right w:val="single" w:sz="1" w:space="0" w:color="CCCCCC"/>
            </w:tcBorders>
          </w:tcPr>
          <w:p w14:paraId="6009E0FD" w14:textId="77777777" w:rsidR="00207637" w:rsidRDefault="00D35D21">
            <w:pPr>
              <w:jc w:val="center"/>
            </w:pPr>
            <w:r>
              <w:t>0.423</w:t>
            </w:r>
          </w:p>
        </w:tc>
      </w:tr>
      <w:tr w:rsidR="00207637" w14:paraId="6CC968F3" w14:textId="77777777">
        <w:tc>
          <w:tcPr>
            <w:tcW w:w="1200" w:type="dxa"/>
            <w:tcBorders>
              <w:top w:val="single" w:sz="1" w:space="0" w:color="CCCCCC"/>
              <w:left w:val="single" w:sz="1" w:space="0" w:color="CCCCCC"/>
              <w:bottom w:val="single" w:sz="1" w:space="0" w:color="CCCCCC"/>
              <w:right w:val="single" w:sz="1" w:space="0" w:color="CCCCCC"/>
            </w:tcBorders>
          </w:tcPr>
          <w:p w14:paraId="573493DA" w14:textId="77777777" w:rsidR="00207637" w:rsidRDefault="00D35D21">
            <w:pPr>
              <w:jc w:val="center"/>
            </w:pPr>
            <w:r>
              <w:t>9</w:t>
            </w:r>
          </w:p>
        </w:tc>
        <w:tc>
          <w:tcPr>
            <w:tcW w:w="5280" w:type="dxa"/>
            <w:tcBorders>
              <w:top w:val="single" w:sz="1" w:space="0" w:color="CCCCCC"/>
              <w:left w:val="single" w:sz="1" w:space="0" w:color="CCCCCC"/>
              <w:bottom w:val="single" w:sz="1" w:space="0" w:color="CCCCCC"/>
              <w:right w:val="single" w:sz="1" w:space="0" w:color="CCCCCC"/>
            </w:tcBorders>
          </w:tcPr>
          <w:p w14:paraId="1718FF38" w14:textId="77777777" w:rsidR="00207637" w:rsidRDefault="00D35D21">
            <w:proofErr w:type="spellStart"/>
            <w:r>
              <w:t>above_density</w:t>
            </w:r>
            <w:proofErr w:type="spellEnd"/>
          </w:p>
        </w:tc>
        <w:tc>
          <w:tcPr>
            <w:tcW w:w="2880" w:type="dxa"/>
            <w:tcBorders>
              <w:top w:val="single" w:sz="1" w:space="0" w:color="CCCCCC"/>
              <w:left w:val="single" w:sz="1" w:space="0" w:color="CCCCCC"/>
              <w:bottom w:val="single" w:sz="1" w:space="0" w:color="CCCCCC"/>
              <w:right w:val="single" w:sz="1" w:space="0" w:color="CCCCCC"/>
            </w:tcBorders>
          </w:tcPr>
          <w:p w14:paraId="3503C5D6" w14:textId="77777777" w:rsidR="00207637" w:rsidRDefault="00D35D21">
            <w:pPr>
              <w:jc w:val="center"/>
            </w:pPr>
            <w:r>
              <w:t>0.354</w:t>
            </w:r>
          </w:p>
        </w:tc>
      </w:tr>
      <w:tr w:rsidR="00207637" w14:paraId="0E768CAC" w14:textId="77777777">
        <w:tc>
          <w:tcPr>
            <w:tcW w:w="1200" w:type="dxa"/>
            <w:tcBorders>
              <w:top w:val="single" w:sz="1" w:space="0" w:color="CCCCCC"/>
              <w:left w:val="single" w:sz="1" w:space="0" w:color="CCCCCC"/>
              <w:bottom w:val="single" w:sz="1" w:space="0" w:color="CCCCCC"/>
              <w:right w:val="single" w:sz="1" w:space="0" w:color="CCCCCC"/>
            </w:tcBorders>
          </w:tcPr>
          <w:p w14:paraId="05CC13B0" w14:textId="77777777" w:rsidR="00207637" w:rsidRDefault="00D35D21">
            <w:pPr>
              <w:jc w:val="center"/>
            </w:pPr>
            <w:r>
              <w:t>10</w:t>
            </w:r>
          </w:p>
        </w:tc>
        <w:tc>
          <w:tcPr>
            <w:tcW w:w="5280" w:type="dxa"/>
            <w:tcBorders>
              <w:top w:val="single" w:sz="1" w:space="0" w:color="CCCCCC"/>
              <w:left w:val="single" w:sz="1" w:space="0" w:color="CCCCCC"/>
              <w:bottom w:val="single" w:sz="1" w:space="0" w:color="CCCCCC"/>
              <w:right w:val="single" w:sz="1" w:space="0" w:color="CCCCCC"/>
            </w:tcBorders>
          </w:tcPr>
          <w:p w14:paraId="011BFF83" w14:textId="77777777" w:rsidR="00207637" w:rsidRDefault="00D35D21">
            <w:proofErr w:type="spellStart"/>
            <w:r>
              <w:t>below_bond_size</w:t>
            </w:r>
            <w:proofErr w:type="spellEnd"/>
          </w:p>
        </w:tc>
        <w:tc>
          <w:tcPr>
            <w:tcW w:w="2880" w:type="dxa"/>
            <w:tcBorders>
              <w:top w:val="single" w:sz="1" w:space="0" w:color="CCCCCC"/>
              <w:left w:val="single" w:sz="1" w:space="0" w:color="CCCCCC"/>
              <w:bottom w:val="single" w:sz="1" w:space="0" w:color="CCCCCC"/>
              <w:right w:val="single" w:sz="1" w:space="0" w:color="CCCCCC"/>
            </w:tcBorders>
          </w:tcPr>
          <w:p w14:paraId="2A25FD63" w14:textId="77777777" w:rsidR="00207637" w:rsidRDefault="00D35D21">
            <w:pPr>
              <w:jc w:val="center"/>
            </w:pPr>
            <w:r>
              <w:t>0.326</w:t>
            </w:r>
          </w:p>
        </w:tc>
      </w:tr>
    </w:tbl>
    <w:p w14:paraId="74FF48F5" w14:textId="77777777" w:rsidR="00207637" w:rsidRDefault="00207637">
      <w:pPr>
        <w:spacing w:after="240"/>
      </w:pPr>
    </w:p>
    <w:p w14:paraId="009ED67B" w14:textId="77777777" w:rsidR="00207637" w:rsidRDefault="00D35D21">
      <w:pPr>
        <w:pStyle w:val="Heading2"/>
      </w:pPr>
      <w:r>
        <w:t>7.2 Feature Importance Comparison</w:t>
      </w:r>
    </w:p>
    <w:p w14:paraId="6896E51A" w14:textId="05FA7973" w:rsidR="00207637" w:rsidRDefault="00D35D21">
      <w:pPr>
        <w:spacing w:after="180"/>
      </w:pPr>
      <w:r>
        <w:t xml:space="preserve">Figure </w:t>
      </w:r>
      <w:r w:rsidR="00B8101D">
        <w:t>2</w:t>
      </w:r>
      <w:r>
        <w:t xml:space="preserve"> compares three different </w:t>
      </w:r>
      <w:proofErr w:type="gramStart"/>
      <w:r>
        <w:t>feature</w:t>
      </w:r>
      <w:proofErr w:type="gramEnd"/>
      <w:r>
        <w:t xml:space="preserve"> importance metrics: built-in (gain-based), permutation importance, and SHAP values. The three methods provide complementary perspectives on feature relevance.</w:t>
      </w:r>
    </w:p>
    <w:p w14:paraId="7FE00E07" w14:textId="77777777" w:rsidR="00207637" w:rsidRDefault="00D35D21">
      <w:pPr>
        <w:spacing w:after="120"/>
        <w:jc w:val="center"/>
      </w:pPr>
      <w:r>
        <w:rPr>
          <w:noProof/>
        </w:rPr>
        <w:drawing>
          <wp:inline distT="0" distB="0" distL="0" distR="0" wp14:anchorId="211F43B8" wp14:editId="4775A257">
            <wp:extent cx="5715000" cy="1714500"/>
            <wp:effectExtent l="0" t="0" r="0" b="0"/>
            <wp:docPr id="1" name="Feature Importance" descr="Comparison of built-in, permutation, and SHAP feature importance metrics" title="Feature Import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714500"/>
                    </a:xfrm>
                    <a:prstGeom prst="rect">
                      <a:avLst/>
                    </a:prstGeom>
                  </pic:spPr>
                </pic:pic>
              </a:graphicData>
            </a:graphic>
          </wp:inline>
        </w:drawing>
      </w:r>
    </w:p>
    <w:p w14:paraId="51872A50" w14:textId="4C5CCD0A" w:rsidR="00207637" w:rsidRDefault="00D35D21" w:rsidP="00B8101D">
      <w:pPr>
        <w:spacing w:after="240"/>
      </w:pPr>
      <w:r>
        <w:rPr>
          <w:i/>
          <w:iCs/>
          <w:sz w:val="20"/>
          <w:szCs w:val="20"/>
        </w:rPr>
        <w:t xml:space="preserve">Figure </w:t>
      </w:r>
      <w:r w:rsidR="00B8101D">
        <w:rPr>
          <w:i/>
          <w:iCs/>
          <w:sz w:val="20"/>
          <w:szCs w:val="20"/>
        </w:rPr>
        <w:t>2</w:t>
      </w:r>
      <w:r>
        <w:rPr>
          <w:i/>
          <w:iCs/>
          <w:sz w:val="20"/>
          <w:szCs w:val="20"/>
        </w:rPr>
        <w:t xml:space="preserve">: Comparison of feature importance metrics. Left: Built-in (gain-based) importance shows </w:t>
      </w:r>
      <w:proofErr w:type="spellStart"/>
      <w:r>
        <w:rPr>
          <w:i/>
          <w:iCs/>
          <w:sz w:val="20"/>
          <w:szCs w:val="20"/>
        </w:rPr>
        <w:t>interface_layer_distance</w:t>
      </w:r>
      <w:proofErr w:type="spellEnd"/>
      <w:r>
        <w:rPr>
          <w:i/>
          <w:iCs/>
          <w:sz w:val="20"/>
          <w:szCs w:val="20"/>
        </w:rPr>
        <w:t xml:space="preserve"> as dominant. Center: Permutation importance ranks </w:t>
      </w:r>
      <w:proofErr w:type="spellStart"/>
      <w:r>
        <w:rPr>
          <w:i/>
          <w:iCs/>
          <w:sz w:val="20"/>
          <w:szCs w:val="20"/>
        </w:rPr>
        <w:t>interface_stress_ratio</w:t>
      </w:r>
      <w:proofErr w:type="spellEnd"/>
      <w:r>
        <w:rPr>
          <w:i/>
          <w:iCs/>
          <w:sz w:val="20"/>
          <w:szCs w:val="20"/>
        </w:rPr>
        <w:t xml:space="preserve"> highest. Right: SHAP values confirm </w:t>
      </w:r>
      <w:proofErr w:type="spellStart"/>
      <w:r>
        <w:rPr>
          <w:i/>
          <w:iCs/>
          <w:sz w:val="20"/>
          <w:szCs w:val="20"/>
        </w:rPr>
        <w:t>interface_stress_ratio</w:t>
      </w:r>
      <w:proofErr w:type="spellEnd"/>
      <w:r>
        <w:rPr>
          <w:i/>
          <w:iCs/>
          <w:sz w:val="20"/>
          <w:szCs w:val="20"/>
        </w:rPr>
        <w:t xml:space="preserve"> and </w:t>
      </w:r>
      <w:proofErr w:type="spellStart"/>
      <w:r>
        <w:rPr>
          <w:i/>
          <w:iCs/>
          <w:sz w:val="20"/>
          <w:szCs w:val="20"/>
        </w:rPr>
        <w:t>interface_layer_distance</w:t>
      </w:r>
      <w:proofErr w:type="spellEnd"/>
      <w:r>
        <w:rPr>
          <w:i/>
          <w:iCs/>
          <w:sz w:val="20"/>
          <w:szCs w:val="20"/>
        </w:rPr>
        <w:t xml:space="preserve"> as the top two predictors.</w:t>
      </w:r>
    </w:p>
    <w:p w14:paraId="496F1DFF" w14:textId="77777777" w:rsidR="00207637" w:rsidRDefault="00D35D21">
      <w:pPr>
        <w:spacing w:after="180"/>
      </w:pPr>
      <w:r>
        <w:t xml:space="preserve">Notably, the three methods show some disagreement in rankings. The built-in importance emphasizes </w:t>
      </w:r>
      <w:proofErr w:type="spellStart"/>
      <w:r>
        <w:t>interface_layer_distance</w:t>
      </w:r>
      <w:proofErr w:type="spellEnd"/>
      <w:r>
        <w:t xml:space="preserve"> and </w:t>
      </w:r>
      <w:proofErr w:type="spellStart"/>
      <w:r>
        <w:t>below_lwc</w:t>
      </w:r>
      <w:proofErr w:type="spellEnd"/>
      <w:r>
        <w:t xml:space="preserve">, while permutation and SHAP importance converge on </w:t>
      </w:r>
      <w:proofErr w:type="spellStart"/>
      <w:r>
        <w:t>interface_stress_ratio</w:t>
      </w:r>
      <w:proofErr w:type="spellEnd"/>
      <w:r>
        <w:t xml:space="preserve"> and </w:t>
      </w:r>
      <w:proofErr w:type="spellStart"/>
      <w:r>
        <w:t>above_stress</w:t>
      </w:r>
      <w:proofErr w:type="spellEnd"/>
      <w:r>
        <w:t xml:space="preserve"> as top features. This discrepancy highlights the value of using multiple importance metrics: built-in importance measures how often a feature is used for splits, while permutation and SHAP importance measure actual predictive contribution. SHAP values are considered the most reliable as they account for feature interactions and provide consistent attributions.</w:t>
      </w:r>
    </w:p>
    <w:p w14:paraId="46DE9ECC" w14:textId="77777777" w:rsidR="00207637" w:rsidRDefault="00D35D21">
      <w:pPr>
        <w:pStyle w:val="Heading2"/>
      </w:pPr>
      <w:r>
        <w:t>7.3 SHAP Summary Analysis</w:t>
      </w:r>
    </w:p>
    <w:p w14:paraId="657EC5CF" w14:textId="2A45EC03" w:rsidR="00207637" w:rsidRDefault="00D35D21">
      <w:pPr>
        <w:spacing w:after="180"/>
      </w:pPr>
      <w:r>
        <w:t xml:space="preserve">Figure </w:t>
      </w:r>
      <w:r w:rsidR="00B8101D">
        <w:t>3</w:t>
      </w:r>
      <w:r>
        <w:t xml:space="preserve"> presents a </w:t>
      </w:r>
      <w:proofErr w:type="spellStart"/>
      <w:r>
        <w:t>beeswarm</w:t>
      </w:r>
      <w:proofErr w:type="spellEnd"/>
      <w:r>
        <w:t xml:space="preserve"> plot showing SHAP values for individual predictions. Each dot represents a sample, with horizontal position indicating impact on prediction (positive = toward stall) and color indicating feature value (red = high, blue = low). This visualization reveals not just importance but the direction and nature of feature effects.</w:t>
      </w:r>
    </w:p>
    <w:p w14:paraId="4B777DE6" w14:textId="77777777" w:rsidR="00207637" w:rsidRDefault="00D35D21">
      <w:pPr>
        <w:spacing w:after="120"/>
        <w:jc w:val="center"/>
      </w:pPr>
      <w:r>
        <w:rPr>
          <w:noProof/>
        </w:rPr>
        <w:lastRenderedPageBreak/>
        <w:drawing>
          <wp:inline distT="0" distB="0" distL="0" distR="0" wp14:anchorId="06E1BBCD" wp14:editId="1CEE52EF">
            <wp:extent cx="4286250" cy="5143500"/>
            <wp:effectExtent l="0" t="0" r="0" b="0"/>
            <wp:docPr id="1601749155" name="SHAP Summary" descr="Beeswarm plot showing SHAP values for top features" title="SHAP Summary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5143500"/>
                    </a:xfrm>
                    <a:prstGeom prst="rect">
                      <a:avLst/>
                    </a:prstGeom>
                  </pic:spPr>
                </pic:pic>
              </a:graphicData>
            </a:graphic>
          </wp:inline>
        </w:drawing>
      </w:r>
    </w:p>
    <w:p w14:paraId="4225C961" w14:textId="4B9D8D93" w:rsidR="00207637" w:rsidRDefault="00D35D21" w:rsidP="00B8101D">
      <w:pPr>
        <w:spacing w:after="240"/>
      </w:pPr>
      <w:r>
        <w:rPr>
          <w:i/>
          <w:iCs/>
          <w:sz w:val="20"/>
          <w:szCs w:val="20"/>
        </w:rPr>
        <w:t xml:space="preserve">Figure </w:t>
      </w:r>
      <w:r w:rsidR="00B8101D">
        <w:rPr>
          <w:i/>
          <w:iCs/>
          <w:sz w:val="20"/>
          <w:szCs w:val="20"/>
        </w:rPr>
        <w:t>3</w:t>
      </w:r>
      <w:r>
        <w:rPr>
          <w:i/>
          <w:iCs/>
          <w:sz w:val="20"/>
          <w:szCs w:val="20"/>
        </w:rPr>
        <w:t xml:space="preserve">: SHAP </w:t>
      </w:r>
      <w:proofErr w:type="spellStart"/>
      <w:r>
        <w:rPr>
          <w:i/>
          <w:iCs/>
          <w:sz w:val="20"/>
          <w:szCs w:val="20"/>
        </w:rPr>
        <w:t>beeswarm</w:t>
      </w:r>
      <w:proofErr w:type="spellEnd"/>
      <w:r>
        <w:rPr>
          <w:i/>
          <w:iCs/>
          <w:sz w:val="20"/>
          <w:szCs w:val="20"/>
        </w:rPr>
        <w:t xml:space="preserve"> plot for top 20 features. Each dot represents a validation sample (n=200). Horizontal position shows SHAP value (impact on model output), color indicates feature value (red=high, blue=low). Features are ordered by mean absolute SHAP value. The </w:t>
      </w:r>
      <w:proofErr w:type="gramStart"/>
      <w:r>
        <w:rPr>
          <w:i/>
          <w:iCs/>
          <w:sz w:val="20"/>
          <w:szCs w:val="20"/>
        </w:rPr>
        <w:t>wide spread</w:t>
      </w:r>
      <w:proofErr w:type="gramEnd"/>
      <w:r>
        <w:rPr>
          <w:i/>
          <w:iCs/>
          <w:sz w:val="20"/>
          <w:szCs w:val="20"/>
        </w:rPr>
        <w:t xml:space="preserve"> for </w:t>
      </w:r>
      <w:proofErr w:type="spellStart"/>
      <w:r>
        <w:rPr>
          <w:i/>
          <w:iCs/>
          <w:sz w:val="20"/>
          <w:szCs w:val="20"/>
        </w:rPr>
        <w:t>interface_stress_ratio</w:t>
      </w:r>
      <w:proofErr w:type="spellEnd"/>
      <w:r>
        <w:rPr>
          <w:i/>
          <w:iCs/>
          <w:sz w:val="20"/>
          <w:szCs w:val="20"/>
        </w:rPr>
        <w:t xml:space="preserve"> (±7) demonstrates its dominant influence on predictions.</w:t>
      </w:r>
    </w:p>
    <w:p w14:paraId="3EAB6C80" w14:textId="77777777" w:rsidR="00207637" w:rsidRDefault="00D35D21">
      <w:pPr>
        <w:spacing w:after="180"/>
      </w:pPr>
      <w:r>
        <w:rPr>
          <w:b/>
          <w:bCs/>
        </w:rPr>
        <w:t>Key observations from the SHAP summary plot:</w:t>
      </w:r>
    </w:p>
    <w:p w14:paraId="516E314E" w14:textId="77777777" w:rsidR="00207637" w:rsidRDefault="00D35D21">
      <w:pPr>
        <w:pStyle w:val="ListParagraph"/>
        <w:numPr>
          <w:ilvl w:val="0"/>
          <w:numId w:val="2"/>
        </w:numPr>
      </w:pPr>
      <w:proofErr w:type="spellStart"/>
      <w:r>
        <w:rPr>
          <w:b/>
          <w:bCs/>
        </w:rPr>
        <w:t>interface_stress_ratio</w:t>
      </w:r>
      <w:proofErr w:type="spellEnd"/>
      <w:r>
        <w:rPr>
          <w:b/>
          <w:bCs/>
        </w:rPr>
        <w:t xml:space="preserve">: </w:t>
      </w:r>
      <w:r>
        <w:t>Shows the widest SHAP spread (-5 to +7), with complex non-linear patterns where both high and low values appear on both sides of zero.</w:t>
      </w:r>
    </w:p>
    <w:p w14:paraId="0B667021" w14:textId="77777777" w:rsidR="00207637" w:rsidRDefault="00D35D21">
      <w:pPr>
        <w:pStyle w:val="ListParagraph"/>
        <w:numPr>
          <w:ilvl w:val="0"/>
          <w:numId w:val="2"/>
        </w:numPr>
      </w:pPr>
      <w:proofErr w:type="spellStart"/>
      <w:r>
        <w:rPr>
          <w:b/>
          <w:bCs/>
        </w:rPr>
        <w:t>interface_layer_distance</w:t>
      </w:r>
      <w:proofErr w:type="spellEnd"/>
      <w:r>
        <w:rPr>
          <w:b/>
          <w:bCs/>
        </w:rPr>
        <w:t xml:space="preserve">: </w:t>
      </w:r>
      <w:r>
        <w:t>Exhibits a clear monotonic relationship—larger distances (red) consistently increase stall probability (positive SHAP).</w:t>
      </w:r>
    </w:p>
    <w:p w14:paraId="73E85FF3" w14:textId="77777777" w:rsidR="00207637" w:rsidRDefault="00D35D21">
      <w:pPr>
        <w:pStyle w:val="ListParagraph"/>
        <w:numPr>
          <w:ilvl w:val="0"/>
          <w:numId w:val="2"/>
        </w:numPr>
      </w:pPr>
      <w:proofErr w:type="spellStart"/>
      <w:r>
        <w:rPr>
          <w:b/>
          <w:bCs/>
        </w:rPr>
        <w:t>above_stress</w:t>
      </w:r>
      <w:proofErr w:type="spellEnd"/>
      <w:r>
        <w:rPr>
          <w:b/>
          <w:bCs/>
        </w:rPr>
        <w:t xml:space="preserve">: </w:t>
      </w:r>
      <w:r>
        <w:t>High stress values (red) push toward negative SHAP (no stall), while low values (blue) push toward positive SHAP (stall).</w:t>
      </w:r>
    </w:p>
    <w:p w14:paraId="34B5F5CC" w14:textId="77777777" w:rsidR="00207637" w:rsidRDefault="00D35D21">
      <w:pPr>
        <w:pStyle w:val="ListParagraph"/>
        <w:numPr>
          <w:ilvl w:val="0"/>
          <w:numId w:val="2"/>
        </w:numPr>
      </w:pPr>
      <w:proofErr w:type="spellStart"/>
      <w:r>
        <w:rPr>
          <w:b/>
          <w:bCs/>
        </w:rPr>
        <w:t>above_temperature</w:t>
      </w:r>
      <w:proofErr w:type="spellEnd"/>
      <w:r>
        <w:rPr>
          <w:b/>
          <w:bCs/>
        </w:rPr>
        <w:t xml:space="preserve">: </w:t>
      </w:r>
      <w:r>
        <w:t>Higher temperatures (red) are associated with positive SHAP values, consistent with near-0°C conditions enabling water movement.</w:t>
      </w:r>
    </w:p>
    <w:p w14:paraId="43A36B26" w14:textId="77777777" w:rsidR="00207637" w:rsidRDefault="00D35D21">
      <w:pPr>
        <w:pStyle w:val="ListParagraph"/>
        <w:numPr>
          <w:ilvl w:val="0"/>
          <w:numId w:val="2"/>
        </w:numPr>
        <w:spacing w:after="240"/>
      </w:pPr>
      <w:proofErr w:type="spellStart"/>
      <w:r>
        <w:rPr>
          <w:b/>
          <w:bCs/>
        </w:rPr>
        <w:t>below_lwc</w:t>
      </w:r>
      <w:proofErr w:type="spellEnd"/>
      <w:r>
        <w:rPr>
          <w:b/>
          <w:bCs/>
        </w:rPr>
        <w:t xml:space="preserve">: </w:t>
      </w:r>
      <w:r>
        <w:t>Higher LWC in the lower layer (red) decreases stall probability (negative SHAP), as pre-existing wetness reduces hydraulic discontinuity.</w:t>
      </w:r>
    </w:p>
    <w:p w14:paraId="6F527B0D" w14:textId="77777777" w:rsidR="00207637" w:rsidRDefault="00D35D21">
      <w:pPr>
        <w:pStyle w:val="Heading2"/>
      </w:pPr>
      <w:r>
        <w:t>7.4 Physical Interpretation of Key Features</w:t>
      </w:r>
    </w:p>
    <w:p w14:paraId="4A47914A" w14:textId="77777777" w:rsidR="00207637" w:rsidRDefault="00D35D21">
      <w:pPr>
        <w:spacing w:after="180"/>
      </w:pPr>
      <w:r>
        <w:rPr>
          <w:b/>
          <w:bCs/>
        </w:rPr>
        <w:t>Interface Stress Ratio (Mean |SHAP| = 3.061)</w:t>
      </w:r>
    </w:p>
    <w:p w14:paraId="369DAF8E" w14:textId="77777777" w:rsidR="00207637" w:rsidRDefault="00D35D21">
      <w:pPr>
        <w:spacing w:after="180"/>
      </w:pPr>
      <w:r>
        <w:lastRenderedPageBreak/>
        <w:t>This is the most important predictor by a large margin. The stress ratio captures the mechanical discontinuity at the interface. High stress ratios indicate significant structural differences between layers, which correlate with capillary barriers. The SHAP summary plot shows that both high and low values of this feature strongly influence predictions, suggesting non-linear relationships with stall probability.</w:t>
      </w:r>
    </w:p>
    <w:p w14:paraId="5A64B519" w14:textId="77777777" w:rsidR="00207637" w:rsidRDefault="00D35D21">
      <w:pPr>
        <w:spacing w:after="180"/>
      </w:pPr>
      <w:r>
        <w:rPr>
          <w:b/>
          <w:bCs/>
        </w:rPr>
        <w:t>Interface Layer Distance (Mean |SHAP| = 2.275)</w:t>
      </w:r>
    </w:p>
    <w:p w14:paraId="64846A1B" w14:textId="77777777" w:rsidR="00207637" w:rsidRDefault="00D35D21">
      <w:pPr>
        <w:spacing w:after="180"/>
      </w:pPr>
      <w:r>
        <w:t>The physical thickness between layer centers is the second most important feature. Larger distances between layers (thicker layers) create more pronounced discontinuities and longer paths for water to traverse, increasing the likelihood of stalling. The SHAP plot indicates that larger distances (red/high values) push predictions toward stalling (positive SHAP).</w:t>
      </w:r>
    </w:p>
    <w:p w14:paraId="46E76879" w14:textId="77777777" w:rsidR="00207637" w:rsidRDefault="00D35D21">
      <w:pPr>
        <w:spacing w:after="180"/>
      </w:pPr>
      <w:r>
        <w:rPr>
          <w:b/>
          <w:bCs/>
        </w:rPr>
        <w:t>Above Stress (Mean |SHAP| = 2.091)</w:t>
      </w:r>
    </w:p>
    <w:p w14:paraId="369FBB8E" w14:textId="77777777" w:rsidR="00207637" w:rsidRDefault="00D35D21">
      <w:pPr>
        <w:spacing w:after="180"/>
      </w:pPr>
      <w:r>
        <w:t>The mechanical stress in the layer above the interface is highly predictive. Higher stress values typically indicate denser, more compacted snow that has different hydraulic properties than the layer below. Interestingly, both high and low values appear to influence predictions differently, capturing complex mechanical interactions.</w:t>
      </w:r>
    </w:p>
    <w:p w14:paraId="28EB0902" w14:textId="77777777" w:rsidR="00207637" w:rsidRDefault="00D35D21">
      <w:pPr>
        <w:spacing w:after="180"/>
      </w:pPr>
      <w:r>
        <w:rPr>
          <w:b/>
          <w:bCs/>
        </w:rPr>
        <w:t>Temperature and LWC Features</w:t>
      </w:r>
    </w:p>
    <w:p w14:paraId="5BC56412" w14:textId="77777777" w:rsidR="00207637" w:rsidRDefault="00D35D21">
      <w:pPr>
        <w:spacing w:after="180"/>
      </w:pPr>
      <w:proofErr w:type="spellStart"/>
      <w:r>
        <w:t>Above_temperature</w:t>
      </w:r>
      <w:proofErr w:type="spellEnd"/>
      <w:r>
        <w:t xml:space="preserve">, </w:t>
      </w:r>
      <w:proofErr w:type="spellStart"/>
      <w:r>
        <w:t>below_lwc</w:t>
      </w:r>
      <w:proofErr w:type="spellEnd"/>
      <w:r>
        <w:t xml:space="preserve">, and </w:t>
      </w:r>
      <w:proofErr w:type="spellStart"/>
      <w:r>
        <w:t>above_lwc</w:t>
      </w:r>
      <w:proofErr w:type="spellEnd"/>
      <w:r>
        <w:t xml:space="preserve"> all appear in the top 10, confirming that thermal state and existing water content are important for predicting stalls. Warmer temperatures (closer to 0°C) facilitate water movement, while existing LWC affects the hydraulic conductivity of the layers.</w:t>
      </w:r>
    </w:p>
    <w:p w14:paraId="3E9CF848" w14:textId="77777777" w:rsidR="00207637" w:rsidRDefault="00D35D21">
      <w:pPr>
        <w:spacing w:after="180"/>
      </w:pPr>
      <w:r>
        <w:rPr>
          <w:b/>
          <w:bCs/>
        </w:rPr>
        <w:t>Bond Size and Grain Properties</w:t>
      </w:r>
    </w:p>
    <w:p w14:paraId="26EDB1A8" w14:textId="77777777" w:rsidR="00207637" w:rsidRDefault="00D35D21">
      <w:pPr>
        <w:spacing w:after="240"/>
      </w:pPr>
      <w:proofErr w:type="spellStart"/>
      <w:r>
        <w:t>Above_bond_size</w:t>
      </w:r>
      <w:proofErr w:type="spellEnd"/>
      <w:r>
        <w:t xml:space="preserve"> and </w:t>
      </w:r>
      <w:proofErr w:type="spellStart"/>
      <w:r>
        <w:t>below_bond_size</w:t>
      </w:r>
      <w:proofErr w:type="spellEnd"/>
      <w:r>
        <w:t xml:space="preserve"> appear prominently, as do various grain size metrics (</w:t>
      </w:r>
      <w:proofErr w:type="spellStart"/>
      <w:r>
        <w:t>grain_size_difference</w:t>
      </w:r>
      <w:proofErr w:type="spellEnd"/>
      <w:r>
        <w:t xml:space="preserve">, </w:t>
      </w:r>
      <w:proofErr w:type="spellStart"/>
      <w:r>
        <w:t>grain_size_gradient</w:t>
      </w:r>
      <w:proofErr w:type="spellEnd"/>
      <w:r>
        <w:t xml:space="preserve">, </w:t>
      </w:r>
      <w:proofErr w:type="spellStart"/>
      <w:r>
        <w:t>grain_size_ratio</w:t>
      </w:r>
      <w:proofErr w:type="spellEnd"/>
      <w:r>
        <w:t>). These microstructural properties directly influence the pore space characteristics and capillary forces that govern water flow through the snowpack. Differences in grain and bond sizes between layers create the hydraulic discontinuities that cause stalls.</w:t>
      </w:r>
    </w:p>
    <w:p w14:paraId="07C54929" w14:textId="77777777" w:rsidR="00207637" w:rsidRDefault="00D35D21">
      <w:pPr>
        <w:pStyle w:val="Heading2"/>
      </w:pPr>
      <w:r>
        <w:t>7.3 Feature Selection Results</w:t>
      </w:r>
    </w:p>
    <w:p w14:paraId="3694562E" w14:textId="77777777" w:rsidR="00207637" w:rsidRDefault="00D35D21">
      <w:pPr>
        <w:spacing w:after="180"/>
      </w:pPr>
      <w:r>
        <w:t>Using SHAP-based feature selection, the model was retrained with only the top 32 features (30 by SHAP importance plus 6 domain-critical features). The reduced model achieved:</w:t>
      </w:r>
    </w:p>
    <w:p w14:paraId="73BAE399" w14:textId="77777777" w:rsidR="00207637" w:rsidRDefault="00D35D21">
      <w:pPr>
        <w:pStyle w:val="ListParagraph"/>
        <w:numPr>
          <w:ilvl w:val="0"/>
          <w:numId w:val="2"/>
        </w:numPr>
      </w:pPr>
      <w:r>
        <w:t>ROC-AUC of 0.9936 (vs. 0.9938 with all 76 features)</w:t>
      </w:r>
    </w:p>
    <w:p w14:paraId="63BA49F5" w14:textId="77777777" w:rsidR="00207637" w:rsidRDefault="00D35D21">
      <w:pPr>
        <w:pStyle w:val="ListParagraph"/>
        <w:numPr>
          <w:ilvl w:val="0"/>
          <w:numId w:val="2"/>
        </w:numPr>
      </w:pPr>
      <w:r>
        <w:t>58% reduction in feature count with minimal performance loss</w:t>
      </w:r>
    </w:p>
    <w:p w14:paraId="7CB43310" w14:textId="77777777" w:rsidR="00207637" w:rsidRDefault="00D35D21">
      <w:pPr>
        <w:pStyle w:val="ListParagraph"/>
        <w:numPr>
          <w:ilvl w:val="0"/>
          <w:numId w:val="2"/>
        </w:numPr>
        <w:spacing w:after="240"/>
      </w:pPr>
      <w:r>
        <w:t>Better interpretability and faster inference time</w:t>
      </w:r>
    </w:p>
    <w:p w14:paraId="2817DEB5" w14:textId="77777777" w:rsidR="00207637" w:rsidRDefault="00D35D21">
      <w:pPr>
        <w:pStyle w:val="Heading1"/>
      </w:pPr>
      <w:r>
        <w:t>8. Discussion and Conclusions</w:t>
      </w:r>
    </w:p>
    <w:p w14:paraId="36C77CD4" w14:textId="77777777" w:rsidR="00207637" w:rsidRDefault="00D35D21">
      <w:pPr>
        <w:pStyle w:val="Heading2"/>
      </w:pPr>
      <w:r>
        <w:t>8.1 Key Findings</w:t>
      </w:r>
    </w:p>
    <w:p w14:paraId="1E0C97E6" w14:textId="77777777" w:rsidR="00207637" w:rsidRDefault="00D35D21">
      <w:pPr>
        <w:spacing w:after="180"/>
      </w:pPr>
      <w:r>
        <w:t>This work demonstrates that machine learning can effectively predict wetting front stalls in snowpack with high accuracy. The key findings include:</w:t>
      </w:r>
    </w:p>
    <w:p w14:paraId="642C25F3" w14:textId="77777777" w:rsidR="00207637" w:rsidRDefault="00D35D21">
      <w:pPr>
        <w:pStyle w:val="ListParagraph"/>
        <w:numPr>
          <w:ilvl w:val="0"/>
          <w:numId w:val="3"/>
        </w:numPr>
      </w:pPr>
      <w:r>
        <w:rPr>
          <w:b/>
          <w:bCs/>
        </w:rPr>
        <w:lastRenderedPageBreak/>
        <w:t xml:space="preserve">Mechanical properties dominate: </w:t>
      </w:r>
      <w:r>
        <w:t>Interface stress characteristics predict stalls more effectively than traditional metrics like grain type or density alone.</w:t>
      </w:r>
    </w:p>
    <w:p w14:paraId="0CB8BB7D" w14:textId="77777777" w:rsidR="00207637" w:rsidRDefault="00D35D21">
      <w:pPr>
        <w:pStyle w:val="ListParagraph"/>
        <w:numPr>
          <w:ilvl w:val="0"/>
          <w:numId w:val="3"/>
        </w:numPr>
      </w:pPr>
      <w:r>
        <w:rPr>
          <w:b/>
          <w:bCs/>
        </w:rPr>
        <w:t xml:space="preserve">Layer geometry matters: </w:t>
      </w:r>
      <w:r>
        <w:t>The physical distance between layers ranks as the second most important feature, suggesting that layer thickness plays a crucial role in capillary barrier formation.</w:t>
      </w:r>
    </w:p>
    <w:p w14:paraId="25FD6694" w14:textId="77777777" w:rsidR="00207637" w:rsidRDefault="00D35D21">
      <w:pPr>
        <w:pStyle w:val="ListParagraph"/>
        <w:numPr>
          <w:ilvl w:val="0"/>
          <w:numId w:val="3"/>
        </w:numPr>
      </w:pPr>
      <w:r>
        <w:rPr>
          <w:b/>
          <w:bCs/>
        </w:rPr>
        <w:t xml:space="preserve">Microstructure proves critical: </w:t>
      </w:r>
      <w:r>
        <w:t>Bond size and grain properties appear throughout the top features, confirming the importance of snow microstructure in water flow dynamics.</w:t>
      </w:r>
    </w:p>
    <w:p w14:paraId="05551024" w14:textId="77777777" w:rsidR="00207637" w:rsidRDefault="00D35D21">
      <w:pPr>
        <w:pStyle w:val="ListParagraph"/>
        <w:numPr>
          <w:ilvl w:val="0"/>
          <w:numId w:val="3"/>
        </w:numPr>
        <w:spacing w:after="240"/>
      </w:pPr>
      <w:r>
        <w:rPr>
          <w:b/>
          <w:bCs/>
        </w:rPr>
        <w:t xml:space="preserve">Dynamic lookback improves training: </w:t>
      </w:r>
      <w:r>
        <w:t>Extracting features from the last "dry" state provides physically meaningful baseline conditions for all training examples.</w:t>
      </w:r>
    </w:p>
    <w:p w14:paraId="2B58D66C" w14:textId="77777777" w:rsidR="00207637" w:rsidRDefault="00D35D21">
      <w:pPr>
        <w:pStyle w:val="Heading2"/>
      </w:pPr>
      <w:r>
        <w:t>8.2 Limitations and Future Work</w:t>
      </w:r>
    </w:p>
    <w:p w14:paraId="0A26C08F" w14:textId="77777777" w:rsidR="00207637" w:rsidRDefault="00D35D21">
      <w:pPr>
        <w:spacing w:after="180"/>
      </w:pPr>
      <w:r>
        <w:t>Several limitations require attention in future work:</w:t>
      </w:r>
    </w:p>
    <w:p w14:paraId="0BB5E0D4" w14:textId="77777777" w:rsidR="00207637" w:rsidRDefault="00D35D21">
      <w:pPr>
        <w:pStyle w:val="ListParagraph"/>
        <w:numPr>
          <w:ilvl w:val="0"/>
          <w:numId w:val="2"/>
        </w:numPr>
      </w:pPr>
      <w:r>
        <w:t>The model trains on SNOWPACK simulations and requires validation against field observations</w:t>
      </w:r>
    </w:p>
    <w:p w14:paraId="5B7EE54E" w14:textId="77777777" w:rsidR="00207637" w:rsidRDefault="00D35D21">
      <w:pPr>
        <w:pStyle w:val="ListParagraph"/>
        <w:numPr>
          <w:ilvl w:val="0"/>
          <w:numId w:val="2"/>
        </w:numPr>
      </w:pPr>
      <w:r>
        <w:t>The current approach does not explicitly model temporal dependencies between consecutive stall events</w:t>
      </w:r>
    </w:p>
    <w:p w14:paraId="2E2FB555" w14:textId="77777777" w:rsidR="00207637" w:rsidRDefault="00D35D21">
      <w:pPr>
        <w:pStyle w:val="ListParagraph"/>
        <w:numPr>
          <w:ilvl w:val="0"/>
          <w:numId w:val="2"/>
        </w:numPr>
      </w:pPr>
      <w:r>
        <w:t>The model predicts stall occurrence but not duration or severity</w:t>
      </w:r>
    </w:p>
    <w:p w14:paraId="774C491B" w14:textId="77777777" w:rsidR="00207637" w:rsidRDefault="00D35D21">
      <w:pPr>
        <w:pStyle w:val="ListParagraph"/>
        <w:numPr>
          <w:ilvl w:val="0"/>
          <w:numId w:val="2"/>
        </w:numPr>
        <w:spacing w:after="240"/>
      </w:pPr>
      <w:r>
        <w:t>Geographic and climatic variations require testing to assess model generalization</w:t>
      </w:r>
    </w:p>
    <w:p w14:paraId="449D78BC" w14:textId="77777777" w:rsidR="00207637" w:rsidRDefault="00D35D21">
      <w:pPr>
        <w:pStyle w:val="Heading2"/>
      </w:pPr>
      <w:r>
        <w:t>8.3 Conclusions</w:t>
      </w:r>
    </w:p>
    <w:p w14:paraId="682D9BBC" w14:textId="77777777" w:rsidR="00207637" w:rsidRDefault="00D35D21">
      <w:pPr>
        <w:spacing w:after="180"/>
      </w:pPr>
      <w:r>
        <w:t>This machine learning approach to wetting front stall prediction achieves exceptional performance (ROC-AUC = 0.9897) while providing physically interpretable insights into the mechanisms of capillary barrier formation. The SHAP analysis confirms that interface stress characteristics and layer geometry drive stall behavior, aligning with physical understanding of snow hydrology (Wever et al., 2014).</w:t>
      </w:r>
    </w:p>
    <w:p w14:paraId="38BC7A87" w14:textId="77777777" w:rsidR="00207637" w:rsidRDefault="00D35D21">
      <w:pPr>
        <w:spacing w:after="180"/>
      </w:pPr>
      <w:r>
        <w:t xml:space="preserve">The system represents a significant advancement </w:t>
      </w:r>
      <w:proofErr w:type="gramStart"/>
      <w:r>
        <w:t>over rule</w:t>
      </w:r>
      <w:proofErr w:type="gramEnd"/>
      <w:r>
        <w:t xml:space="preserve">-based approaches by learning complex, non-linear relationships directly from comprehensive SNOWPACK outputs. By identifying which interfaces will likely stall, this tool can enhance wet slab avalanche forecasting by highlighting areas of potential water accumulation and </w:t>
      </w:r>
      <w:proofErr w:type="gramStart"/>
      <w:r>
        <w:t>layer weakening</w:t>
      </w:r>
      <w:proofErr w:type="gramEnd"/>
      <w:r>
        <w:t>.</w:t>
      </w:r>
    </w:p>
    <w:p w14:paraId="31B550DB" w14:textId="77777777" w:rsidR="00207637" w:rsidRDefault="00D35D21">
      <w:pPr>
        <w:spacing w:after="240"/>
      </w:pPr>
      <w:r>
        <w:t xml:space="preserve">Future integration into operational avalanche forecasting systems could provide early </w:t>
      </w:r>
      <w:proofErr w:type="gramStart"/>
      <w:r>
        <w:t>warning</w:t>
      </w:r>
      <w:proofErr w:type="gramEnd"/>
      <w:r>
        <w:t xml:space="preserve"> of dangerous wet snow conditions, potentially </w:t>
      </w:r>
      <w:proofErr w:type="gramStart"/>
      <w:r>
        <w:t>saving</w:t>
      </w:r>
      <w:proofErr w:type="gramEnd"/>
      <w:r>
        <w:t xml:space="preserve"> lives and reducing economic impacts in avalanche-prone regions.</w:t>
      </w:r>
    </w:p>
    <w:p w14:paraId="527DAAEB" w14:textId="7A84400C" w:rsidR="00355F4F" w:rsidRDefault="00355F4F" w:rsidP="00355F4F">
      <w:pPr>
        <w:pStyle w:val="Heading1"/>
        <w:numPr>
          <w:ilvl w:val="0"/>
          <w:numId w:val="4"/>
        </w:numPr>
        <w:ind w:left="360" w:hanging="270"/>
      </w:pPr>
      <w:r>
        <w:t>Code availability:</w:t>
      </w:r>
    </w:p>
    <w:p w14:paraId="6702B23F" w14:textId="77777777" w:rsidR="00355F4F" w:rsidRDefault="00355F4F" w:rsidP="00355F4F">
      <w:pPr>
        <w:pStyle w:val="Heading1"/>
        <w:ind w:left="90"/>
      </w:pPr>
    </w:p>
    <w:p w14:paraId="792423F4" w14:textId="77777777" w:rsidR="00355F4F" w:rsidRDefault="00355F4F" w:rsidP="00355F4F">
      <w:pPr>
        <w:pStyle w:val="Heading1"/>
        <w:ind w:left="720"/>
      </w:pPr>
    </w:p>
    <w:p w14:paraId="13EBA3CC" w14:textId="77777777" w:rsidR="00207637" w:rsidRDefault="00D35D21">
      <w:r>
        <w:br w:type="page"/>
      </w:r>
    </w:p>
    <w:p w14:paraId="51F79277" w14:textId="77777777" w:rsidR="00207637" w:rsidRDefault="00D35D21">
      <w:pPr>
        <w:pStyle w:val="Heading1"/>
      </w:pPr>
      <w:r>
        <w:lastRenderedPageBreak/>
        <w:t>9. References</w:t>
      </w:r>
    </w:p>
    <w:p w14:paraId="21BAB267" w14:textId="77777777" w:rsidR="00207637" w:rsidRDefault="00D35D21">
      <w:pPr>
        <w:spacing w:after="120"/>
      </w:pPr>
      <w:r>
        <w:t>Baggi, S., &amp; Schweizer, J. (2009). Characteristics of wet-snow avalanche activity: 20 years of observations from a high alpine valley (</w:t>
      </w:r>
      <w:proofErr w:type="spellStart"/>
      <w:r>
        <w:t>Dischma</w:t>
      </w:r>
      <w:proofErr w:type="spellEnd"/>
      <w:r>
        <w:t>, Switzerland). Natural Hazards, 50(1), 97-108.</w:t>
      </w:r>
    </w:p>
    <w:p w14:paraId="125AE4B9" w14:textId="77777777" w:rsidR="00207637" w:rsidRDefault="00D35D21">
      <w:pPr>
        <w:spacing w:after="120"/>
      </w:pPr>
      <w:proofErr w:type="spellStart"/>
      <w:r>
        <w:t>Breiman</w:t>
      </w:r>
      <w:proofErr w:type="spellEnd"/>
      <w:r>
        <w:t>, L. (2001). Random forests. Machine Learning, 45(1), 5-32.</w:t>
      </w:r>
    </w:p>
    <w:p w14:paraId="440555BD" w14:textId="77777777" w:rsidR="00207637" w:rsidRDefault="00D35D21">
      <w:pPr>
        <w:spacing w:after="120"/>
      </w:pPr>
      <w:r>
        <w:t xml:space="preserve">Chen, T., &amp;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 785-794.</w:t>
      </w:r>
    </w:p>
    <w:p w14:paraId="1BB706E8" w14:textId="77777777" w:rsidR="00207637" w:rsidRDefault="00D35D21">
      <w:pPr>
        <w:spacing w:after="120"/>
      </w:pPr>
      <w:r>
        <w:t>Friedman, J. H. (2001). Greedy function approximation: A gradient boosting machine. Annals of Statistics, 29(5), 1189-1232.</w:t>
      </w:r>
    </w:p>
    <w:p w14:paraId="5790C48D" w14:textId="77777777" w:rsidR="00207637" w:rsidRDefault="00D35D21">
      <w:pPr>
        <w:spacing w:after="120"/>
      </w:pPr>
      <w:r>
        <w:t>Hirashima, H., Yamaguchi, S., Sato, A., &amp; Lehning, M. (2010). Numerical modeling of liquid water movement through layered snow based on new measurements of the water retention curve. Cold Regions Science and Technology, 64(2), 94-103.</w:t>
      </w:r>
    </w:p>
    <w:p w14:paraId="67D13FFE" w14:textId="77777777" w:rsidR="00207637" w:rsidRDefault="00D35D21">
      <w:pPr>
        <w:spacing w:after="120"/>
      </w:pPr>
      <w:r>
        <w:t xml:space="preserve">Ke, G., Meng, Q., Finley, T., Wang, T., Chen, W., Ma, W., Ye, Q., &amp; Liu, T. Y. (2017). </w:t>
      </w:r>
      <w:proofErr w:type="spellStart"/>
      <w:r>
        <w:t>LightGBM</w:t>
      </w:r>
      <w:proofErr w:type="spellEnd"/>
      <w:r>
        <w:t>: A highly efficient gradient boosting decision tree. Advances in Neural Information Processing Systems, 30.</w:t>
      </w:r>
    </w:p>
    <w:p w14:paraId="6190ED41" w14:textId="77777777" w:rsidR="00207637" w:rsidRDefault="00D35D21">
      <w:pPr>
        <w:spacing w:after="120"/>
      </w:pPr>
      <w:r>
        <w:t xml:space="preserve">Lehning, M., Bartelt, P., Brown, B., &amp; </w:t>
      </w:r>
      <w:proofErr w:type="spellStart"/>
      <w:r>
        <w:t>Fierz</w:t>
      </w:r>
      <w:proofErr w:type="spellEnd"/>
      <w:r>
        <w:t>, C. (2002a). A physical SNOWPACK model for the Swiss avalanche warning: Part III: Meteorological forcing, thin layer formation and evaluation. Cold Regions Science and Technology, 35(3), 169-184.</w:t>
      </w:r>
    </w:p>
    <w:p w14:paraId="0FEACBBB" w14:textId="77777777" w:rsidR="00207637" w:rsidRDefault="00D35D21">
      <w:pPr>
        <w:spacing w:after="120"/>
      </w:pPr>
      <w:r>
        <w:t xml:space="preserve">Lehning, M., Bartelt, P., Brown, B., </w:t>
      </w:r>
      <w:proofErr w:type="spellStart"/>
      <w:r>
        <w:t>Fierz</w:t>
      </w:r>
      <w:proofErr w:type="spellEnd"/>
      <w:r>
        <w:t xml:space="preserve">, C., &amp; </w:t>
      </w:r>
      <w:proofErr w:type="spellStart"/>
      <w:r>
        <w:t>Satyawali</w:t>
      </w:r>
      <w:proofErr w:type="spellEnd"/>
      <w:r>
        <w:t>, P. (2002b). A physical SNOWPACK model for the Swiss avalanche warning: Part II: Snow microstructure. Cold Regions Science and Technology, 35(3), 147-167.</w:t>
      </w:r>
    </w:p>
    <w:p w14:paraId="3D9674BD" w14:textId="77777777" w:rsidR="00207637" w:rsidRDefault="00D35D21">
      <w:pPr>
        <w:spacing w:after="120"/>
      </w:pPr>
      <w:r>
        <w:t>Lundberg, S. M., &amp; Lee, S. I. (2017). A unified approach to interpreting model predictions. Advances in Neural Information Processing Systems, 30.</w:t>
      </w:r>
    </w:p>
    <w:p w14:paraId="50094C27" w14:textId="77777777" w:rsidR="00207637" w:rsidRDefault="00D35D21">
      <w:pPr>
        <w:spacing w:after="120"/>
      </w:pPr>
      <w:r>
        <w:t xml:space="preserve">Wever, N., </w:t>
      </w:r>
      <w:proofErr w:type="spellStart"/>
      <w:r>
        <w:t>Fierz</w:t>
      </w:r>
      <w:proofErr w:type="spellEnd"/>
      <w:r>
        <w:t xml:space="preserve">, C., Mitterer, C., Hirashima, H., &amp; Lehning, M. (2014). Solving Richards Equation for snow improves snowpack meltwater runoff estimations in detailed multi-layer snowpack </w:t>
      </w:r>
      <w:proofErr w:type="gramStart"/>
      <w:r>
        <w:t>model</w:t>
      </w:r>
      <w:proofErr w:type="gramEnd"/>
      <w:r>
        <w:t>. The Cryosphere, 8(1), 257-274.</w:t>
      </w:r>
    </w:p>
    <w:p w14:paraId="0FBB57AD" w14:textId="77777777" w:rsidR="00207637" w:rsidRDefault="00D35D21">
      <w:pPr>
        <w:spacing w:after="120"/>
      </w:pPr>
      <w:r>
        <w:t xml:space="preserve">Wever, N., </w:t>
      </w:r>
      <w:proofErr w:type="spellStart"/>
      <w:r>
        <w:t>Würzer</w:t>
      </w:r>
      <w:proofErr w:type="spellEnd"/>
      <w:r>
        <w:t xml:space="preserve">, S., </w:t>
      </w:r>
      <w:proofErr w:type="spellStart"/>
      <w:r>
        <w:t>Fierz</w:t>
      </w:r>
      <w:proofErr w:type="spellEnd"/>
      <w:r>
        <w:t>, C., &amp; Lehning, M. (2016). Simulating ice layer formation under the presence of preferential flow in layered snowpacks. The Cryosphere, 10(6), 2731-2744.</w:t>
      </w:r>
    </w:p>
    <w:sectPr w:rsidR="00207637">
      <w:headerReference w:type="default" r:id="rId10"/>
      <w:footerReference w:type="default" r:id="rId1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AA9DC" w14:textId="77777777" w:rsidR="00D35D21" w:rsidRDefault="00D35D21">
      <w:r>
        <w:separator/>
      </w:r>
    </w:p>
  </w:endnote>
  <w:endnote w:type="continuationSeparator" w:id="0">
    <w:p w14:paraId="2C4A5FDD" w14:textId="77777777" w:rsidR="00D35D21" w:rsidRDefault="00D35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FF94" w14:textId="77777777" w:rsidR="00207637" w:rsidRDefault="00D35D21">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B4FBD">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CB4FB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E1A5F" w14:textId="77777777" w:rsidR="00D35D21" w:rsidRDefault="00D35D21">
      <w:r>
        <w:separator/>
      </w:r>
    </w:p>
  </w:footnote>
  <w:footnote w:type="continuationSeparator" w:id="0">
    <w:p w14:paraId="00300F59" w14:textId="77777777" w:rsidR="00D35D21" w:rsidRDefault="00D35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8EA0" w14:textId="77777777" w:rsidR="00207637" w:rsidRDefault="00D35D21">
    <w:pPr>
      <w:jc w:val="right"/>
    </w:pPr>
    <w:r>
      <w:rPr>
        <w:color w:val="666666"/>
        <w:sz w:val="20"/>
        <w:szCs w:val="20"/>
      </w:rPr>
      <w:t>Wetting Front Stall Prediction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5A1"/>
    <w:multiLevelType w:val="hybridMultilevel"/>
    <w:tmpl w:val="0BCE1D38"/>
    <w:lvl w:ilvl="0" w:tplc="5FE2BF28">
      <w:start w:val="1"/>
      <w:numFmt w:val="decimal"/>
      <w:lvlText w:val="%1."/>
      <w:lvlJc w:val="left"/>
      <w:pPr>
        <w:ind w:left="720" w:hanging="360"/>
      </w:pPr>
    </w:lvl>
    <w:lvl w:ilvl="1" w:tplc="D42E6C5A">
      <w:numFmt w:val="decimal"/>
      <w:lvlText w:val=""/>
      <w:lvlJc w:val="left"/>
    </w:lvl>
    <w:lvl w:ilvl="2" w:tplc="1772C8A4">
      <w:numFmt w:val="decimal"/>
      <w:lvlText w:val=""/>
      <w:lvlJc w:val="left"/>
    </w:lvl>
    <w:lvl w:ilvl="3" w:tplc="DA823842">
      <w:numFmt w:val="decimal"/>
      <w:lvlText w:val=""/>
      <w:lvlJc w:val="left"/>
    </w:lvl>
    <w:lvl w:ilvl="4" w:tplc="B8D0AAF4">
      <w:numFmt w:val="decimal"/>
      <w:lvlText w:val=""/>
      <w:lvlJc w:val="left"/>
    </w:lvl>
    <w:lvl w:ilvl="5" w:tplc="E12ACB8E">
      <w:numFmt w:val="decimal"/>
      <w:lvlText w:val=""/>
      <w:lvlJc w:val="left"/>
    </w:lvl>
    <w:lvl w:ilvl="6" w:tplc="B914DF7E">
      <w:numFmt w:val="decimal"/>
      <w:lvlText w:val=""/>
      <w:lvlJc w:val="left"/>
    </w:lvl>
    <w:lvl w:ilvl="7" w:tplc="7572F8E6">
      <w:numFmt w:val="decimal"/>
      <w:lvlText w:val=""/>
      <w:lvlJc w:val="left"/>
    </w:lvl>
    <w:lvl w:ilvl="8" w:tplc="312246DA">
      <w:numFmt w:val="decimal"/>
      <w:lvlText w:val=""/>
      <w:lvlJc w:val="left"/>
    </w:lvl>
  </w:abstractNum>
  <w:abstractNum w:abstractNumId="1" w15:restartNumberingAfterBreak="0">
    <w:nsid w:val="14D3286D"/>
    <w:multiLevelType w:val="hybridMultilevel"/>
    <w:tmpl w:val="45B8307A"/>
    <w:lvl w:ilvl="0" w:tplc="0646FAA0">
      <w:start w:val="1"/>
      <w:numFmt w:val="bullet"/>
      <w:lvlText w:val="•"/>
      <w:lvlJc w:val="left"/>
      <w:pPr>
        <w:ind w:left="720" w:hanging="360"/>
      </w:pPr>
    </w:lvl>
    <w:lvl w:ilvl="1" w:tplc="556EDD68">
      <w:numFmt w:val="decimal"/>
      <w:lvlText w:val=""/>
      <w:lvlJc w:val="left"/>
    </w:lvl>
    <w:lvl w:ilvl="2" w:tplc="829889AA">
      <w:numFmt w:val="decimal"/>
      <w:lvlText w:val=""/>
      <w:lvlJc w:val="left"/>
    </w:lvl>
    <w:lvl w:ilvl="3" w:tplc="AD2628EC">
      <w:numFmt w:val="decimal"/>
      <w:lvlText w:val=""/>
      <w:lvlJc w:val="left"/>
    </w:lvl>
    <w:lvl w:ilvl="4" w:tplc="705A8DC0">
      <w:numFmt w:val="decimal"/>
      <w:lvlText w:val=""/>
      <w:lvlJc w:val="left"/>
    </w:lvl>
    <w:lvl w:ilvl="5" w:tplc="913A0834">
      <w:numFmt w:val="decimal"/>
      <w:lvlText w:val=""/>
      <w:lvlJc w:val="left"/>
    </w:lvl>
    <w:lvl w:ilvl="6" w:tplc="32902C10">
      <w:numFmt w:val="decimal"/>
      <w:lvlText w:val=""/>
      <w:lvlJc w:val="left"/>
    </w:lvl>
    <w:lvl w:ilvl="7" w:tplc="C130F172">
      <w:numFmt w:val="decimal"/>
      <w:lvlText w:val=""/>
      <w:lvlJc w:val="left"/>
    </w:lvl>
    <w:lvl w:ilvl="8" w:tplc="407070AE">
      <w:numFmt w:val="decimal"/>
      <w:lvlText w:val=""/>
      <w:lvlJc w:val="left"/>
    </w:lvl>
  </w:abstractNum>
  <w:abstractNum w:abstractNumId="2" w15:restartNumberingAfterBreak="0">
    <w:nsid w:val="190519D2"/>
    <w:multiLevelType w:val="hybridMultilevel"/>
    <w:tmpl w:val="91C4B356"/>
    <w:lvl w:ilvl="0" w:tplc="6E5AD1AA">
      <w:start w:val="1"/>
      <w:numFmt w:val="bullet"/>
      <w:lvlText w:val="●"/>
      <w:lvlJc w:val="left"/>
      <w:pPr>
        <w:ind w:left="720" w:hanging="360"/>
      </w:pPr>
    </w:lvl>
    <w:lvl w:ilvl="1" w:tplc="F3906640">
      <w:start w:val="1"/>
      <w:numFmt w:val="bullet"/>
      <w:lvlText w:val="○"/>
      <w:lvlJc w:val="left"/>
      <w:pPr>
        <w:ind w:left="1440" w:hanging="360"/>
      </w:pPr>
    </w:lvl>
    <w:lvl w:ilvl="2" w:tplc="1D34AA76">
      <w:start w:val="1"/>
      <w:numFmt w:val="bullet"/>
      <w:lvlText w:val="■"/>
      <w:lvlJc w:val="left"/>
      <w:pPr>
        <w:ind w:left="2160" w:hanging="360"/>
      </w:pPr>
    </w:lvl>
    <w:lvl w:ilvl="3" w:tplc="1794E2C6">
      <w:start w:val="1"/>
      <w:numFmt w:val="bullet"/>
      <w:lvlText w:val="●"/>
      <w:lvlJc w:val="left"/>
      <w:pPr>
        <w:ind w:left="2880" w:hanging="360"/>
      </w:pPr>
    </w:lvl>
    <w:lvl w:ilvl="4" w:tplc="4D3E9EF0">
      <w:start w:val="1"/>
      <w:numFmt w:val="bullet"/>
      <w:lvlText w:val="○"/>
      <w:lvlJc w:val="left"/>
      <w:pPr>
        <w:ind w:left="3600" w:hanging="360"/>
      </w:pPr>
    </w:lvl>
    <w:lvl w:ilvl="5" w:tplc="0A62B434">
      <w:start w:val="1"/>
      <w:numFmt w:val="bullet"/>
      <w:lvlText w:val="■"/>
      <w:lvlJc w:val="left"/>
      <w:pPr>
        <w:ind w:left="4320" w:hanging="360"/>
      </w:pPr>
    </w:lvl>
    <w:lvl w:ilvl="6" w:tplc="BE4CF2E8">
      <w:start w:val="1"/>
      <w:numFmt w:val="bullet"/>
      <w:lvlText w:val="●"/>
      <w:lvlJc w:val="left"/>
      <w:pPr>
        <w:ind w:left="5040" w:hanging="360"/>
      </w:pPr>
    </w:lvl>
    <w:lvl w:ilvl="7" w:tplc="4556684E">
      <w:start w:val="1"/>
      <w:numFmt w:val="bullet"/>
      <w:lvlText w:val="●"/>
      <w:lvlJc w:val="left"/>
      <w:pPr>
        <w:ind w:left="5760" w:hanging="360"/>
      </w:pPr>
    </w:lvl>
    <w:lvl w:ilvl="8" w:tplc="E7682712">
      <w:start w:val="1"/>
      <w:numFmt w:val="bullet"/>
      <w:lvlText w:val="●"/>
      <w:lvlJc w:val="left"/>
      <w:pPr>
        <w:ind w:left="6480" w:hanging="360"/>
      </w:pPr>
    </w:lvl>
  </w:abstractNum>
  <w:abstractNum w:abstractNumId="3" w15:restartNumberingAfterBreak="0">
    <w:nsid w:val="3948429F"/>
    <w:multiLevelType w:val="hybridMultilevel"/>
    <w:tmpl w:val="4468C3A2"/>
    <w:lvl w:ilvl="0" w:tplc="BEA08D0C">
      <w:start w:val="1"/>
      <w:numFmt w:val="decimal"/>
      <w:lvlText w:val="%1."/>
      <w:lvlJc w:val="left"/>
      <w:pPr>
        <w:ind w:left="720" w:hanging="360"/>
      </w:pPr>
    </w:lvl>
    <w:lvl w:ilvl="1" w:tplc="9EC8D93A">
      <w:numFmt w:val="decimal"/>
      <w:lvlText w:val=""/>
      <w:lvlJc w:val="left"/>
    </w:lvl>
    <w:lvl w:ilvl="2" w:tplc="38625FE4">
      <w:numFmt w:val="decimal"/>
      <w:lvlText w:val=""/>
      <w:lvlJc w:val="left"/>
    </w:lvl>
    <w:lvl w:ilvl="3" w:tplc="39CA682A">
      <w:numFmt w:val="decimal"/>
      <w:lvlText w:val=""/>
      <w:lvlJc w:val="left"/>
    </w:lvl>
    <w:lvl w:ilvl="4" w:tplc="ACD60D38">
      <w:numFmt w:val="decimal"/>
      <w:lvlText w:val=""/>
      <w:lvlJc w:val="left"/>
    </w:lvl>
    <w:lvl w:ilvl="5" w:tplc="65C49EBA">
      <w:numFmt w:val="decimal"/>
      <w:lvlText w:val=""/>
      <w:lvlJc w:val="left"/>
    </w:lvl>
    <w:lvl w:ilvl="6" w:tplc="DE9A7BD8">
      <w:numFmt w:val="decimal"/>
      <w:lvlText w:val=""/>
      <w:lvlJc w:val="left"/>
    </w:lvl>
    <w:lvl w:ilvl="7" w:tplc="9538FA0E">
      <w:numFmt w:val="decimal"/>
      <w:lvlText w:val=""/>
      <w:lvlJc w:val="left"/>
    </w:lvl>
    <w:lvl w:ilvl="8" w:tplc="8702F326">
      <w:numFmt w:val="decimal"/>
      <w:lvlText w:val=""/>
      <w:lvlJc w:val="left"/>
    </w:lvl>
  </w:abstractNum>
  <w:num w:numId="1" w16cid:durableId="1941445220">
    <w:abstractNumId w:val="2"/>
    <w:lvlOverride w:ilvl="0">
      <w:startOverride w:val="1"/>
    </w:lvlOverride>
  </w:num>
  <w:num w:numId="2" w16cid:durableId="582760316">
    <w:abstractNumId w:val="1"/>
    <w:lvlOverride w:ilvl="0">
      <w:startOverride w:val="1"/>
    </w:lvlOverride>
  </w:num>
  <w:num w:numId="3" w16cid:durableId="1245841678">
    <w:abstractNumId w:val="0"/>
    <w:lvlOverride w:ilvl="0">
      <w:startOverride w:val="1"/>
    </w:lvlOverride>
  </w:num>
  <w:num w:numId="4" w16cid:durableId="72175684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LewsDC2MLEwMTEzsDBR0lEKTi0uzszPAykwrAUAIlweTywAAAA="/>
  </w:docVars>
  <w:rsids>
    <w:rsidRoot w:val="00207637"/>
    <w:rsid w:val="001B325D"/>
    <w:rsid w:val="00207637"/>
    <w:rsid w:val="00355F4F"/>
    <w:rsid w:val="00453D9B"/>
    <w:rsid w:val="004C3F73"/>
    <w:rsid w:val="00613042"/>
    <w:rsid w:val="00822B40"/>
    <w:rsid w:val="00B8101D"/>
    <w:rsid w:val="00C3460B"/>
    <w:rsid w:val="00C717FC"/>
    <w:rsid w:val="00CB4FBD"/>
    <w:rsid w:val="00D35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FE6A"/>
  <w15:docId w15:val="{A6CBC1B3-105A-4B3E-B2DB-0AB7D6A2C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000000"/>
      <w:sz w:val="32"/>
      <w:szCs w:val="32"/>
    </w:rPr>
  </w:style>
  <w:style w:type="paragraph" w:styleId="Heading2">
    <w:name w:val="heading 2"/>
    <w:uiPriority w:val="9"/>
    <w:unhideWhenUsed/>
    <w:qFormat/>
    <w:pPr>
      <w:spacing w:before="280" w:after="180"/>
      <w:outlineLvl w:val="1"/>
    </w:pPr>
    <w:rPr>
      <w:b/>
      <w:bCs/>
      <w:color w:val="333333"/>
      <w:sz w:val="28"/>
      <w:szCs w:val="28"/>
    </w:rPr>
  </w:style>
  <w:style w:type="paragraph" w:styleId="Heading3">
    <w:name w:val="heading 3"/>
    <w:uiPriority w:val="9"/>
    <w:semiHidden/>
    <w:unhideWhenUsed/>
    <w:qFormat/>
    <w:pPr>
      <w:spacing w:before="240" w:after="120"/>
      <w:outlineLvl w:val="2"/>
    </w:pPr>
    <w:rPr>
      <w:b/>
      <w:bCs/>
      <w:color w:val="44444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B8101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8101D"/>
    <w:rPr>
      <w:b/>
      <w:bCs/>
    </w:rPr>
  </w:style>
  <w:style w:type="character" w:styleId="HTMLCode">
    <w:name w:val="HTML Code"/>
    <w:basedOn w:val="DefaultParagraphFont"/>
    <w:uiPriority w:val="99"/>
    <w:semiHidden/>
    <w:unhideWhenUsed/>
    <w:rsid w:val="00B8101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55F4F"/>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2458</Words>
  <Characters>15586</Characters>
  <Application>Microsoft Office Word</Application>
  <DocSecurity>0</DocSecurity>
  <Lines>380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 Simenhois</cp:lastModifiedBy>
  <cp:revision>2</cp:revision>
  <dcterms:created xsi:type="dcterms:W3CDTF">2025-11-17T23:08:00Z</dcterms:created>
  <dcterms:modified xsi:type="dcterms:W3CDTF">2025-11-17T23:08:00Z</dcterms:modified>
</cp:coreProperties>
</file>