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right"/>
        <w:rPr/>
      </w:pPr>
      <w:r>
        <w:rPr>
          <w:rFonts w:cs="Arial"/>
        </w:rPr>
        <w:t>Gestão de Vendas de Veículo</w:t>
      </w:r>
    </w:p>
    <w:p>
      <w:pPr>
        <w:pStyle w:val="Normal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  <w:t>Especificação de Caso de Uso:</w:t>
      </w:r>
    </w:p>
    <w:p>
      <w:pPr>
        <w:pStyle w:val="Ttulododocumento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Manter Cliente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  <w:t xml:space="preserve">Cenário: </w:t>
      </w:r>
    </w:p>
    <w:p>
      <w:pPr>
        <w:pStyle w:val="Ttulododocumento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Cadastrar Cliente</w:t>
      </w:r>
    </w:p>
    <w:p>
      <w:pPr>
        <w:pStyle w:val="Ttulododocumento"/>
        <w:jc w:val="right"/>
        <w:rPr>
          <w:rFonts w:cs="Arial"/>
        </w:rPr>
      </w:pPr>
      <w:r>
        <w:rPr>
          <w:rFonts w:cs="Arial"/>
        </w:rPr>
      </w:r>
    </w:p>
    <w:p>
      <w:pPr>
        <w:pStyle w:val="Ttulododocument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>
      <w:pPr>
        <w:pStyle w:val="Ttulododocumento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dodocumento"/>
        <w:jc w:val="both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7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/>
            </w:pPr>
            <w:r>
              <w:rPr>
                <w:rFonts w:cs="Arial"/>
              </w:rPr>
              <w:t>26/03/2018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/>
            </w:pPr>
            <w:r>
              <w:rPr>
                <w:rFonts w:cs="Arial"/>
              </w:rPr>
              <w:t>Roni Rosa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widowControl/>
        <w:spacing w:lineRule="auto" w:line="276"/>
        <w:jc w:val="both"/>
        <w:rPr/>
      </w:pPr>
      <w:r>
        <w:rPr/>
      </w:r>
    </w:p>
    <w:p>
      <w:pPr>
        <w:pStyle w:val="Normal"/>
        <w:widowControl/>
        <w:spacing w:lineRule="auto" w:line="276" w:before="0" w:after="200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b/>
          <w:sz w:val="32"/>
          <w:szCs w:val="32"/>
        </w:rPr>
        <w:t>Índice Analítico</w:t>
      </w:r>
    </w:p>
    <w:sdt>
      <w:sdtPr>
        <w:docPartObj>
          <w:docPartGallery w:val="Table of Contents"/>
          <w:docPartUnique w:val="true"/>
        </w:docPartObj>
        <w:id w:val="692374857"/>
      </w:sdtPr>
      <w:sdtContent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5136269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69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Descrição do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[ATR01] &lt;ator&gt;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Precondições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Precondição&gt;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Pós-condição&gt;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 Básico -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jc w:val="both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35136271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[FA01]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Regras de Negócio [RN]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[RN01]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Requisitos Especiais [RE]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Pontos de Relacionamento [PR]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Protótipos de Tela [PRT]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[PRT01]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4.9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Referências, Informações Adicionais e 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jc w:val="both"/>
        <w:rPr>
          <w:rFonts w:eastAsia="" w:cs="" w:cstheme="majorBidi" w:eastAsiaTheme="majorEastAsia"/>
          <w:b/>
          <w:b/>
          <w:bCs/>
          <w:sz w:val="24"/>
          <w:szCs w:val="28"/>
        </w:rPr>
      </w:pPr>
      <w:r>
        <w:rPr>
          <w:rFonts w:eastAsia="" w:cs="" w:cstheme="majorBidi" w:eastAsiaTheme="majorEastAsia"/>
          <w:b/>
          <w:bCs/>
          <w:sz w:val="24"/>
          <w:szCs w:val="28"/>
        </w:rPr>
      </w:r>
      <w:r>
        <w:br w:type="page"/>
      </w:r>
    </w:p>
    <w:p>
      <w:pPr>
        <w:pStyle w:val="Ttulododocumento"/>
        <w:jc w:val="both"/>
        <w:rPr/>
      </w:pPr>
      <w:r>
        <w:rPr/>
        <w:t>Especificação de Caso de Uso: Cadastrar Cliente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0" w:name="_Toc174789158"/>
      <w:bookmarkStart w:id="1" w:name="_Toc351362698"/>
      <w:bookmarkStart w:id="2" w:name="_Toc98934291"/>
      <w:bookmarkStart w:id="3" w:name="_Toc98934497"/>
      <w:bookmarkStart w:id="4" w:name="_Toc98934735"/>
      <w:bookmarkStart w:id="5" w:name="_Toc98934777"/>
      <w:bookmarkStart w:id="6" w:name="_Toc98934970"/>
      <w:bookmarkStart w:id="7" w:name="_Toc98935127"/>
      <w:bookmarkStart w:id="8" w:name="_Toc98935658"/>
      <w:r>
        <w:rPr/>
        <w:t>Introd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/>
        <w:t>ução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jc w:val="both"/>
        <w:rPr/>
      </w:pPr>
      <w:r>
        <w:rPr/>
        <w:tab/>
      </w:r>
      <w:r>
        <w:rPr>
          <w:rFonts w:cs="Arial"/>
          <w:i/>
          <w:color w:val="000000" w:themeShade="80"/>
          <w:szCs w:val="18"/>
        </w:rPr>
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jc w:val="both"/>
        <w:rPr/>
      </w:pPr>
      <w:r>
        <w:rPr>
          <w:rFonts w:cs="Arial"/>
          <w:i/>
          <w:color w:val="000000" w:themeShade="80"/>
          <w:szCs w:val="18"/>
        </w:rPr>
        <w:tab/>
        <w:t>O objetivo do sistema é fazer a gestão das vendas dos veículos, com o intuito de informatizar e agilizar os processos.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9" w:name="_Toc174789160"/>
      <w:bookmarkStart w:id="10" w:name="_Toc351362699"/>
      <w:bookmarkEnd w:id="9"/>
      <w:bookmarkEnd w:id="10"/>
      <w:r>
        <w:rPr/>
        <w:t>Definições e abreviações</w:t>
      </w:r>
    </w:p>
    <w:p>
      <w:pPr>
        <w:pStyle w:val="Iptitle2"/>
        <w:numPr>
          <w:ilvl w:val="0"/>
          <w:numId w:val="0"/>
        </w:numPr>
        <w:tabs>
          <w:tab w:val="left" w:pos="567" w:leader="none"/>
        </w:tabs>
        <w:ind w:left="1077" w:right="-286" w:hanging="0"/>
        <w:jc w:val="both"/>
        <w:rPr/>
      </w:pPr>
      <w:r>
        <w:rPr/>
      </w:r>
    </w:p>
    <w:tbl>
      <w:tblPr>
        <w:tblW w:w="8100" w:type="dxa"/>
        <w:jc w:val="left"/>
        <w:tblInd w:w="11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90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2551"/>
        <w:gridCol w:w="5548"/>
      </w:tblGrid>
      <w:tr>
        <w:trPr/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both"/>
              <w:rPr/>
            </w:pPr>
            <w:r>
              <w:rPr/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0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  <w:t>GVV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  <w:t>Sistema de Gestão de Venda de Veículo</w:t>
            </w:r>
          </w:p>
        </w:tc>
      </w:tr>
      <w:tr>
        <w:trPr>
          <w:trHeight w:val="17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</w:r>
          </w:p>
        </w:tc>
      </w:tr>
    </w:tbl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1" w:name="_Toc174789161"/>
      <w:bookmarkStart w:id="12" w:name="_Toc351362700"/>
      <w:bookmarkEnd w:id="11"/>
      <w:bookmarkEnd w:id="12"/>
      <w:r>
        <w:rPr/>
        <w:t>Atores</w:t>
      </w:r>
    </w:p>
    <w:p>
      <w:pPr>
        <w:pStyle w:val="Ipnormal"/>
        <w:rPr/>
      </w:pPr>
      <w:r>
        <w:rPr/>
        <w:t>Vendedor;</w:t>
      </w:r>
    </w:p>
    <w:p>
      <w:pPr>
        <w:pStyle w:val="Ipnormal"/>
        <w:rPr/>
      </w:pPr>
      <w:r>
        <w:rPr/>
        <w:t>Administrador;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3" w:name="_Toc174789162"/>
      <w:bookmarkStart w:id="14" w:name="_Toc351362701"/>
      <w:bookmarkEnd w:id="13"/>
      <w:bookmarkEnd w:id="14"/>
      <w:r>
        <w:rPr/>
        <w:t>Casos de Uso</w:t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769620</wp:posOffset>
            </wp:positionH>
            <wp:positionV relativeFrom="paragraph">
              <wp:posOffset>29210</wp:posOffset>
            </wp:positionV>
            <wp:extent cx="4135120" cy="35134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Caption"/>
        <w:tabs>
          <w:tab w:val="left" w:pos="567" w:leader="none"/>
        </w:tabs>
        <w:ind w:left="1134" w:hanging="0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Diagrama de casos de uso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5" w:name="_Toc291575022"/>
      <w:bookmarkStart w:id="16" w:name="_Toc291575111"/>
      <w:bookmarkStart w:id="17" w:name="_Toc291575148"/>
      <w:bookmarkStart w:id="18" w:name="_Toc291576242"/>
      <w:bookmarkStart w:id="19" w:name="_Toc291576264"/>
      <w:r>
        <w:rPr/>
        <w:t>D</w:t>
      </w:r>
      <w:bookmarkStart w:id="20" w:name="_Toc351362702"/>
      <w:bookmarkEnd w:id="15"/>
      <w:bookmarkEnd w:id="16"/>
      <w:bookmarkEnd w:id="17"/>
      <w:bookmarkEnd w:id="18"/>
      <w:bookmarkEnd w:id="19"/>
      <w:bookmarkEnd w:id="20"/>
      <w:r>
        <w:rPr/>
        <w:t>escrição do Caso de Uso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color w:val="000000"/>
        </w:rPr>
      </w:pPr>
      <w:bookmarkStart w:id="21" w:name="_Toc291575027"/>
      <w:bookmarkStart w:id="22" w:name="_Toc291575116"/>
      <w:bookmarkStart w:id="23" w:name="_Toc291575153"/>
      <w:bookmarkStart w:id="24" w:name="_Toc291576247"/>
      <w:bookmarkStart w:id="25" w:name="_Toc291576269"/>
      <w:bookmarkEnd w:id="21"/>
      <w:bookmarkEnd w:id="22"/>
      <w:bookmarkEnd w:id="23"/>
      <w:bookmarkEnd w:id="24"/>
      <w:bookmarkEnd w:id="25"/>
      <w:r>
        <w:rPr>
          <w:i/>
          <w:color w:val="000000"/>
        </w:rPr>
        <w:t xml:space="preserve">Com o cenário de Cadastro De Cliente, o objetivo é cadastrar todos os clientes que visitarem a loja física, com o intuito de conhecer melhor os clientes para que posteriormente possamos atender a sua necessidade. 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26" w:name="_Toc2915750271"/>
      <w:bookmarkStart w:id="27" w:name="_Toc2915751161"/>
      <w:bookmarkStart w:id="28" w:name="_Toc2915751531"/>
      <w:bookmarkStart w:id="29" w:name="_Toc2915762471"/>
      <w:bookmarkStart w:id="30" w:name="_Toc2915762691"/>
      <w:bookmarkStart w:id="31" w:name="_Toc351362703"/>
      <w:bookmarkEnd w:id="26"/>
      <w:bookmarkEnd w:id="27"/>
      <w:bookmarkEnd w:id="28"/>
      <w:bookmarkEnd w:id="29"/>
      <w:bookmarkEnd w:id="30"/>
      <w:bookmarkEnd w:id="31"/>
      <w:r>
        <w:rPr/>
        <w:t>Atores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32" w:name="_Toc351362704"/>
      <w:r>
        <w:rPr/>
        <w:t xml:space="preserve">[ATR01] </w:t>
      </w:r>
      <w:bookmarkEnd w:id="32"/>
      <w:r>
        <w:rPr/>
        <w:t>Vendedor</w:t>
      </w:r>
    </w:p>
    <w:p>
      <w:pPr>
        <w:pStyle w:val="Normal"/>
        <w:numPr>
          <w:ilvl w:val="0"/>
          <w:numId w:val="0"/>
        </w:numPr>
        <w:ind w:left="1944" w:hanging="0"/>
        <w:rPr/>
      </w:pPr>
      <w:r>
        <w:rPr/>
        <w:t>Responsável pelas vendas dos veículos, podendo também, cadastrar clientes e vendas.</w:t>
      </w:r>
    </w:p>
    <w:p>
      <w:pPr>
        <w:pStyle w:val="Normal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r>
        <w:rPr/>
        <w:t>[ATR02] Administrador</w:t>
      </w:r>
    </w:p>
    <w:p>
      <w:pPr>
        <w:pStyle w:val="Normal"/>
        <w:numPr>
          <w:ilvl w:val="0"/>
          <w:numId w:val="0"/>
        </w:numPr>
        <w:ind w:left="1944" w:hanging="0"/>
        <w:rPr/>
      </w:pPr>
      <w:r>
        <w:rPr/>
        <w:t>Responsável por administrar o sistema, podendo também realizar vendas.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33" w:name="_Toc333344396"/>
      <w:bookmarkStart w:id="34" w:name="_Toc351362705"/>
      <w:bookmarkEnd w:id="33"/>
      <w:bookmarkEnd w:id="34"/>
      <w:r>
        <w:rPr/>
        <w:t>Precondições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Executar o caso de uso “Logar no sistema” com sucesso.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35" w:name="_Toc351362706"/>
      <w:bookmarkEnd w:id="35"/>
      <w:r>
        <w:rPr/>
        <w:t>Logar no Sistema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O usuário deverá executar com sucesso o caso de uso “logar no sistema”, para que seja possível executar as funcionalidades do caso de uso “Manter Clientes”, cenário Cadastrar Cliente.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36" w:name="_Toc291575025"/>
      <w:bookmarkStart w:id="37" w:name="_Toc291575114"/>
      <w:bookmarkStart w:id="38" w:name="_Toc291575151"/>
      <w:bookmarkStart w:id="39" w:name="_Toc291576245"/>
      <w:bookmarkStart w:id="40" w:name="_Toc291576267"/>
      <w:bookmarkStart w:id="41" w:name="_Toc351362707"/>
      <w:bookmarkStart w:id="42" w:name="_GoBack"/>
      <w:bookmarkEnd w:id="36"/>
      <w:bookmarkEnd w:id="37"/>
      <w:bookmarkEnd w:id="38"/>
      <w:bookmarkEnd w:id="39"/>
      <w:bookmarkEnd w:id="40"/>
      <w:bookmarkEnd w:id="41"/>
      <w:bookmarkEnd w:id="42"/>
      <w:r>
        <w:rPr/>
        <w:t>Pós-Condições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/>
      </w:pPr>
      <w:r>
        <w:rPr>
          <w:i w:val="false"/>
          <w:iCs w:val="false"/>
          <w:color w:val="000000"/>
        </w:rPr>
        <w:t>Neste cenário após a execução com sucesso, o cliente será cadastrado (</w:t>
      </w:r>
      <w:bookmarkStart w:id="43" w:name="_Toc3513627081"/>
      <w:r>
        <w:rPr>
          <w:b/>
          <w:bCs/>
          <w:i w:val="false"/>
          <w:iCs w:val="false"/>
          <w:color w:val="CE181E"/>
        </w:rPr>
        <w:t>C</w:t>
      </w:r>
      <w:bookmarkEnd w:id="43"/>
      <w:r>
        <w:rPr>
          <w:b/>
          <w:bCs/>
          <w:i w:val="false"/>
          <w:iCs w:val="false"/>
          <w:color w:val="CE181E"/>
        </w:rPr>
        <w:t>liente Cadastrado com Sucesso</w:t>
      </w:r>
      <w:r>
        <w:rPr>
          <w:i w:val="false"/>
          <w:iCs w:val="false"/>
          <w:color w:val="000000"/>
        </w:rPr>
        <w:t xml:space="preserve">) nas tabelas CLIENTE e ENDEREÇO com os seus respectivos dados. 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44" w:name="_Toc351362708"/>
      <w:bookmarkStart w:id="45" w:name="_GoBack1"/>
      <w:bookmarkEnd w:id="44"/>
      <w:bookmarkEnd w:id="45"/>
      <w:r>
        <w:rPr/>
        <w:t>Cliente Cadastrado com Sucesso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Dados gravados nas tabelas CLIENTE e ENDEREÇO.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46" w:name="_Toc291576250"/>
      <w:bookmarkStart w:id="47" w:name="_Toc291576272"/>
      <w:bookmarkStart w:id="48" w:name="_Toc351362709"/>
      <w:bookmarkStart w:id="49" w:name="_Toc291575030"/>
      <w:bookmarkStart w:id="50" w:name="_Toc291575119"/>
      <w:bookmarkStart w:id="51" w:name="_Toc291575156"/>
      <w:r>
        <w:rPr/>
        <w:t>Fluxos de Ev</w:t>
      </w:r>
      <w:bookmarkEnd w:id="46"/>
      <w:bookmarkEnd w:id="47"/>
      <w:bookmarkEnd w:id="48"/>
      <w:bookmarkEnd w:id="49"/>
      <w:bookmarkEnd w:id="50"/>
      <w:bookmarkEnd w:id="51"/>
      <w:r>
        <w:rPr/>
        <w:t>ento</w:t>
      </w:r>
    </w:p>
    <w:p>
      <w:pPr>
        <w:pStyle w:val="Iptitle3"/>
        <w:keepNext/>
        <w:keepLines w:val="false"/>
        <w:widowControl/>
        <w:numPr>
          <w:ilvl w:val="2"/>
          <w:numId w:val="2"/>
        </w:numPr>
        <w:tabs>
          <w:tab w:val="left" w:pos="881" w:leader="none"/>
        </w:tabs>
        <w:bidi w:val="0"/>
        <w:spacing w:lineRule="auto" w:line="240" w:before="240" w:after="60"/>
        <w:ind w:left="1800" w:right="-1080" w:hanging="0"/>
        <w:jc w:val="both"/>
        <w:rPr>
          <w:rFonts w:ascii="Trebuchet MS" w:hAnsi="Trebuchet MS" w:eastAsia="Times New Roman" w:cs="Arial"/>
          <w:b w:val="false"/>
          <w:b w:val="false"/>
          <w:bCs w:val="false"/>
          <w:color w:val="000000"/>
          <w:kern w:val="0"/>
          <w:lang w:val="en-US" w:eastAsia="pt-BR" w:bidi="ar-SA"/>
        </w:rPr>
      </w:pPr>
      <w:bookmarkStart w:id="52" w:name="_Toc351362710"/>
      <w:bookmarkStart w:id="53" w:name="_Toc291576251"/>
      <w:bookmarkStart w:id="54" w:name="_Toc291576273"/>
      <w:r>
        <w:rPr>
          <w:rFonts w:eastAsia="Times New Roman" w:cs="Arial"/>
          <w:b w:val="false"/>
          <w:bCs w:val="false"/>
          <w:color w:val="000000"/>
          <w:kern w:val="0"/>
          <w:lang w:val="en-US" w:eastAsia="pt-BR" w:bidi="ar-SA"/>
        </w:rPr>
        <w:t xml:space="preserve">Fluxo </w:t>
      </w:r>
      <w:bookmarkEnd w:id="52"/>
      <w:bookmarkEnd w:id="53"/>
      <w:bookmarkEnd w:id="54"/>
      <w:r>
        <w:rPr>
          <w:rFonts w:eastAsia="Times New Roman" w:cs="Arial"/>
          <w:b w:val="false"/>
          <w:bCs w:val="false"/>
          <w:color w:val="000000"/>
          <w:kern w:val="0"/>
          <w:lang w:val="en-US" w:eastAsia="pt-BR" w:bidi="ar-SA"/>
        </w:rPr>
        <w:t>Básico – Cadastrar Cliente com Sucesso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Este caso de uso se inicia quando o usuário seleciona o subitem “cadastrar” do item “cliente” no menu do sistema (Cliente&gt;Cadastrar).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sistema exibe a tela de cadastro de cliente [PRT01].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preenche os dados da tela [PRT01].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sistema valida os campos.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seleciona o botão salvar.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sistema exibe a mensagem </w:t>
      </w:r>
      <w:r>
        <w:rPr>
          <w:b/>
          <w:bCs/>
          <w:i w:val="false"/>
          <w:iCs w:val="false"/>
          <w:color w:val="CE181E"/>
        </w:rPr>
        <w:t>“Cliente Cadastrado com Sucesso”.</w:t>
      </w:r>
    </w:p>
    <w:p>
      <w:pPr>
        <w:pStyle w:val="Iptitle3"/>
        <w:keepNext/>
        <w:keepLines w:val="false"/>
        <w:widowControl/>
        <w:numPr>
          <w:ilvl w:val="3"/>
          <w:numId w:val="2"/>
        </w:numPr>
        <w:bidi w:val="0"/>
        <w:spacing w:lineRule="auto" w:line="240" w:before="240" w:after="60"/>
        <w:ind w:left="1800" w:right="-1080" w:hanging="0"/>
        <w:jc w:val="both"/>
        <w:rPr>
          <w:rFonts w:ascii="Trebuchet MS" w:hAnsi="Trebuchet MS" w:eastAsia="Times New Roman" w:cs="Arial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val="en-US" w:eastAsia="pt-BR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kern w:val="0"/>
          <w:sz w:val="24"/>
          <w:szCs w:val="24"/>
          <w:lang w:val="en-US" w:eastAsia="pt-BR" w:bidi="ar-SA"/>
        </w:rPr>
        <w:t>O usuário seleciona o botão “ok” e encerra o caso de uso.</w:t>
      </w:r>
    </w:p>
    <w:p>
      <w:pPr>
        <w:pStyle w:val="Iptitle3"/>
        <w:widowControl/>
        <w:numPr>
          <w:ilvl w:val="0"/>
          <w:numId w:val="0"/>
        </w:numPr>
        <w:bidi w:val="0"/>
        <w:spacing w:lineRule="auto" w:line="240" w:before="240" w:after="60"/>
        <w:ind w:left="3744" w:right="-1080" w:hanging="0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55" w:name="_Toc351362711"/>
      <w:bookmarkEnd w:id="55"/>
      <w:r>
        <w:rPr/>
        <w:t xml:space="preserve">Fluxos Alternativos 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56" w:name="_Toc351362712"/>
      <w:bookmarkStart w:id="57" w:name="_AL01_–_Campos"/>
      <w:bookmarkStart w:id="58" w:name="_CPF_inválido"/>
      <w:bookmarkStart w:id="59" w:name="_AL02_–_Campos"/>
      <w:bookmarkStart w:id="60" w:name="_AL02_–_Data"/>
      <w:bookmarkStart w:id="61" w:name="_AL03_–_Campos"/>
      <w:bookmarkStart w:id="62" w:name="_AL01_–_CPF"/>
      <w:bookmarkEnd w:id="56"/>
      <w:bookmarkEnd w:id="57"/>
      <w:bookmarkEnd w:id="58"/>
      <w:bookmarkEnd w:id="59"/>
      <w:bookmarkEnd w:id="60"/>
      <w:bookmarkEnd w:id="61"/>
      <w:bookmarkEnd w:id="62"/>
      <w:r>
        <w:rPr/>
        <w:t>[FA01] – Cancelar cadastro de cliente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No passo 4.4.1.4 do fluxo básico, o usuário seleciona o botão “cancelar”.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O sistema exibe a mensagem “cadastro cancelado”.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 xml:space="preserve">O sistema retorna ao passo 4.4.1.2 do fluxo básico. </w:t>
      </w:r>
    </w:p>
    <w:p>
      <w:pPr>
        <w:pStyle w:val="Iptitle3"/>
        <w:numPr>
          <w:ilvl w:val="0"/>
          <w:numId w:val="0"/>
        </w:numPr>
        <w:ind w:left="3744" w:right="-1080" w:hanging="0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63" w:name="_Toc351362713"/>
      <w:bookmarkStart w:id="64" w:name="_AL02_–_Seleção"/>
      <w:bookmarkStart w:id="65" w:name="_AL02_–_Ausência"/>
      <w:bookmarkStart w:id="66" w:name="_AL04_–_Seleção"/>
      <w:bookmarkEnd w:id="63"/>
      <w:bookmarkEnd w:id="64"/>
      <w:bookmarkEnd w:id="65"/>
      <w:bookmarkEnd w:id="66"/>
      <w:r>
        <w:rPr/>
        <w:t>Fluxos de Exceção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[FE01] – Erro ao gravar os dados</w:t>
      </w:r>
    </w:p>
    <w:p>
      <w:pPr>
        <w:pStyle w:val="Iptitle3"/>
        <w:numPr>
          <w:ilvl w:val="4"/>
          <w:numId w:val="2"/>
        </w:numPr>
        <w:ind w:left="1800" w:right="-1080" w:hanging="0"/>
        <w:jc w:val="both"/>
        <w:rPr/>
      </w:pPr>
      <w:r>
        <w:rPr/>
        <w:t xml:space="preserve"> </w:t>
      </w:r>
      <w:r>
        <w:rPr/>
        <w:t>No passo 4.4.1.5 do fluxo básico o sistema não consegue gravar os dados do cliente e exibe a mensagem “o cadastro não foi realizado!”.</w:t>
      </w:r>
    </w:p>
    <w:p>
      <w:pPr>
        <w:pStyle w:val="Iptitle3"/>
        <w:numPr>
          <w:ilvl w:val="4"/>
          <w:numId w:val="2"/>
        </w:numPr>
        <w:ind w:left="1800" w:right="-1080" w:hanging="0"/>
        <w:jc w:val="both"/>
        <w:rPr/>
      </w:pPr>
      <w:r>
        <w:rPr/>
        <w:t xml:space="preserve"> </w:t>
      </w:r>
      <w:r>
        <w:rPr/>
        <w:t>O sistema retorna ao passo 4.4.1.2.</w:t>
      </w:r>
    </w:p>
    <w:p>
      <w:pPr>
        <w:pStyle w:val="Iptitle3"/>
        <w:numPr>
          <w:ilvl w:val="0"/>
          <w:numId w:val="0"/>
        </w:numPr>
        <w:ind w:left="2088" w:right="-1080" w:hanging="0"/>
        <w:jc w:val="both"/>
        <w:rPr/>
      </w:pPr>
      <w:r>
        <w:rPr/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67" w:name="_Toc351362715"/>
      <w:bookmarkStart w:id="68" w:name="_EX02_–_Resposta"/>
      <w:bookmarkEnd w:id="67"/>
      <w:bookmarkEnd w:id="68"/>
      <w:r>
        <w:rPr/>
        <w:t>Regras de Negócio [RN]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/>
          <w:sz w:val="20"/>
          <w:szCs w:val="24"/>
          <w:lang w:val="en-US" w:eastAsia="pt-BR"/>
        </w:rPr>
        <w:t>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RN001</w:t>
      </w:r>
      <w:r>
        <w:rPr>
          <w:rFonts w:eastAsia="Times New Roman" w:cs="Times New Roman"/>
          <w:sz w:val="20"/>
          <w:szCs w:val="24"/>
          <w:lang w:val="en-US" w:eastAsia="pt-BR"/>
        </w:rPr>
        <w:t>], 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RN016</w:t>
      </w:r>
      <w:r>
        <w:rPr>
          <w:rFonts w:eastAsia="Times New Roman" w:cs="Times New Roman"/>
          <w:sz w:val="20"/>
          <w:szCs w:val="24"/>
          <w:lang w:val="en-US" w:eastAsia="pt-BR"/>
        </w:rPr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69" w:name="_Toc351362717"/>
      <w:r>
        <w:rPr/>
        <w:t>Requisitos Funcionais [RF</w:t>
      </w:r>
      <w:bookmarkEnd w:id="69"/>
      <w:r>
        <w:rPr/>
        <w:t>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ED1C24"/>
        </w:rPr>
        <w:t>RF001</w:t>
      </w:r>
      <w:r>
        <w:rPr/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r>
        <w:rPr/>
        <w:t>Requisitos não Funcionais [RNF]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CE181E"/>
        </w:rPr>
        <w:t>RNF003</w:t>
      </w:r>
      <w:r>
        <w:rPr/>
        <w:t>], [</w:t>
      </w:r>
      <w:r>
        <w:rPr>
          <w:color w:val="CE181E"/>
        </w:rPr>
        <w:t>RNF004</w:t>
      </w:r>
      <w:r>
        <w:rPr/>
        <w:t>], [</w:t>
      </w:r>
      <w:r>
        <w:rPr>
          <w:color w:val="CE181E"/>
        </w:rPr>
        <w:t>RNF005</w:t>
      </w:r>
      <w:r>
        <w:rPr/>
        <w:t>], [</w:t>
      </w:r>
      <w:r>
        <w:rPr>
          <w:color w:val="CE181E"/>
        </w:rPr>
        <w:t>RNF006</w:t>
      </w:r>
      <w:r>
        <w:rPr/>
        <w:t>], [</w:t>
      </w:r>
      <w:r>
        <w:rPr>
          <w:color w:val="CE181E"/>
        </w:rPr>
        <w:t>RNF007</w:t>
      </w:r>
      <w:r>
        <w:rPr/>
        <w:t>], [</w:t>
      </w:r>
      <w:r>
        <w:rPr>
          <w:color w:val="CE181E"/>
        </w:rPr>
        <w:t>RNF008</w:t>
      </w:r>
      <w:r>
        <w:rPr/>
        <w:t>], [</w:t>
      </w:r>
      <w:r>
        <w:rPr>
          <w:color w:val="CE181E"/>
        </w:rPr>
        <w:t>RNF009</w:t>
      </w:r>
      <w:r>
        <w:rPr/>
        <w:t>], [</w:t>
      </w:r>
      <w:r>
        <w:rPr>
          <w:color w:val="CE181E"/>
        </w:rPr>
        <w:t>RNF010</w:t>
      </w:r>
      <w:r>
        <w:rPr/>
        <w:t>], [</w:t>
      </w:r>
      <w:r>
        <w:rPr>
          <w:color w:val="CE181E"/>
        </w:rPr>
        <w:t>RNF011</w:t>
      </w:r>
      <w:r>
        <w:rPr/>
        <w:t>], [</w:t>
      </w:r>
      <w:r>
        <w:rPr>
          <w:color w:val="CE181E"/>
        </w:rPr>
        <w:t>RNF012</w:t>
      </w:r>
      <w:r>
        <w:rPr/>
        <w:t>], [</w:t>
      </w:r>
      <w:r>
        <w:rPr>
          <w:color w:val="CE181E"/>
        </w:rPr>
        <w:t>RNF013</w:t>
      </w:r>
      <w:r>
        <w:rPr/>
        <w:t>], [</w:t>
      </w:r>
      <w:r>
        <w:rPr>
          <w:color w:val="CE181E"/>
        </w:rPr>
        <w:t>RNF014</w:t>
      </w:r>
      <w:r>
        <w:rPr/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0" w:name="_Toc351362719"/>
      <w:bookmarkStart w:id="71" w:name="_RE02_–_Protótipo_1"/>
      <w:bookmarkStart w:id="72" w:name="_RE09_–_Acompanhamento_1"/>
      <w:bookmarkStart w:id="73" w:name="_RE02_–_Detalhes"/>
      <w:bookmarkEnd w:id="71"/>
      <w:bookmarkEnd w:id="72"/>
      <w:bookmarkEnd w:id="73"/>
      <w:r>
        <w:rPr/>
        <w:t>Pontos de Relacionamento [PR]</w:t>
      </w:r>
      <w:bookmarkEnd w:id="70"/>
      <w:r>
        <w:rPr/>
        <w:t xml:space="preserve"> (Extend ou Include)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Não há.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4" w:name="_Toc351362721"/>
      <w:bookmarkEnd w:id="74"/>
      <w:r>
        <w:rPr/>
        <w:t>Protótipos de Tela [PRT]</w:t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bookmarkStart w:id="75" w:name="_Toc351362722"/>
      <w:r>
        <w:rPr/>
        <w:t xml:space="preserve">[PRT01] – </w:t>
      </w:r>
      <w:bookmarkEnd w:id="75"/>
      <w:r>
        <w:rPr/>
        <w:t xml:space="preserve">Tela de Cadastro de Cliente </w:t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141605</wp:posOffset>
            </wp:positionH>
            <wp:positionV relativeFrom="paragraph">
              <wp:posOffset>200660</wp:posOffset>
            </wp:positionV>
            <wp:extent cx="5514975" cy="3810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464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700"/>
        <w:gridCol w:w="1418"/>
        <w:gridCol w:w="3402"/>
      </w:tblGrid>
      <w:tr>
        <w:trPr>
          <w:tblHeader w:val="tru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sz w:val="18"/>
                <w:szCs w:val="18"/>
                <w:u w:val="single"/>
                <w:lang w:eastAsia="pt-BR"/>
              </w:rPr>
            </w:pPr>
            <w:r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Observações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Numérico (11)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CEP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Numérico (8)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Máscara CEP:</w:t>
            </w:r>
            <w:r>
              <w:rPr>
                <w:rFonts w:cs="Arial"/>
                <w:b/>
                <w:lang w:eastAsia="pt-BR"/>
              </w:rPr>
              <w:t xml:space="preserve"> 00.000-000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Rua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N°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Complemento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Tipo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Preenchimento padrão “Comum”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6" w:name="_Toc351362723"/>
      <w:bookmarkEnd w:id="76"/>
      <w:r>
        <w:rPr/>
        <w:t>Referências, Informações Adicionais e Anexos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/>
      </w:pPr>
      <w:r>
        <w:rPr>
          <w:b w:val="false"/>
          <w:bCs w:val="false"/>
        </w:rPr>
        <w:t>Não há.</w:t>
      </w:r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10" w:type="dxa"/>
      <w:jc w:val="left"/>
      <w:tblInd w:w="0" w:type="dxa"/>
      <w:tblCellMar>
        <w:top w:w="0" w:type="dxa"/>
        <w:left w:w="13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0"/>
      <w:gridCol w:w="3070"/>
      <w:gridCol w:w="3070"/>
    </w:tblGrid>
    <w:tr>
      <w:trPr/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left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7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Gestão de Vendas de Veículos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</w:rPr>
            <w:t>Data: 26/03/2018</w:t>
          </w:r>
        </w:p>
      </w:tc>
    </w:tr>
    <w:tr>
      <w:trPr/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  <w:vAlign w:val="center"/>
        </w:tcPr>
        <w:p>
          <w:pPr>
            <w:pStyle w:val="Normal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cadastrarClienteUCManterCliente.docx</w:t>
          </w:r>
          <w:r>
            <w:fldChar w:fldCharType="end"/>
          </w:r>
          <w:r>
            <w:rPr>
              <w:rFonts w:cs="Arial"/>
            </w:rPr>
            <w:t xml:space="preserve">  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90" w:type="dxa"/>
      <w:jc w:val="left"/>
      <w:tblInd w:w="-601" w:type="dxa"/>
      <w:tblCellMar>
        <w:top w:w="0" w:type="dxa"/>
        <w:left w:w="13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06"/>
      <w:gridCol w:w="5283"/>
    </w:tblGrid>
    <w:tr>
      <w:trPr/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left"/>
            <w:rPr/>
          </w:pPr>
          <w:r>
            <w:rPr/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pStyle w:val="Ttulo4"/>
      <w:numFmt w:val="decimal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sz w:val="28"/>
        <w:i w:val="false"/>
        <w:b/>
        <w:color w:val="999999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hanging="-3"/>
      </w:pPr>
      <w:rPr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i w:val="false"/>
        <w:b w:val="false"/>
        <w:rFonts w:ascii="Trebuchet MS" w:hAnsi="Trebuchet MS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</w:pPr>
    <w:rPr>
      <w:bCs w:val="false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  <w:numId w:val="1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LinkdaInternet">
    <w:name w:val="Link da Internet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Vnculodendice">
    <w:name w:val="Vínculo de índice"/>
    <w:qFormat/>
    <w:rPr/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b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b/>
      <w:i w:val="false"/>
      <w:color w:val="999999"/>
      <w:sz w:val="28"/>
    </w:rPr>
  </w:style>
  <w:style w:type="character" w:styleId="ListLabel23">
    <w:name w:val="ListLabel 23"/>
    <w:qFormat/>
    <w:rPr>
      <w:b/>
      <w:i w:val="false"/>
      <w:color w:val="999999"/>
      <w:sz w:val="24"/>
    </w:rPr>
  </w:style>
  <w:style w:type="character" w:styleId="ListLabel24">
    <w:name w:val="ListLabel 24"/>
    <w:qFormat/>
    <w:rPr>
      <w:b/>
      <w:i w:val="false"/>
      <w:color w:val="999999"/>
    </w:rPr>
  </w:style>
  <w:style w:type="character" w:styleId="ListLabel25">
    <w:name w:val="ListLabel 25"/>
    <w:qFormat/>
    <w:rPr>
      <w:b w:val="false"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character" w:styleId="ListLabel28">
    <w:name w:val="ListLabel 28"/>
    <w:qFormat/>
    <w:rPr>
      <w:rFonts w:cs="Arial"/>
      <w:i w:val="false"/>
      <w:color w:val="00000A"/>
    </w:rPr>
  </w:style>
  <w:style w:type="character" w:styleId="ListLabel29">
    <w:name w:val="ListLabel 29"/>
    <w:qFormat/>
    <w:rPr>
      <w:b/>
      <w:i w:val="false"/>
      <w:color w:val="999999"/>
      <w:sz w:val="28"/>
    </w:rPr>
  </w:style>
  <w:style w:type="character" w:styleId="ListLabel30">
    <w:name w:val="ListLabel 30"/>
    <w:qFormat/>
    <w:rPr>
      <w:b/>
      <w:i w:val="false"/>
      <w:color w:val="999999"/>
      <w:sz w:val="24"/>
    </w:rPr>
  </w:style>
  <w:style w:type="character" w:styleId="ListLabel31">
    <w:name w:val="ListLabel 31"/>
    <w:qFormat/>
    <w:rPr>
      <w:b/>
      <w:i w:val="false"/>
      <w:color w:val="999999"/>
    </w:rPr>
  </w:style>
  <w:style w:type="character" w:styleId="ListLabel32">
    <w:name w:val="ListLabel 32"/>
    <w:qFormat/>
    <w:rPr>
      <w:b w:val="false"/>
      <w:i w:val="false"/>
      <w:color w:val="999999"/>
    </w:rPr>
  </w:style>
  <w:style w:type="character" w:styleId="ListLabel33">
    <w:name w:val="ListLabel 33"/>
    <w:qFormat/>
    <w:rPr>
      <w:b w:val="false"/>
      <w:i w:val="false"/>
      <w:color w:val="999999"/>
    </w:rPr>
  </w:style>
  <w:style w:type="character" w:styleId="ListLabel34">
    <w:name w:val="ListLabel 34"/>
    <w:qFormat/>
    <w:rPr>
      <w:b w:val="false"/>
      <w:i w:val="false"/>
      <w:color w:val="999999"/>
    </w:rPr>
  </w:style>
  <w:style w:type="character" w:styleId="ListLabel35">
    <w:name w:val="ListLabel 35"/>
    <w:qFormat/>
    <w:rPr>
      <w:rFonts w:cs="Arial"/>
      <w:i w:val="false"/>
      <w:color w:val="00000A"/>
    </w:rPr>
  </w:style>
  <w:style w:type="character" w:styleId="ListLabel36">
    <w:name w:val="ListLabel 36"/>
    <w:qFormat/>
    <w:rPr>
      <w:b/>
      <w:i w:val="false"/>
      <w:color w:val="999999"/>
      <w:sz w:val="28"/>
    </w:rPr>
  </w:style>
  <w:style w:type="character" w:styleId="ListLabel37">
    <w:name w:val="ListLabel 37"/>
    <w:qFormat/>
    <w:rPr>
      <w:b/>
      <w:i w:val="false"/>
      <w:color w:val="999999"/>
      <w:sz w:val="24"/>
    </w:rPr>
  </w:style>
  <w:style w:type="character" w:styleId="ListLabel38">
    <w:name w:val="ListLabel 38"/>
    <w:qFormat/>
    <w:rPr>
      <w:rFonts w:ascii="Trebuchet MS" w:hAnsi="Trebuchet MS"/>
      <w:b w:val="false"/>
      <w:i w:val="false"/>
      <w:color w:val="999999"/>
    </w:rPr>
  </w:style>
  <w:style w:type="character" w:styleId="ListLabel39">
    <w:name w:val="ListLabel 39"/>
    <w:qFormat/>
    <w:rPr>
      <w:rFonts w:cs="Arial"/>
      <w:i w:val="false"/>
      <w:color w:val="00000A"/>
    </w:rPr>
  </w:style>
  <w:style w:type="character" w:styleId="ListLabel40">
    <w:name w:val="ListLabel 40"/>
    <w:qFormat/>
    <w:rPr>
      <w:b/>
      <w:i w:val="false"/>
      <w:color w:val="999999"/>
      <w:sz w:val="28"/>
    </w:rPr>
  </w:style>
  <w:style w:type="character" w:styleId="ListLabel41">
    <w:name w:val="ListLabel 41"/>
    <w:qFormat/>
    <w:rPr>
      <w:b/>
      <w:i w:val="false"/>
      <w:color w:val="999999"/>
      <w:sz w:val="24"/>
    </w:rPr>
  </w:style>
  <w:style w:type="character" w:styleId="ListLabel42">
    <w:name w:val="ListLabel 42"/>
    <w:qFormat/>
    <w:rPr>
      <w:rFonts w:ascii="Trebuchet MS" w:hAnsi="Trebuchet MS"/>
      <w:b w:val="false"/>
      <w:i w:val="false"/>
      <w:color w:val="999999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Ttulo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i w:val="false"/>
      <w:iCs w:val="false"/>
      <w:szCs w:val="24"/>
      <w:lang w:val="en-US" w:eastAsia="pt-BR"/>
    </w:rPr>
  </w:style>
  <w:style w:type="paragraph" w:styleId="Iptitle1" w:customStyle="1">
    <w:name w:val="ip_title_1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Corpodetexto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fals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>
      <w:tabs>
        <w:tab w:val="left" w:pos="881" w:leader="none"/>
      </w:tabs>
      <w:ind w:left="0" w:right="0" w:hanging="0"/>
    </w:pPr>
    <w:rPr>
      <w:b w:val="false"/>
      <w:bCs w:val="false"/>
      <w:color w:val="000000"/>
      <w:sz w:val="24"/>
      <w:szCs w:val="24"/>
    </w:rPr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8139</TotalTime>
  <Application>LibreOffice/5.4.0.3$Windows_x86 LibreOffice_project/7556cbc6811c9d992f4064ab9287069087d7f62c</Application>
  <Pages>6</Pages>
  <Words>705</Words>
  <Characters>3755</Characters>
  <CharactersWithSpaces>4311</CharactersWithSpaces>
  <Paragraphs>135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2018-05-10T18:31:02Z</dcterms:modified>
  <cp:revision>30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