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A96B"/>
          <w:spacing w:val="40"/>
          <w:sz w:val="22"/>
          <w:szCs w:val="22"/>
        </w:rPr>
        <w:t xml:space="preserve">ARTHA EQUITIES</w:t>
      </w:r>
    </w:p>
    <w:p>
      <w:pPr>
        <w:pBdr>
          <w:bottom w:val="single" w:color="C8A96B" w:sz="6" w:space="12"/>
        </w:pBdr>
        <w:spacing w:after="5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23C32"/>
          <w:sz w:val="64"/>
          <w:szCs w:val="64"/>
        </w:rPr>
        <w:t xml:space="preserve">Daily Market Pulse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252525"/>
          <w:sz w:val="24"/>
          <w:szCs w:val="24"/>
        </w:rPr>
        <w:t xml:space="preserve">Thursday, 27 August 2026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C32"/>
          <w:sz w:val="22"/>
          <w:szCs w:val="22"/>
        </w:rPr>
        <w:t xml:space="preserve">Prepared for Ronish</w:t>
      </w:r>
    </w:p>
    <w:p>
      <w:pPr>
        <w:spacing w:after="1800"/>
        <w:jc w:val="center"/>
      </w:pPr>
      <w:r>
        <w:rPr>
          <w:rFonts w:ascii="Calibri" w:cs="Calibri" w:eastAsia="Calibri" w:hAnsi="Calibri"/>
          <w:i/>
          <w:iCs/>
          <w:color w:val="6B6B63"/>
          <w:sz w:val="18"/>
          <w:szCs w:val="18"/>
        </w:rPr>
        <w:t xml:space="preserve">Founder, Artha Equities</w:t>
      </w:r>
    </w:p>
    <w:p>
      <w:pPr>
        <w:spacing w:before="3200"/>
        <w:jc w:val="center"/>
      </w:pPr>
      <w:r>
        <w:rPr>
          <w:rFonts w:ascii="Calibri" w:cs="Calibri" w:eastAsia="Calibri" w:hAnsi="Calibri"/>
          <w:b/>
          <w:bCs/>
          <w:color w:val="C8A96B"/>
          <w:spacing w:val="30"/>
          <w:sz w:val="16"/>
          <w:szCs w:val="16"/>
        </w:rPr>
        <w:t xml:space="preserve">INTERNAL — CONFIDENTIAL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6B6B63"/>
          <w:sz w:val="15"/>
          <w:szCs w:val="15"/>
        </w:rPr>
        <w:t xml:space="preserve">Not for external distribution</w:t>
      </w:r>
    </w:p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350" w:right="1350" w:bottom="1350" w:left="1350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40" w:before="480"/>
      </w:pPr>
      <w:r>
        <w:rPr>
          <w:rFonts w:ascii="Calibri" w:cs="Calibri" w:eastAsia="Calibri" w:hAnsi="Calibri"/>
          <w:b/>
          <w:bCs/>
          <w:color w:val="C8A96B"/>
          <w:sz w:val="22"/>
          <w:szCs w:val="22"/>
        </w:rPr>
        <w:t xml:space="preserve">01  </w:t>
      </w:r>
      <w:r>
        <w:rPr>
          <w:rFonts w:ascii="Calibri" w:cs="Calibri" w:eastAsia="Calibri" w:hAnsi="Calibri"/>
          <w:b/>
          <w:bCs/>
          <w:color w:val="123C32"/>
          <w:spacing w:val="12"/>
          <w:sz w:val="22"/>
          <w:szCs w:val="22"/>
        </w:rPr>
        <w:t xml:space="preserve">MARKET SNAPSHOT</w:t>
      </w:r>
    </w:p>
    <w:p>
      <w:pPr>
        <w:keepNext/>
        <w:pBdr>
          <w:bottom w:val="single" w:color="C8A96B" w:sz="6" w:space="1"/>
        </w:pBdr>
        <w:spacing w:after="200" w:before="6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Indian Benchmark &amp; Sector Indices</w:t>
      </w:r>
    </w:p>
    <w:tbl>
      <w:tblPr>
        <w:tblW w:type="dxa" w:w="11000"/>
        <w:tblBorders>
          <w:top w:val="single" w:color="D9D2C2" w:sz="4"/>
          <w:left w:val="none"/>
          <w:bottom w:val="single" w:color="D9D2C2" w:sz="4"/>
          <w:right w:val="none"/>
          <w:insideH w:val="single" w:color="E7E1D2" w:sz="2"/>
          <w:insideV w:val="none"/>
        </w:tblBorders>
      </w:tblPr>
      <w:tblGrid>
        <w:gridCol w:w="2600"/>
        <w:gridCol w:w="3200"/>
        <w:gridCol w:w="3300"/>
        <w:gridCol w:w="1900"/>
      </w:tblGrid>
      <w:tr>
        <w:trPr>
          <w:tblHeader/>
        </w:trPr>
        <w:tc>
          <w:tcPr>
            <w:tcW w:type="dxa" w:w="26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Index</w:t>
            </w:r>
          </w:p>
        </w:tc>
        <w:tc>
          <w:tcPr>
            <w:tcW w:type="dxa" w:w="32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Level</w:t>
            </w:r>
          </w:p>
        </w:tc>
        <w:tc>
          <w:tcPr>
            <w:tcW w:type="dxa" w:w="33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Change</w:t>
            </w:r>
          </w:p>
        </w:tc>
        <w:tc>
          <w:tcPr>
            <w:tcW w:type="dxa" w:w="19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As of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Nifty 50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24,207.75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–26.80 pts (−0.52%)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Close, 26 Aug</w:t>
            </w:r>
          </w:p>
        </w:tc>
      </w:tr>
      <w:tr>
        <w:tc>
          <w:tcPr>
            <w:tcW w:type="dxa" w:w="2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Sensex</w:t>
            </w:r>
          </w:p>
        </w:tc>
        <w:tc>
          <w:tcPr>
            <w:tcW w:type="dxa" w:w="32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77,472.94</w:t>
            </w:r>
          </w:p>
        </w:tc>
        <w:tc>
          <w:tcPr>
            <w:tcW w:type="dxa" w:w="33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–183.15 pts (−0.24%)</w:t>
            </w:r>
          </w:p>
        </w:tc>
        <w:tc>
          <w:tcPr>
            <w:tcW w:type="dxa" w:w="19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Close, 26 Aug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Nifty Bank*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57,783.75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+269.55 pts (+0.47%)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Close, 26 Aug</w:t>
            </w:r>
          </w:p>
        </w:tc>
      </w:tr>
      <w:tr>
        <w:tc>
          <w:tcPr>
            <w:tcW w:type="dxa" w:w="2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Nifty IT</w:t>
            </w:r>
          </w:p>
        </w:tc>
        <w:tc>
          <w:tcPr>
            <w:tcW w:type="dxa" w:w="32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30,318.85</w:t>
            </w:r>
          </w:p>
        </w:tc>
        <w:tc>
          <w:tcPr>
            <w:tcW w:type="dxa" w:w="33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−1.47%</w:t>
            </w:r>
          </w:p>
        </w:tc>
        <w:tc>
          <w:tcPr>
            <w:tcW w:type="dxa" w:w="19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Close, 26 Aug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Nifty Metal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Not confirmed — exact level unavailable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+1.27% (directional only)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Close, 26 Aug</w:t>
            </w:r>
          </w:p>
        </w:tc>
      </w:tr>
      <w:tr>
        <w:tc>
          <w:tcPr>
            <w:tcW w:type="dxa" w:w="2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Nifty Pharma</w:t>
            </w:r>
          </w:p>
        </w:tc>
        <w:tc>
          <w:tcPr>
            <w:tcW w:type="dxa" w:w="32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Not sourced — could not confirm</w:t>
            </w:r>
          </w:p>
        </w:tc>
        <w:tc>
          <w:tcPr>
            <w:tcW w:type="dxa" w:w="33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Unconfirmed</w:t>
            </w:r>
          </w:p>
        </w:tc>
        <w:tc>
          <w:tcPr>
            <w:tcW w:type="dxa" w:w="19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26 Aug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Nifty Energy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Not sourced — could not confirm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Unconfirmed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26 Aug</w:t>
            </w:r>
          </w:p>
        </w:tc>
      </w:tr>
    </w:tbl>
    <w:p>
      <w:pPr>
        <w:spacing w:after="100" w:line="260"/>
      </w:pPr>
      <w:r>
        <w:rPr>
          <w:rFonts w:ascii="Calibri" w:cs="Calibri" w:eastAsia="Calibri" w:hAnsi="Calibri"/>
          <w:i/>
          <w:iCs/>
          <w:color w:val="6B6B63"/>
          <w:sz w:val="17"/>
          <w:szCs w:val="17"/>
        </w:rPr>
        <w:t xml:space="preserve">*Nifty Bank figure derived from search-result synthesis rather than a direct NSE fetch — treat as provisional. Nifty Pharma and Nifty Energy closes for 26 Aug could not be independently confirmed and are intentionally left blank rather than estimated.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Latest available (27 Aug, early trade):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Nifty 50 extended losses to 24,090.85 (−0.48%) and Sensex to 76,933.59 (−0.7%) in a second straight down session, with metal, PSU bank and cement stocks the principal drag amid mixed global cues. </w:t>
      </w:r>
      <w:r>
        <w:rPr>
          <w:rFonts w:ascii="Calibri" w:cs="Calibri" w:eastAsia="Calibri" w:hAnsi="Calibri"/>
          <w:i/>
          <w:iCs/>
          <w:color w:val="6B6B63"/>
          <w:sz w:val="17"/>
          <w:szCs w:val="17"/>
        </w:rPr>
        <w:t xml:space="preserve">Source: Business Standard, live market updates, 27 Aug 2026.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Global Cues</w:t>
      </w:r>
    </w:p>
    <w:tbl>
      <w:tblPr>
        <w:tblW w:type="dxa" w:w="11000"/>
        <w:tblBorders>
          <w:top w:val="single" w:color="D9D2C2" w:sz="4"/>
          <w:left w:val="none"/>
          <w:bottom w:val="single" w:color="D9D2C2" w:sz="4"/>
          <w:right w:val="none"/>
          <w:insideH w:val="single" w:color="E7E1D2" w:sz="2"/>
          <w:insideV w:val="none"/>
        </w:tblBorders>
      </w:tblPr>
      <w:tblGrid>
        <w:gridCol w:w="2900"/>
        <w:gridCol w:w="2700"/>
        <w:gridCol w:w="3300"/>
        <w:gridCol w:w="2100"/>
      </w:tblGrid>
      <w:tr>
        <w:trPr>
          <w:tblHeader/>
        </w:trPr>
        <w:tc>
          <w:tcPr>
            <w:tcW w:type="dxa" w:w="29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Metric</w:t>
            </w:r>
          </w:p>
        </w:tc>
        <w:tc>
          <w:tcPr>
            <w:tcW w:type="dxa" w:w="27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Level</w:t>
            </w:r>
          </w:p>
        </w:tc>
        <w:tc>
          <w:tcPr>
            <w:tcW w:type="dxa" w:w="33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Change</w:t>
            </w:r>
          </w:p>
        </w:tc>
        <w:tc>
          <w:tcPr>
            <w:tcW w:type="dxa" w:w="21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As of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7,677.24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+24.38 pts (+0.3%)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Close, 26 Aug (US ET)</w:t>
            </w:r>
          </w:p>
        </w:tc>
      </w:tr>
      <w:tr>
        <w:tc>
          <w:tcPr>
            <w:tcW w:type="dxa" w:w="29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Dow Jones</w:t>
            </w:r>
          </w:p>
        </w:tc>
        <w:tc>
          <w:tcPr>
            <w:tcW w:type="dxa" w:w="27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53,577.40</w:t>
            </w:r>
          </w:p>
        </w:tc>
        <w:tc>
          <w:tcPr>
            <w:tcW w:type="dxa" w:w="33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+160.24 pts (+0.3%)</w:t>
            </w:r>
          </w:p>
        </w:tc>
        <w:tc>
          <w:tcPr>
            <w:tcW w:type="dxa" w:w="21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Close, 26 Aug (US ET)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Nasdaq Composite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26,151.30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+171.11 pts (+0.7%)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Close, 26 Aug (US ET)</w:t>
            </w:r>
          </w:p>
        </w:tc>
      </w:tr>
      <w:tr>
        <w:tc>
          <w:tcPr>
            <w:tcW w:type="dxa" w:w="29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Nikkei 225</w:t>
            </w:r>
          </w:p>
        </w:tc>
        <w:tc>
          <w:tcPr>
            <w:tcW w:type="dxa" w:w="27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~66,403</w:t>
            </w:r>
          </w:p>
        </w:tc>
        <w:tc>
          <w:tcPr>
            <w:tcW w:type="dxa" w:w="33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+140.84 pts (+0.21%)</w:t>
            </w:r>
          </w:p>
        </w:tc>
        <w:tc>
          <w:tcPr>
            <w:tcW w:type="dxa" w:w="21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Morning, 27 Aug IST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Hang Seng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Level unconfirmed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−0.48% (morning move)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Morning, 27 Aug IST</w:t>
            </w:r>
          </w:p>
        </w:tc>
      </w:tr>
      <w:tr>
        <w:tc>
          <w:tcPr>
            <w:tcW w:type="dxa" w:w="29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Shanghai Composite</w:t>
            </w:r>
          </w:p>
        </w:tc>
        <w:tc>
          <w:tcPr>
            <w:tcW w:type="dxa" w:w="27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3,956.6</w:t>
            </w:r>
          </w:p>
        </w:tc>
        <w:tc>
          <w:tcPr>
            <w:tcW w:type="dxa" w:w="33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+1.13%</w:t>
            </w:r>
          </w:p>
        </w:tc>
        <w:tc>
          <w:tcPr>
            <w:tcW w:type="dxa" w:w="21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27 Aug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Brent crude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$86.93/bbl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−1.03% (down &gt;7% on the week)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27 Aug</w:t>
            </w:r>
          </w:p>
        </w:tc>
      </w:tr>
      <w:tr>
        <w:tc>
          <w:tcPr>
            <w:tcW w:type="dxa" w:w="29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USD/INR</w:t>
            </w:r>
          </w:p>
        </w:tc>
        <w:tc>
          <w:tcPr>
            <w:tcW w:type="dxa" w:w="27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~95.2 (indicative)</w:t>
            </w:r>
          </w:p>
        </w:tc>
        <w:tc>
          <w:tcPr>
            <w:tcW w:type="dxa" w:w="33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Exact move not confirmed</w:t>
            </w:r>
          </w:p>
        </w:tc>
        <w:tc>
          <w:tcPr>
            <w:tcW w:type="dxa" w:w="21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26 Aug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India 10Y G-Sec yield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6.85%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“Held steady” — exact bps move not confirmed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26 Aug</w:t>
            </w:r>
          </w:p>
        </w:tc>
      </w:tr>
    </w:tbl>
    <w:p>
      <w:pPr>
        <w:spacing w:after="100" w:line="260"/>
      </w:pPr>
      <w:r>
        <w:rPr>
          <w:rFonts w:ascii="Calibri" w:cs="Calibri" w:eastAsia="Calibri" w:hAnsi="Calibri"/>
          <w:i/>
          <w:iCs/>
          <w:color w:val="6B6B63"/>
          <w:sz w:val="17"/>
          <w:szCs w:val="17"/>
        </w:rPr>
        <w:t xml:space="preserve">USD/INR and the 10Y yield figures rest on search-snippet synthesis, not a direct NSE/RBI/FBIL fetch — flagged as indicative pending a terminal cross-check. US markets traded higher into Nvidia, CrowdStrike and Salesforce earnings after early-week chip-stock weakness.</w:t>
      </w:r>
    </w:p>
    <w:p>
      <w:pPr>
        <w:pStyle w:val="Heading1"/>
        <w:keepNext/>
        <w:spacing w:after="40" w:before="480"/>
      </w:pPr>
      <w:r>
        <w:rPr>
          <w:rFonts w:ascii="Calibri" w:cs="Calibri" w:eastAsia="Calibri" w:hAnsi="Calibri"/>
          <w:b/>
          <w:bCs/>
          <w:color w:val="C8A96B"/>
          <w:sz w:val="22"/>
          <w:szCs w:val="22"/>
        </w:rPr>
        <w:t xml:space="preserve">02  </w:t>
      </w:r>
      <w:r>
        <w:rPr>
          <w:rFonts w:ascii="Calibri" w:cs="Calibri" w:eastAsia="Calibri" w:hAnsi="Calibri"/>
          <w:b/>
          <w:bCs/>
          <w:color w:val="123C32"/>
          <w:spacing w:val="12"/>
          <w:sz w:val="22"/>
          <w:szCs w:val="22"/>
        </w:rPr>
        <w:t xml:space="preserve">MACRO &amp; FLOWS</w:t>
      </w:r>
    </w:p>
    <w:p>
      <w:pPr>
        <w:keepNext/>
        <w:pBdr>
          <w:bottom w:val="single" w:color="C8A96B" w:sz="6" w:space="1"/>
        </w:pBdr>
        <w:spacing w:after="200" w:before="6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FII / DII Cash Market Activity</w:t>
      </w:r>
    </w:p>
    <w:tbl>
      <w:tblPr>
        <w:tblW w:type="dxa" w:w="10000"/>
        <w:tblBorders>
          <w:top w:val="single" w:color="D9D2C2" w:sz="4"/>
          <w:left w:val="none"/>
          <w:bottom w:val="single" w:color="D9D2C2" w:sz="4"/>
          <w:right w:val="none"/>
          <w:insideH w:val="single" w:color="E7E1D2" w:sz="2"/>
          <w:insideV w:val="none"/>
        </w:tblBorders>
      </w:tblPr>
      <w:tblGrid>
        <w:gridCol w:w="3200"/>
        <w:gridCol w:w="3600"/>
        <w:gridCol w:w="3200"/>
      </w:tblGrid>
      <w:tr>
        <w:trPr>
          <w:tblHeader/>
        </w:trPr>
        <w:tc>
          <w:tcPr>
            <w:tcW w:type="dxa" w:w="32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Category</w:t>
            </w:r>
          </w:p>
        </w:tc>
        <w:tc>
          <w:tcPr>
            <w:tcW w:type="dxa" w:w="36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Net Activity</w:t>
            </w:r>
          </w:p>
        </w:tc>
        <w:tc>
          <w:tcPr>
            <w:tcW w:type="dxa" w:w="32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Session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FII (Foreign)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Net buyers, ₹502.63 cr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26 Aug 2026 (provisional)</w:t>
            </w:r>
          </w:p>
        </w:tc>
      </w:tr>
      <w:tr>
        <w:tc>
          <w:tcPr>
            <w:tcW w:type="dxa" w:w="32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DII (Domestic)</w:t>
            </w:r>
          </w:p>
        </w:tc>
        <w:tc>
          <w:tcPr>
            <w:tcW w:type="dxa" w:w="3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Net buyers, ₹6,425.16 cr</w:t>
            </w:r>
          </w:p>
        </w:tc>
        <w:tc>
          <w:tcPr>
            <w:tcW w:type="dxa" w:w="32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26 Aug 2026 (provisional)</w:t>
            </w:r>
          </w:p>
        </w:tc>
      </w:tr>
    </w:tbl>
    <w:p>
      <w:pPr>
        <w:spacing w:after="100" w:line="260"/>
      </w:pPr>
      <w:r>
        <w:rPr>
          <w:rFonts w:ascii="Calibri" w:cs="Calibri" w:eastAsia="Calibri" w:hAnsi="Calibri"/>
          <w:i/>
          <w:iCs/>
          <w:color w:val="6B6B63"/>
          <w:sz w:val="17"/>
          <w:szCs w:val="17"/>
        </w:rPr>
        <w:t xml:space="preserve">Source: Trendlyne provisional cash-market data (search synthesis; NSE’s own FII/DII report page could not be directly fetched). DIIs provided the bulk of cash-market support while Nifty declined; FII buying was comparatively modest. Same-day (27 Aug) FII/DII data is not yet out at time of writing — not estimated here.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This Week’s Macro Calendar</w:t>
      </w:r>
    </w:p>
    <w:tbl>
      <w:tblPr>
        <w:tblW w:type="dxa" w:w="10000"/>
        <w:tblBorders>
          <w:top w:val="single" w:color="D9D2C2" w:sz="4"/>
          <w:left w:val="none"/>
          <w:bottom w:val="single" w:color="D9D2C2" w:sz="4"/>
          <w:right w:val="none"/>
          <w:insideH w:val="single" w:color="E7E1D2" w:sz="2"/>
          <w:insideV w:val="none"/>
        </w:tblBorders>
      </w:tblPr>
      <w:tblGrid>
        <w:gridCol w:w="2600"/>
        <w:gridCol w:w="2400"/>
        <w:gridCol w:w="5000"/>
      </w:tblGrid>
      <w:tr>
        <w:trPr>
          <w:tblHeader/>
        </w:trPr>
        <w:tc>
          <w:tcPr>
            <w:tcW w:type="dxa" w:w="26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Event</w:t>
            </w:r>
          </w:p>
        </w:tc>
        <w:tc>
          <w:tcPr>
            <w:tcW w:type="dxa" w:w="24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Date</w:t>
            </w:r>
          </w:p>
        </w:tc>
        <w:tc>
          <w:tcPr>
            <w:tcW w:type="dxa" w:w="50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India Q1 FY27 GDP (NSO)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31 Aug 2026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Provisional estimate for the June quarter; pre-release estimates widely dispersed (~4.4–8%) — treat as chatter, not consensus</w:t>
            </w:r>
          </w:p>
        </w:tc>
      </w:tr>
      <w:tr>
        <w:tc>
          <w:tcPr>
            <w:tcW w:type="dxa" w:w="2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RBI MPC</w:t>
            </w:r>
          </w:p>
        </w:tc>
        <w:tc>
          <w:tcPr>
            <w:tcW w:type="dxa" w:w="2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Held 3–5 Aug (already occurred)</w:t>
            </w:r>
          </w:p>
        </w:tc>
        <w:tc>
          <w:tcPr>
            <w:tcW w:type="dxa" w:w="50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Repo rate held at 5.25%, 4th consecutive status quo. Next meeting 5–7 Oct — none scheduled this week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India CPI (Jul data)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Already released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4.45% YoY (provisional), vs 4.38% in June</w:t>
            </w:r>
          </w:p>
        </w:tc>
      </w:tr>
      <w:tr>
        <w:tc>
          <w:tcPr>
            <w:tcW w:type="dxa" w:w="2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India WPI (Aug data)</w:t>
            </w:r>
          </w:p>
        </w:tc>
        <w:tc>
          <w:tcPr>
            <w:tcW w:type="dxa" w:w="2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Expected ~14 Sep 2026</w:t>
            </w:r>
          </w:p>
        </w:tc>
        <w:tc>
          <w:tcPr>
            <w:tcW w:type="dxa" w:w="50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Not due this week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US FOMC / Fed decision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15–16 Sep 2026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Not this week; current fed funds range cited as 3.50–3.75%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Bottom line: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No RBI or FOMC events fall this week. The one major scheduled domestic print is India’s Q1 FY27 GDP data on 31 August — likely a focal point for positioning into month-end.</w:t>
      </w:r>
    </w:p>
    <w:p>
      <w:pPr>
        <w:pStyle w:val="Heading1"/>
        <w:keepNext/>
        <w:spacing w:after="40" w:before="480"/>
      </w:pPr>
      <w:r>
        <w:rPr>
          <w:rFonts w:ascii="Calibri" w:cs="Calibri" w:eastAsia="Calibri" w:hAnsi="Calibri"/>
          <w:b/>
          <w:bCs/>
          <w:color w:val="C8A96B"/>
          <w:sz w:val="22"/>
          <w:szCs w:val="22"/>
        </w:rPr>
        <w:t xml:space="preserve">03  </w:t>
      </w:r>
      <w:r>
        <w:rPr>
          <w:rFonts w:ascii="Calibri" w:cs="Calibri" w:eastAsia="Calibri" w:hAnsi="Calibri"/>
          <w:b/>
          <w:bCs/>
          <w:color w:val="123C32"/>
          <w:spacing w:val="12"/>
          <w:sz w:val="22"/>
          <w:szCs w:val="22"/>
        </w:rPr>
        <w:t xml:space="preserve">WATCHLIST MOVERS</w:t>
      </w:r>
    </w:p>
    <w:p>
      <w:pPr>
        <w:keepNext/>
        <w:pBdr>
          <w:bottom w:val="single" w:color="C8A96B" w:sz="6" w:space="1"/>
        </w:pBdr>
        <w:spacing w:after="200" w:before="60"/>
      </w:pPr>
    </w:p>
    <w:p>
      <w:pPr>
        <w:spacing w:after="100" w:line="260"/>
      </w:pPr>
      <w:r>
        <w:rPr>
          <w:rFonts w:ascii="Calibri" w:cs="Calibri" w:eastAsia="Calibri" w:hAnsi="Calibri"/>
          <w:i/>
          <w:iCs/>
          <w:color w:val="6B6B63"/>
          <w:sz w:val="17"/>
          <w:szCs w:val="17"/>
        </w:rPr>
        <w:t xml:space="preserve">Prices, % change and volume signal below are from the Artha watchlist tracker sheet; the sheet does not carry an explicit as-of timestamp, so these should be read as the sheet’s latest recorded session rather than confirmed to 27 Aug specifically.</w:t>
      </w:r>
    </w:p>
    <w:tbl>
      <w:tblPr>
        <w:tblW w:type="dxa" w:w="9200"/>
        <w:tblBorders>
          <w:top w:val="single" w:color="D9D2C2" w:sz="4"/>
          <w:left w:val="none"/>
          <w:bottom w:val="single" w:color="D9D2C2" w:sz="4"/>
          <w:right w:val="none"/>
          <w:insideH w:val="single" w:color="E7E1D2" w:sz="2"/>
          <w:insideV w:val="none"/>
        </w:tblBorders>
      </w:tblPr>
      <w:tblGrid>
        <w:gridCol w:w="3400"/>
        <w:gridCol w:w="16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Name</w:t>
            </w:r>
          </w:p>
        </w:tc>
        <w:tc>
          <w:tcPr>
            <w:tcW w:type="dxa" w:w="16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Ticker</w:t>
            </w:r>
          </w:p>
        </w:tc>
        <w:tc>
          <w:tcPr>
            <w:tcW w:type="dxa" w:w="14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Close</w:t>
            </w:r>
          </w:p>
        </w:tc>
        <w:tc>
          <w:tcPr>
            <w:tcW w:type="dxa" w:w="14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Change %</w:t>
            </w:r>
          </w:p>
        </w:tc>
        <w:tc>
          <w:tcPr>
            <w:tcW w:type="dxa" w:w="14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Volume Signal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Jio Financial Services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JIOFIN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238.45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−1.06%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Hindustan Copper</w:t>
            </w:r>
          </w:p>
        </w:tc>
        <w:tc>
          <w:tcPr>
            <w:tcW w:type="dxa" w:w="1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HINDCOPPER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538.50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−3.16%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Bearish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C2C Advanced Systems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C2C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1,122.00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+4.24%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Bullish</w:t>
            </w:r>
          </w:p>
        </w:tc>
      </w:tr>
      <w:tr>
        <w:tc>
          <w:tcPr>
            <w:tcW w:type="dxa" w:w="3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Suzlon Energy</w:t>
            </w:r>
          </w:p>
        </w:tc>
        <w:tc>
          <w:tcPr>
            <w:tcW w:type="dxa" w:w="1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SUZLON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46.55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−0.83%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Black Box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BBOX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158.60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−1.80%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Aeroflex Industries</w:t>
            </w:r>
          </w:p>
        </w:tc>
        <w:tc>
          <w:tcPr>
            <w:tcW w:type="dxa" w:w="1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AEROFLEX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518.80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−3.27%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Sandur Manganese &amp; Iron Ores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SANDUMA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207.10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−1.23%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Bearish</w:t>
            </w:r>
          </w:p>
        </w:tc>
      </w:tr>
      <w:tr>
        <w:tc>
          <w:tcPr>
            <w:tcW w:type="dxa" w:w="3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Tirupati Forge</w:t>
            </w:r>
          </w:p>
        </w:tc>
        <w:tc>
          <w:tcPr>
            <w:tcW w:type="dxa" w:w="1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TIRUPATIFL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68.40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−1.79%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Wockhardt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WOCKPHARMA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1,971.00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+4.72%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Bullish</w:t>
            </w:r>
          </w:p>
        </w:tc>
      </w:tr>
      <w:tr>
        <w:tc>
          <w:tcPr>
            <w:tcW w:type="dxa" w:w="3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PNGS Reva Diamond Jewellery</w:t>
            </w:r>
          </w:p>
        </w:tc>
        <w:tc>
          <w:tcPr>
            <w:tcW w:type="dxa" w:w="1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PNGSREVA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541.05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−2.63%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Bluspring Enterprises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BLUSPRING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132.40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+3.33%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Powergrid Infra. InvIT</w:t>
            </w:r>
          </w:p>
        </w:tc>
        <w:tc>
          <w:tcPr>
            <w:tcW w:type="dxa" w:w="1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543290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99.50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−0.55%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K.P. Energy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539686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245.85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−1.78%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BSE Ltd</w:t>
            </w:r>
          </w:p>
        </w:tc>
        <w:tc>
          <w:tcPr>
            <w:tcW w:type="dxa" w:w="1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BSE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3,328.00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+0.07%</w:t>
            </w:r>
          </w:p>
        </w:tc>
        <w:tc>
          <w:tcPr>
            <w:tcW w:type="dxa" w:w="1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Neutral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Notable Movers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Wockhardt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WOCKPHARMA  +4.72%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27th AGM (10 Aug) asked shareholders to approve a ₹3,000 crore capital raise and a revision to the Executive Chairman’s remuneration to up to ₹15 crore/year, alongside redeployment of ~₹162.33 crore in unutilised proceeds from the November 2024 QIP toward R&amp;D and capex. No dated news specific to the last 24–48h was found; the capital-raise approval is the most recent material corporate action on record.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C2C Advanced Systems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C2C  +4.24%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Secured a ₹160–180 crore contract from Hindustan Shipyard Limited to supply WeCdis naval navigation systems (contract date not specified in source). Separately, statutory auditor LABS &amp; Associates resigned effective 14 Aug — a disclosure item worth tracking alongside the board’s pending preferential-warrants and ESOP proposals.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Aeroflex Industries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AEROFLEX  −3.27%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Management met investors at Axis Capital’s Singapore corporate day (19 Aug) and paid a ₹0.40/share dividend the same day, declared at the 32nd AGM (21 Jul). The company has also flagged capacity-expansion and fund-raising plans; an exact date for that announcement was not confirmed in source material. Note: a separately listed company, “Aeroflex Enterprises,” is unrelated — its 41st AGM (8 Sep) should not be conflated with this name’s 32nd AGM.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Hindustan Copper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HINDCOPPER  −3.16%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The Government of India sold roughly 6% of the company via an Offer for Sale that opened 25 Aug and closed 26 Aug, timed to record global copper prices. The base 3% tranche was oversubscribed more than 3x with institutional bids exceeding ₹4,600 crore, prompting the government to exercise the additional 3% greenshoe. Source: Bloomberg, 26 Aug 2026.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Bluspring Enterprises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BLUSPRING  +3.33%</w:t>
      </w:r>
    </w:p>
    <w:p>
      <w:pPr>
        <w:spacing w:after="140" w:line="276"/>
      </w:pPr>
      <w:r>
        <w:rPr>
          <w:rFonts w:ascii="Calibri" w:cs="Calibri" w:eastAsia="Calibri" w:hAnsi="Calibri"/>
          <w:color w:val="252525"/>
          <w:sz w:val="20"/>
          <w:szCs w:val="20"/>
        </w:rPr>
        <w:t xml:space="preserve">LSG Sky Chefs (India) became a wholly-owned step-down subsidiary effective 6 Aug, extending the company’s food and hospitality services vertical. The 2nd AGM is scheduled for 31 Aug (video conference), with e-voting open 27–30 Aug — </w:t>
      </w: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this falls inside the current reporting week.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PNGS Reva Diamond Jewellery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PNGSREVA  −2.63%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Promoters acquired a 1.57% stake (23.2 lakh shares, ₹23.44 crore) in Shankesh Jewellers via open-market transactions on 25 Aug; the same report notes Nomura Singapore exited its position as the counterparty. Source: TradingView/Moneycontrol, Aug 2026.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Quiet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Jio Financial Services (JIOFIN, −1.06%):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Bank of America has entered a joint venture agreement to acquire up to 49.9% of Jio Credit Ltd, JIOFIN’s NBFC lending arm (AUM ₹30,667 crore as of 30 Jun). The company’s third post-listing AGM was held 26 Aug. Source: Bank of America Newsroom, Aug 2026.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Suzlon Energy (SUZLON, −0.83%):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A fresh 250 MW wind order from Torrent Green Energy was announced 25 Aug, taking cumulative Torrent-partnership capacity above 1.3 GW. The 31st AGM is scheduled for 11 Sep, outside the current week.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BSE Ltd (BSE, +0.07%):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21st AGM results (19 Aug) approved a ₹10/share final dividend. Bloomberg reported (19 Aug) that rival NSE is targeting a roughly $55 billion IPO valuation with a possible September launch window — a competitive overhang flagged in the same piece as coinciding with BSE shares losing favour.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K.P. Energy (539686, −1.78%):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Q1 FY27 revenue rose 137% YoY to ₹519 crore, but PAT grew only 3% as gross margin compressed to ~20% from 28% in Q4 FY26 on geopolitical disruption, supply-chain issues and higher right-of-way costs. An analyst site visit to Gujarat wind projects was held 25 Aug.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Black Box (BBOX, −1.80%):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Board approved unaudited Q1 FY27 results on 12 Aug (figures not captured in available disclosures). A strategic alliance with AIONOS, announced 5 Aug, targets AI-transformation opportunities including India’s GCC ecosystem.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Sandur Manganese &amp; Iron Ores (SANDUMA, −1.23%):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72nd AGM (19 Aug) reported record production volumes and standalone net-debt-free status, alongside a 2:1 bonus issue. The board separately approved (6 Aug) two new wholly-owned subsidiaries in hospitality and education.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Powergrid Infrastructure Investment Trust (543290, −0.55%):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SEBI has granted relaxation on board-independence norms until 31 Dec 2026 and nominee-director rules until 30 Sep 2026. Unitholders are being asked to approve a change of valuer to IndiaAppraisers.com from INMACS.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52525"/>
          <w:sz w:val="20"/>
          <w:szCs w:val="20"/>
        </w:rPr>
        <w:t xml:space="preserve">Tirupati Forge (TIRUPATIFL, −1.79%): </w:t>
      </w:r>
      <w:r>
        <w:rPr>
          <w:rFonts w:ascii="Calibri" w:cs="Calibri" w:eastAsia="Calibri" w:hAnsi="Calibri"/>
          <w:color w:val="252525"/>
          <w:sz w:val="20"/>
          <w:szCs w:val="20"/>
        </w:rPr>
        <w:t xml:space="preserve">No notable news found in the last 24–48h. Most recent material item is a 31 Jul technical-collaboration MOU for defence shell manufacturing, alongside an EGM approving 37 lakh warrants at ₹58 each.</w:t>
      </w:r>
    </w:p>
    <w:p>
      <w:pPr>
        <w:pStyle w:val="Heading1"/>
        <w:keepNext/>
        <w:spacing w:after="40" w:before="480"/>
      </w:pPr>
      <w:r>
        <w:rPr>
          <w:rFonts w:ascii="Calibri" w:cs="Calibri" w:eastAsia="Calibri" w:hAnsi="Calibri"/>
          <w:b/>
          <w:bCs/>
          <w:color w:val="C8A96B"/>
          <w:sz w:val="22"/>
          <w:szCs w:val="22"/>
        </w:rPr>
        <w:t xml:space="preserve">04  </w:t>
      </w:r>
      <w:r>
        <w:rPr>
          <w:rFonts w:ascii="Calibri" w:cs="Calibri" w:eastAsia="Calibri" w:hAnsi="Calibri"/>
          <w:b/>
          <w:bCs/>
          <w:color w:val="123C32"/>
          <w:spacing w:val="12"/>
          <w:sz w:val="22"/>
          <w:szCs w:val="22"/>
        </w:rPr>
        <w:t xml:space="preserve">SECTOR &amp; COMPANY DEVELOPMENTS</w:t>
      </w:r>
    </w:p>
    <w:p>
      <w:pPr>
        <w:keepNext/>
        <w:pBdr>
          <w:bottom w:val="single" w:color="C8A96B" w:sz="6" w:space="1"/>
        </w:pBdr>
        <w:spacing w:after="200" w:before="60"/>
      </w:pP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Financial Services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RBI’s August MPC held the repo rate at 5.25% (neutral stance, 4th consecutive hold), with CPI inflation at 4.4% in June — above the 4% target after 16 months below it — and the FY27 GDP growth forecast raised to 6.7%. The central bank has also signalled draft guidelines to resume on-tap licensing of Urban Co-operative Banks, ending a roughly 20-year pause.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Metals &amp; Mining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Global copper prices hit record levels (~$6.75/lb, 26 Aug) — the direct backdrop to the Hindustan Copper OFS above — while domestic copper traded around ₹1,377–1,381/kg. Broader market commentary for 27 Aug named metal stocks, alongside PSU banks and cement, among the sectors dragging the index lower.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Information Technology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India’s Global Capability Centre hiring is running counter-cyclical to overall white-collar hiring, up 11% YoY in H1 2026 against a full-year projection of roughly 510,000 GCC jobs, 64% of which require AI, data-science or automation skills. Reported skill shortfalls include ~90% in GenAI-ready talent and 55–60% in cloud-native skills. BFSI-focused GCCs are decelerating support-role hiring as they automate, while software-product GCCs stay focused on AI/ML and DevSecOps — directly relevant context for Black Box’s AIONOS alliance above.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Renewable Energy / Power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India added a record 26 GW of solar and 2.9 GW of wind in H1 2026, taking cumulative renewable capacity to 288 GW and non-fossil installed capacity past 300.5 GW as of 31 Jul. Solar build-out was front-loaded ahead of the ALMM-II domestic-content deadline in June; inter-state transmission-charge waivers are being phased out (50% waiver for projects commissioned from Jul 2026, ending after Jul 2028) — a fading policy tailwind that echoes K.P. Energy’s own margin-compression commentary this quarter.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Industrial / Engineering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No distinct sector-level regulatory or industry news surfaced beyond the company items above; Aeroflex’s capacity expansion and Tirupati Forge’s defence-shell MOU both point toward a broader defence-manufacturing and capex theme, though no dedicated sector report was found.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Healthcare / Pharmaceuticals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The “India Pharma 2026” conference reiterated policy support for self-reliance and AI-led drug discovery across India’s 3,000+ pharma companies and 10,500+ manufacturing facilities. Coverage noted a growing USFDA-inspection compliance gap between top-tier and smaller manufacturers, though no company-specific USFDA action beyond Wockhardt’s earlier Zaynich approval was found in the current window.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Jewellery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24K gold in India stood at roughly ₹1,69,054.50/10g as of 26 Aug (source figures show some variance and should be reconciled before quoting a single number). World Gold Council data points to a rebound in jewellery purchases and bullion imports following June’s price correction, with retailers building festive-season inventory from late August and rising demand for lower-purity 18K/14K pieces on price sensitivity.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Diversified Services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No distinct macro or regulatory news beyond Bluspring’s own activity; sector context is carried largely by the company’s post-demerger growth trajectory and the LSG Sky Chefs acquisition noted above.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23C32"/>
          <w:sz w:val="20"/>
          <w:szCs w:val="20"/>
        </w:rPr>
        <w:t xml:space="preserve">Exchanges / Capital Markets</w:t>
      </w:r>
      <w:r>
        <w:rPr>
          <w:rFonts w:ascii="Calibri" w:cs="Calibri" w:eastAsia="Calibri" w:hAnsi="Calibri"/>
          <w:b/>
          <w:bCs/>
          <w:color w:val="C8A96B"/>
          <w:sz w:val="17"/>
          <w:szCs w:val="17"/>
        </w:rPr>
        <w:t xml:space="preserve">  </w:t>
      </w:r>
    </w:p>
    <w:p>
      <w:pPr>
        <w:spacing w:after="1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52525"/>
          <w:sz w:val="20"/>
          <w:szCs w:val="20"/>
        </w:rPr>
        <w:t xml:space="preserve">SEBI is preparing several changes: new AI/ML guidelines for capital markets mandating a “kill switch” and human oversight (announced 19 Aug); a consultation paper (14 Aug) proposing an overhaul of the settlement mechanism to default toward settlement rather than rejection; a proposal to let discretionary portfolio managers invest in pre-IPO securities; and Buy-Back of Securities Amendment Regulations restoring the open-market buyback route, effective 1 Aug. On market structure, NSE retains the sole weekly Nifty 50 expiry (Tuesday) and BSE the sole Sensex expiry (Thursday) under SEBI’s single-benchmark-per-exchange circular, with minimum notional value for index derivatives raised to roughly ₹15 lakh.</w:t>
      </w:r>
    </w:p>
    <w:p>
      <w:pPr>
        <w:pStyle w:val="Heading1"/>
        <w:keepNext/>
        <w:spacing w:after="40" w:before="480"/>
      </w:pPr>
      <w:r>
        <w:rPr>
          <w:rFonts w:ascii="Calibri" w:cs="Calibri" w:eastAsia="Calibri" w:hAnsi="Calibri"/>
          <w:b/>
          <w:bCs/>
          <w:color w:val="C8A96B"/>
          <w:sz w:val="22"/>
          <w:szCs w:val="22"/>
        </w:rPr>
        <w:t xml:space="preserve">05  </w:t>
      </w:r>
      <w:r>
        <w:rPr>
          <w:rFonts w:ascii="Calibri" w:cs="Calibri" w:eastAsia="Calibri" w:hAnsi="Calibri"/>
          <w:b/>
          <w:bCs/>
          <w:color w:val="123C32"/>
          <w:spacing w:val="12"/>
          <w:sz w:val="22"/>
          <w:szCs w:val="22"/>
        </w:rPr>
        <w:t xml:space="preserve">WHAT'S ON THE CALENDAR</w:t>
      </w:r>
    </w:p>
    <w:p>
      <w:pPr>
        <w:keepNext/>
        <w:pBdr>
          <w:bottom w:val="single" w:color="C8A96B" w:sz="6" w:space="1"/>
        </w:pBdr>
        <w:spacing w:after="200" w:before="60"/>
      </w:pPr>
    </w:p>
    <w:tbl>
      <w:tblPr>
        <w:tblW w:type="dxa" w:w="10200"/>
        <w:tblBorders>
          <w:top w:val="single" w:color="D9D2C2" w:sz="4"/>
          <w:left w:val="none"/>
          <w:bottom w:val="single" w:color="D9D2C2" w:sz="4"/>
          <w:right w:val="none"/>
          <w:insideH w:val="single" w:color="E7E1D2" w:sz="2"/>
          <w:insideV w:val="none"/>
        </w:tblBorders>
      </w:tblPr>
      <w:tblGrid>
        <w:gridCol w:w="3200"/>
        <w:gridCol w:w="4600"/>
        <w:gridCol w:w="2400"/>
      </w:tblGrid>
      <w:tr>
        <w:trPr>
          <w:tblHeader/>
        </w:trPr>
        <w:tc>
          <w:tcPr>
            <w:tcW w:type="dxa" w:w="32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Name</w:t>
            </w:r>
          </w:p>
        </w:tc>
        <w:tc>
          <w:tcPr>
            <w:tcW w:type="dxa" w:w="46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Event</w:t>
            </w:r>
          </w:p>
        </w:tc>
        <w:tc>
          <w:tcPr>
            <w:tcW w:type="dxa" w:w="2400"/>
            <w:shd w:fill="123C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F3EA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Bluspring Enterprises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2nd AGM; e-voting window 27–30 Aug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31 Aug 2026</w:t>
            </w:r>
          </w:p>
        </w:tc>
      </w:tr>
      <w:tr>
        <w:tc>
          <w:tcPr>
            <w:tcW w:type="dxa" w:w="32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Jio Financial Services</w:t>
            </w:r>
          </w:p>
        </w:tc>
        <w:tc>
          <w:tcPr>
            <w:tcW w:type="dxa" w:w="4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Third AGM (post-listing)</w:t>
            </w:r>
          </w:p>
        </w:tc>
        <w:tc>
          <w:tcPr>
            <w:tcW w:type="dxa" w:w="2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26 Aug (occurred)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Hindustan Copper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Government OFS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25–26 Aug (occurred)</w:t>
            </w:r>
          </w:p>
        </w:tc>
      </w:tr>
      <w:tr>
        <w:tc>
          <w:tcPr>
            <w:tcW w:type="dxa" w:w="32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K.P. Energy</w:t>
            </w:r>
          </w:p>
        </w:tc>
        <w:tc>
          <w:tcPr>
            <w:tcW w:type="dxa" w:w="4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Analyst site visit, Gujarat wind projects</w:t>
            </w:r>
          </w:p>
        </w:tc>
        <w:tc>
          <w:tcPr>
            <w:tcW w:type="dxa" w:w="2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25 Aug (occurred)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BSE Ltd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Macquarie investor meeting (rescheduled)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25 Aug (occurred)</w:t>
            </w:r>
          </w:p>
        </w:tc>
      </w:tr>
      <w:tr>
        <w:tc>
          <w:tcPr>
            <w:tcW w:type="dxa" w:w="32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PNGS Reva Diamond Jewellery</w:t>
            </w:r>
          </w:p>
        </w:tc>
        <w:tc>
          <w:tcPr>
            <w:tcW w:type="dxa" w:w="4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Promoter open-market stake purchase disclosed</w:t>
            </w:r>
          </w:p>
        </w:tc>
        <w:tc>
          <w:tcPr>
            <w:tcW w:type="dxa" w:w="2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25 Aug (occurred)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Suzlon Energy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31st AGM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11 Sep (near-term)</w:t>
            </w:r>
          </w:p>
        </w:tc>
      </w:tr>
      <w:tr>
        <w:tc>
          <w:tcPr>
            <w:tcW w:type="dxa" w:w="32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Black Box</w:t>
            </w:r>
          </w:p>
        </w:tc>
        <w:tc>
          <w:tcPr>
            <w:tcW w:type="dxa" w:w="46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40th AGM</w:t>
            </w:r>
          </w:p>
        </w:tc>
        <w:tc>
          <w:tcPr>
            <w:tcW w:type="dxa" w:w="2400"/>
            <w:shd w:fill="FBF9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16 Sep (near-term)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BSE Ltd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Elara India Dialogue 2026 investor conference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52525"/>
                <w:sz w:val="18"/>
                <w:szCs w:val="18"/>
              </w:rPr>
              <w:t xml:space="preserve">2 Sep (near-term)</w:t>
            </w:r>
          </w:p>
        </w:tc>
      </w:tr>
    </w:tbl>
    <w:p>
      <w:pPr>
        <w:spacing w:after="100" w:line="260"/>
      </w:pPr>
      <w:r>
        <w:rPr>
          <w:rFonts w:ascii="Calibri" w:cs="Calibri" w:eastAsia="Calibri" w:hAnsi="Calibri"/>
          <w:i/>
          <w:iCs/>
          <w:color w:val="6B6B63"/>
          <w:sz w:val="17"/>
          <w:szCs w:val="17"/>
        </w:rPr>
        <w:t xml:space="preserve">No results date, board meeting or AGM disclosure was found scheduled within 25–31 Aug for: C2C Advanced Systems, Aeroflex Industries, Sandur Manganese &amp; Iron Ores (AGM already held 19 Aug), Tirupati Forge, Wockhardt (AGM already held 10 Aug), or Powergrid Infrastructure Investment Trust — stated explicitly rather than inferred.</w:t>
      </w:r>
    </w:p>
    <w:sectPr>
      <w:headerReference w:type="default" r:id="rId11"/>
      <w:headerReference w:type="first" r:id="rId12"/>
      <w:footerReference w:type="default" r:id="rId13"/>
      <w:footerReference w:type="first" r:id="rId14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4" w:space="6"/>
      </w:pBdr>
      <w:tabs>
        <w:tab w:val="right" w:pos="9540"/>
      </w:tabs>
      <w:spacing w:before="120"/>
    </w:pPr>
    <w:r>
      <w:rPr>
        <w:rFonts w:ascii="Calibri" w:cs="Calibri" w:eastAsia="Calibri" w:hAnsi="Calibri"/>
        <w:color w:val="6B6B63"/>
        <w:sz w:val="15"/>
        <w:szCs w:val="15"/>
      </w:rPr>
      <w:t xml:space="preserve">Internal — Confidential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6B6B63"/>
        <w:sz w:val="15"/>
        <w:szCs w:val="15"/>
      </w:rPr>
      <w:t xml:space="preserve">Page </w:t>
    </w:r>
    <w:r>
      <w:rPr>
        <w:rFonts w:ascii="Calibri" w:cs="Calibri" w:eastAsia="Calibri" w:hAnsi="Calibri"/>
        <w:color w:val="6B6B6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3"/>
        <w:sz w:val="15"/>
        <w:szCs w:val="15"/>
      </w:rPr>
      <w:t xml:space="preserve"> of </w:t>
    </w:r>
    <w:r>
      <w:rPr>
        <w:rFonts w:ascii="Calibri" w:cs="Calibri" w:eastAsia="Calibri" w:hAnsi="Calibri"/>
        <w:color w:val="6B6B6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4" w:space="6"/>
      </w:pBdr>
      <w:tabs>
        <w:tab w:val="right" w:pos="9540"/>
      </w:tabs>
      <w:spacing w:before="120"/>
    </w:pPr>
    <w:r>
      <w:rPr>
        <w:rFonts w:ascii="Calibri" w:cs="Calibri" w:eastAsia="Calibri" w:hAnsi="Calibri"/>
        <w:color w:val="6B6B63"/>
        <w:sz w:val="15"/>
        <w:szCs w:val="15"/>
      </w:rPr>
      <w:t xml:space="preserve">Internal — Confidential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6B6B63"/>
        <w:sz w:val="15"/>
        <w:szCs w:val="15"/>
      </w:rPr>
      <w:t xml:space="preserve">Page </w:t>
    </w:r>
    <w:r>
      <w:rPr>
        <w:rFonts w:ascii="Calibri" w:cs="Calibri" w:eastAsia="Calibri" w:hAnsi="Calibri"/>
        <w:color w:val="6B6B6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3"/>
        <w:sz w:val="15"/>
        <w:szCs w:val="15"/>
      </w:rPr>
      <w:t xml:space="preserve"> of </w:t>
    </w:r>
    <w:r>
      <w:rPr>
        <w:rFonts w:ascii="Calibri" w:cs="Calibri" w:eastAsia="Calibri" w:hAnsi="Calibri"/>
        <w:color w:val="6B6B6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B" w:sz="4" w:space="8"/>
      </w:pBdr>
      <w:spacing w:after="120"/>
      <w:jc w:val="right"/>
    </w:pPr>
    <w:r>
      <w:rPr>
        <w:rFonts w:ascii="Calibri" w:cs="Calibri" w:eastAsia="Calibri" w:hAnsi="Calibri"/>
        <w:b/>
        <w:bCs/>
        <w:color w:val="123C32"/>
        <w:spacing w:val="10"/>
        <w:sz w:val="15"/>
        <w:szCs w:val="15"/>
      </w:rPr>
      <w:t xml:space="preserve">DAILY MARKET PULSE</w:t>
    </w:r>
    <w:r>
      <w:rPr>
        <w:rFonts w:ascii="Calibri" w:cs="Calibri" w:eastAsia="Calibri" w:hAnsi="Calibri"/>
        <w:b/>
        <w:bCs/>
        <w:color w:val="C8A96B"/>
        <w:spacing w:val="10"/>
        <w:sz w:val="15"/>
        <w:szCs w:val="15"/>
      </w:rPr>
      <w:t xml:space="preserve">   ·   27 AUGUST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B" w:sz="4" w:space="8"/>
      </w:pBdr>
      <w:spacing w:after="120"/>
      <w:jc w:val="right"/>
    </w:pPr>
    <w:r>
      <w:rPr>
        <w:rFonts w:ascii="Calibri" w:cs="Calibri" w:eastAsia="Calibri" w:hAnsi="Calibri"/>
        <w:b/>
        <w:bCs/>
        <w:color w:val="123C32"/>
        <w:spacing w:val="10"/>
        <w:sz w:val="15"/>
        <w:szCs w:val="15"/>
      </w:rPr>
      <w:t xml:space="preserve">DAILY MARKET PULSE</w:t>
    </w:r>
    <w:r>
      <w:rPr>
        <w:rFonts w:ascii="Calibri" w:cs="Calibri" w:eastAsia="Calibri" w:hAnsi="Calibri"/>
        <w:b/>
        <w:bCs/>
        <w:color w:val="C8A96B"/>
        <w:spacing w:val="10"/>
        <w:sz w:val="15"/>
        <w:szCs w:val="15"/>
      </w:rPr>
      <w:t xml:space="preserve">   ·   27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252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480"/>
    </w:pPr>
    <w:rPr>
      <w:rFonts w:ascii="Calibri" w:cs="Calibri" w:eastAsia="Calibri" w:hAnsi="Calibri"/>
      <w:b/>
      <w:bCs/>
      <w:color w:val="123C32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23C3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2026-08-27T11:39:41.551Z</dcterms:created>
  <dcterms:modified xsi:type="dcterms:W3CDTF">2026-08-27T11:39:41.551Z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