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60"/>
        <w:jc w:val="center"/>
      </w:pPr>
      <w:r>
        <w:rPr>
          <w:rFonts w:ascii="Calibri" w:cs="Calibri" w:eastAsia="Calibri" w:hAnsi="Calibri"/>
          <w:b/>
          <w:bCs/>
          <w:color w:val="C8A96B"/>
          <w:spacing w:val="40"/>
          <w:sz w:val="22"/>
          <w:szCs w:val="22"/>
        </w:rPr>
        <w:t xml:space="preserve">ARTHA EQUITIES</w:t>
      </w:r>
    </w:p>
    <w:p>
      <w:pPr>
        <w:pBdr>
          <w:bottom w:val="single" w:color="C8A96B" w:sz="6" w:space="12"/>
        </w:pBdr>
        <w:spacing w:after="500"/>
        <w:jc w:val="center"/>
      </w:pPr>
    </w:p>
    <w:p>
      <w:pPr>
        <w:spacing w:after="200"/>
        <w:jc w:val="center"/>
      </w:pPr>
      <w:r>
        <w:rPr>
          <w:rFonts w:ascii="Georgia" w:cs="Georgia" w:eastAsia="Georgia" w:hAnsi="Georgia"/>
          <w:b/>
          <w:bCs/>
          <w:color w:val="123C32"/>
          <w:sz w:val="64"/>
          <w:szCs w:val="64"/>
        </w:rPr>
        <w:t xml:space="preserve">Daily Market Pulse</w:t>
      </w:r>
    </w:p>
    <w:p>
      <w:pPr>
        <w:spacing w:after="900"/>
        <w:jc w:val="center"/>
      </w:pPr>
      <w:r>
        <w:rPr>
          <w:rFonts w:ascii="Calibri" w:cs="Calibri" w:eastAsia="Calibri" w:hAnsi="Calibri"/>
          <w:color w:val="252525"/>
          <w:sz w:val="24"/>
          <w:szCs w:val="24"/>
        </w:rPr>
        <w:t xml:space="preserve">Friday, 28 August 2026</w:t>
      </w:r>
    </w:p>
    <w:p>
      <w:pPr>
        <w:spacing w:after="60"/>
        <w:jc w:val="center"/>
      </w:pPr>
      <w:r>
        <w:rPr>
          <w:rFonts w:ascii="Calibri" w:cs="Calibri" w:eastAsia="Calibri" w:hAnsi="Calibri"/>
          <w:b/>
          <w:bCs/>
          <w:color w:val="123C32"/>
          <w:sz w:val="22"/>
          <w:szCs w:val="22"/>
        </w:rPr>
        <w:t xml:space="preserve">Prepared for Ronish</w:t>
      </w:r>
    </w:p>
    <w:p>
      <w:pPr>
        <w:spacing w:after="1800"/>
        <w:jc w:val="center"/>
      </w:pPr>
      <w:r>
        <w:rPr>
          <w:rFonts w:ascii="Calibri" w:cs="Calibri" w:eastAsia="Calibri" w:hAnsi="Calibri"/>
          <w:i/>
          <w:iCs/>
          <w:color w:val="6B6B63"/>
          <w:sz w:val="18"/>
          <w:szCs w:val="18"/>
        </w:rPr>
        <w:t xml:space="preserve">Founder, Artha Equities</w:t>
      </w:r>
    </w:p>
    <w:p>
      <w:pPr>
        <w:spacing w:before="3200"/>
        <w:jc w:val="center"/>
      </w:pPr>
      <w:r>
        <w:rPr>
          <w:rFonts w:ascii="Calibri" w:cs="Calibri" w:eastAsia="Calibri" w:hAnsi="Calibri"/>
          <w:b/>
          <w:bCs/>
          <w:color w:val="C8A96B"/>
          <w:spacing w:val="30"/>
          <w:sz w:val="16"/>
          <w:szCs w:val="16"/>
        </w:rPr>
        <w:t xml:space="preserve">INTERNAL — CONFIDENTIAL</w:t>
      </w:r>
    </w:p>
    <w:p>
      <w:pPr>
        <w:spacing w:after="0"/>
        <w:jc w:val="center"/>
      </w:pPr>
      <w:r>
        <w:rPr>
          <w:rFonts w:ascii="Calibri" w:cs="Calibri" w:eastAsia="Calibri" w:hAnsi="Calibri"/>
          <w:i/>
          <w:iCs/>
          <w:color w:val="6B6B63"/>
          <w:sz w:val="15"/>
          <w:szCs w:val="15"/>
        </w:rPr>
        <w:t xml:space="preserve">Not for external distribution</w:t>
      </w:r>
    </w:p>
    <w:p>
      <w:r>
        <w:br w:type="page"/>
      </w:r>
    </w:p>
    <w:p>
      <w:pPr>
        <w:sectPr>
          <w:headerReference w:type="default" r:id="rId7"/>
          <w:headerReference w:type="first" r:id="rId8"/>
          <w:footerReference w:type="default" r:id="rId9"/>
          <w:footerReference w:type="first" r:id="rId10"/>
          <w:pgSz w:w="12240" w:h="15840" w:orient="portrait"/>
          <w:pgMar w:top="1350" w:right="1350" w:bottom="1350" w:left="1350" w:header="708" w:footer="708" w:gutter="0"/>
          <w:pgNumType/>
          <w:titlePg/>
          <w:docGrid w:linePitch="360"/>
        </w:sectPr>
      </w:pPr>
    </w:p>
    <w:p>
      <w:pPr>
        <w:pStyle w:val="Heading1"/>
        <w:keepNext/>
        <w:spacing w:after="40" w:before="480"/>
      </w:pPr>
      <w:r>
        <w:rPr>
          <w:rFonts w:ascii="Calibri" w:cs="Calibri" w:eastAsia="Calibri" w:hAnsi="Calibri"/>
          <w:b/>
          <w:bCs/>
          <w:color w:val="C8A96B"/>
          <w:sz w:val="22"/>
          <w:szCs w:val="22"/>
        </w:rPr>
        <w:t xml:space="preserve">01  </w:t>
      </w:r>
      <w:r>
        <w:rPr>
          <w:rFonts w:ascii="Calibri" w:cs="Calibri" w:eastAsia="Calibri" w:hAnsi="Calibri"/>
          <w:b/>
          <w:bCs/>
          <w:color w:val="123C32"/>
          <w:spacing w:val="12"/>
          <w:sz w:val="22"/>
          <w:szCs w:val="22"/>
        </w:rPr>
        <w:t xml:space="preserve">MARKET SNAPSHOT</w:t>
      </w:r>
    </w:p>
    <w:p>
      <w:pPr>
        <w:keepNext/>
        <w:pBdr>
          <w:bottom w:val="single" w:color="C8A96B" w:sz="6" w:space="1"/>
        </w:pBdr>
        <w:spacing w:after="200" w:before="60"/>
      </w:pPr>
    </w:p>
    <w:p>
      <w:pPr>
        <w:spacing w:after="100" w:line="260"/>
      </w:pPr>
      <w:r>
        <w:rPr>
          <w:rFonts w:ascii="Calibri" w:cs="Calibri" w:eastAsia="Calibri" w:hAnsi="Calibri"/>
          <w:i/>
          <w:iCs/>
          <w:color w:val="6B6B63"/>
          <w:sz w:val="17"/>
          <w:szCs w:val="17"/>
        </w:rPr>
        <w:t xml:space="preserve">Indian benchmark and global-cue figures below are drawn from Web research this session. Where cross-checked sources agreed, figures are presented as reasonably solid; where sources conflicted or a figure came from a single weak source, it is flagged explicitly rather than printed as settled fact.</w:t>
      </w:r>
    </w:p>
    <w:p>
      <w:pPr>
        <w:pStyle w:val="Heading2"/>
        <w:keepNext/>
        <w:spacing w:after="120" w:before="240"/>
      </w:pPr>
      <w:r>
        <w:rPr>
          <w:rFonts w:ascii="Calibri" w:cs="Calibri" w:eastAsia="Calibri" w:hAnsi="Calibri"/>
          <w:b/>
          <w:bCs/>
          <w:color w:val="123C32"/>
          <w:sz w:val="20"/>
          <w:szCs w:val="20"/>
        </w:rPr>
        <w:t xml:space="preserve">Indian Benchmarks — Friday, 28 August 2026 close</w:t>
      </w:r>
    </w:p>
    <w:tbl>
      <w:tblPr>
        <w:tblW w:type="dxa" w:w="9400"/>
        <w:tblBorders>
          <w:top w:val="single" w:color="D9D2C2" w:sz="4"/>
          <w:left w:val="none"/>
          <w:bottom w:val="single" w:color="D9D2C2" w:sz="4"/>
          <w:right w:val="none"/>
          <w:insideH w:val="single" w:color="E7E1D2" w:sz="2"/>
          <w:insideV w:val="none"/>
        </w:tblBorders>
      </w:tblPr>
      <w:tblGrid>
        <w:gridCol w:w="4600"/>
        <w:gridCol w:w="2400"/>
        <w:gridCol w:w="2400"/>
      </w:tblGrid>
      <w:tr>
        <w:trPr>
          <w:tblHeader/>
        </w:trPr>
        <w:tc>
          <w:tcPr>
            <w:tcW w:type="dxa" w:w="4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Index</w:t>
            </w:r>
          </w:p>
        </w:tc>
        <w:tc>
          <w:tcPr>
            <w:tcW w:type="dxa" w:w="24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Close</w:t>
            </w:r>
          </w:p>
        </w:tc>
        <w:tc>
          <w:tcPr>
            <w:tcW w:type="dxa" w:w="24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Change %</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Sensex</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77,264.51</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+0.43%</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50</w:t>
            </w:r>
          </w:p>
        </w:tc>
        <w:tc>
          <w:tcPr>
            <w:tcW w:type="dxa" w:w="2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24,175.65</w:t>
            </w:r>
          </w:p>
        </w:tc>
        <w:tc>
          <w:tcPr>
            <w:tcW w:type="dxa" w:w="2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+0.35%</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IT</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n/a</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+3.51%</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Metal</w:t>
            </w:r>
          </w:p>
        </w:tc>
        <w:tc>
          <w:tcPr>
            <w:tcW w:type="dxa" w:w="2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n/a</w:t>
            </w:r>
          </w:p>
        </w:tc>
        <w:tc>
          <w:tcPr>
            <w:tcW w:type="dxa" w:w="2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+0.75%*</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Pharma</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n/a</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+0.53%*</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Financial Services</w:t>
            </w:r>
          </w:p>
        </w:tc>
        <w:tc>
          <w:tcPr>
            <w:tcW w:type="dxa" w:w="2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n/a</w:t>
            </w:r>
          </w:p>
        </w:tc>
        <w:tc>
          <w:tcPr>
            <w:tcW w:type="dxa" w:w="24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+0.02%*</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Energy</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available for 28 Aug*</w:t>
            </w:r>
          </w:p>
        </w:tc>
        <w:tc>
          <w:tcPr>
            <w:tcW w:type="dxa" w:w="24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bl>
    <w:p>
      <w:pPr>
        <w:spacing w:after="100" w:line="260"/>
      </w:pPr>
      <w:r>
        <w:rPr>
          <w:rFonts w:ascii="Calibri" w:cs="Calibri" w:eastAsia="Calibri" w:hAnsi="Calibri"/>
          <w:i/>
          <w:iCs/>
          <w:color w:val="6B6B63"/>
          <w:sz w:val="17"/>
          <w:szCs w:val="17"/>
        </w:rPr>
        <w:t xml:space="preserve">Source: Business Standard, “Sensex snaps 2-day losing streak, gains 331 pts; Nifty at 24,176; IT shines,” 28 Aug 2026, corroborated by Free Press Journal and IBTimes India headlines on the same session. Nifty IT figure independently confirmed via Business Standard “Quick Wrap: Nifty IT Index rises 3.51%,” 28 Aug 2026.</w:t>
      </w:r>
    </w:p>
    <w:p>
      <w:pPr>
        <w:spacing w:after="100" w:line="260"/>
      </w:pPr>
      <w:r>
        <w:rPr>
          <w:rFonts w:ascii="Calibri" w:cs="Calibri" w:eastAsia="Calibri" w:hAnsi="Calibri"/>
          <w:i/>
          <w:iCs/>
          <w:color w:val="6B6B63"/>
          <w:sz w:val="17"/>
          <w:szCs w:val="17"/>
        </w:rPr>
        <w:t xml:space="preserve">* Nifty Metal, Nifty Pharma and Nifty Financial Services moves came only from search-engine synthesis, not a headline or primary source — treat as indicative, not confirmed. Nifty Energy had no figure dated 28 Aug 2026 in this session's research; the most recent confirmed print was −1.18% (close 38,124.45) on 19 Aug 2026, which is stale and not shown as today's move. No distinct “Nifty Renewable Energy” index was found reporting separately from Nifty Energy.</w:t>
      </w:r>
    </w:p>
    <w:p>
      <w:pPr>
        <w:pStyle w:val="Heading2"/>
        <w:keepNext/>
        <w:spacing w:after="120" w:before="240"/>
      </w:pPr>
      <w:r>
        <w:rPr>
          <w:rFonts w:ascii="Calibri" w:cs="Calibri" w:eastAsia="Calibri" w:hAnsi="Calibri"/>
          <w:b/>
          <w:bCs/>
          <w:color w:val="123C32"/>
          <w:sz w:val="20"/>
          <w:szCs w:val="20"/>
        </w:rPr>
        <w:t xml:space="preserve">Global Cues</w:t>
      </w:r>
    </w:p>
    <w:tbl>
      <w:tblPr>
        <w:tblW w:type="dxa" w:w="9400"/>
        <w:tblBorders>
          <w:top w:val="single" w:color="D9D2C2" w:sz="4"/>
          <w:left w:val="none"/>
          <w:bottom w:val="single" w:color="D9D2C2" w:sz="4"/>
          <w:right w:val="none"/>
          <w:insideH w:val="single" w:color="E7E1D2" w:sz="2"/>
          <w:insideV w:val="none"/>
        </w:tblBorders>
      </w:tblPr>
      <w:tblGrid>
        <w:gridCol w:w="4600"/>
        <w:gridCol w:w="2900"/>
        <w:gridCol w:w="1900"/>
      </w:tblGrid>
      <w:tr>
        <w:trPr>
          <w:tblHeader/>
        </w:trPr>
        <w:tc>
          <w:tcPr>
            <w:tcW w:type="dxa" w:w="4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Indicator</w:t>
            </w:r>
          </w:p>
        </w:tc>
        <w:tc>
          <w:tcPr>
            <w:tcW w:type="dxa" w:w="29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Level</w:t>
            </w:r>
          </w:p>
        </w:tc>
        <w:tc>
          <w:tcPr>
            <w:tcW w:type="dxa" w:w="19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Change</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S&amp;P 500 (27 Aug close)</w:t>
            </w:r>
          </w:p>
        </w:tc>
        <w:tc>
          <w:tcPr>
            <w:tcW w:type="dxa" w:w="2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7,730.99</w:t>
            </w:r>
          </w:p>
        </w:tc>
        <w:tc>
          <w:tcPr>
            <w:tcW w:type="dxa" w:w="1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+0.7%*</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Dow Jones (27 Aug close)</w:t>
            </w:r>
          </w:p>
        </w:tc>
        <w:tc>
          <w:tcPr>
            <w:tcW w:type="dxa" w:w="2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53,569.44</w:t>
            </w:r>
          </w:p>
        </w:tc>
        <w:tc>
          <w:tcPr>
            <w:tcW w:type="dxa" w:w="1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+0.2%*</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Nasdaq Composite (27 Aug close)</w:t>
            </w:r>
          </w:p>
        </w:tc>
        <w:tc>
          <w:tcPr>
            <w:tcW w:type="dxa" w:w="2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26,541.35</w:t>
            </w:r>
          </w:p>
        </w:tc>
        <w:tc>
          <w:tcPr>
            <w:tcW w:type="dxa" w:w="1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+1.6%*</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Nikkei 225</w:t>
            </w:r>
          </w:p>
        </w:tc>
        <w:tc>
          <w:tcPr>
            <w:tcW w:type="dxa" w:w="2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66,665.64</w:t>
            </w:r>
          </w:p>
        </w:tc>
        <w:tc>
          <w:tcPr>
            <w:tcW w:type="dxa" w:w="1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+0.81%</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Hang Seng</w:t>
            </w:r>
          </w:p>
        </w:tc>
        <w:tc>
          <w:tcPr>
            <w:tcW w:type="dxa" w:w="2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n/a</w:t>
            </w:r>
          </w:p>
        </w:tc>
        <w:tc>
          <w:tcPr>
            <w:tcW w:type="dxa" w:w="1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+0.30%</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Shanghai Composite</w:t>
            </w:r>
          </w:p>
        </w:tc>
        <w:tc>
          <w:tcPr>
            <w:tcW w:type="dxa" w:w="2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~3,952*</w:t>
            </w:r>
          </w:p>
        </w:tc>
        <w:tc>
          <w:tcPr>
            <w:tcW w:type="dxa" w:w="1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−0.11%*</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Brent crude</w:t>
            </w:r>
          </w:p>
        </w:tc>
        <w:tc>
          <w:tcPr>
            <w:tcW w:type="dxa" w:w="2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w:t>
            </w:r>
          </w:p>
        </w:tc>
        <w:tc>
          <w:tcPr>
            <w:tcW w:type="dxa" w:w="1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USD/INR</w:t>
            </w:r>
          </w:p>
        </w:tc>
        <w:tc>
          <w:tcPr>
            <w:tcW w:type="dxa" w:w="2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95.39 (provisional)</w:t>
            </w:r>
          </w:p>
        </w:tc>
        <w:tc>
          <w:tcPr>
            <w:tcW w:type="dxa" w:w="19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+6 paise</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India 10Y G-Sec yield</w:t>
            </w:r>
          </w:p>
        </w:tc>
        <w:tc>
          <w:tcPr>
            <w:tcW w:type="dxa" w:w="2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~6.85–6.91% (unconfirmed)*</w:t>
            </w:r>
          </w:p>
        </w:tc>
        <w:tc>
          <w:tcPr>
            <w:tcW w:type="dxa" w:w="19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bl>
    <w:p>
      <w:pPr>
        <w:spacing w:after="100" w:line="260"/>
      </w:pPr>
      <w:r>
        <w:rPr>
          <w:rFonts w:ascii="Calibri" w:cs="Calibri" w:eastAsia="Calibri" w:hAnsi="Calibri"/>
          <w:i/>
          <w:iCs/>
          <w:color w:val="6B6B63"/>
          <w:sz w:val="17"/>
          <w:szCs w:val="17"/>
        </w:rPr>
        <w:t xml:space="preserve">* S&amp;P 500 / Dow / Nasdaq closing levels are from search synthesis only — the up-move itself is confirmed by real CNBC/TheStreet/AP headlines tied to a Nvidia earnings reaction and the Jackson Hole symposium, but the exact prints are unverified against a primary source. Shanghai Composite is single-sourced (Trading Economics) and unconfirmed elsewhere.</w:t>
      </w:r>
    </w:p>
    <w:p>
      <w:pPr>
        <w:spacing w:after="100" w:line="260"/>
      </w:pPr>
      <w:r>
        <w:rPr>
          <w:rFonts w:ascii="Calibri" w:cs="Calibri" w:eastAsia="Calibri" w:hAnsi="Calibri"/>
          <w:i/>
          <w:iCs/>
          <w:color w:val="6B6B63"/>
          <w:sz w:val="17"/>
          <w:szCs w:val="17"/>
        </w:rPr>
        <w:t xml:space="preserve">Brent crude: research returned mutually inconsistent figures across sources ($88.22, $90.55, and a separate claim of a sub-$83 print) — no reliable number could be confirmed, so none is reported. India 10Y yield: two searches returned 6.87% and 6.91% respectively, attributed loosely to the same source type; direction (near multi-month highs on heavy supply) is consistent but the exact print is not confirmable this session.</w:t>
      </w:r>
    </w:p>
    <w:p>
      <w:pPr>
        <w:spacing w:after="100" w:line="260"/>
      </w:pPr>
      <w:r>
        <w:rPr>
          <w:rFonts w:ascii="Calibri" w:cs="Calibri" w:eastAsia="Calibri" w:hAnsi="Calibri"/>
          <w:i/>
          <w:iCs/>
          <w:color w:val="6B6B63"/>
          <w:sz w:val="17"/>
          <w:szCs w:val="17"/>
        </w:rPr>
        <w:t xml:space="preserve">USD/INR sourced to a PTI-style wire report, “Rupee rises 6 paise to settle at 95.39 against US dollar,” intraday range cited as 95.31–95.57.</w:t>
      </w:r>
    </w:p>
    <w:p>
      <w:pPr>
        <w:pStyle w:val="Heading1"/>
        <w:keepNext/>
        <w:spacing w:after="40" w:before="480"/>
      </w:pPr>
      <w:r>
        <w:rPr>
          <w:rFonts w:ascii="Calibri" w:cs="Calibri" w:eastAsia="Calibri" w:hAnsi="Calibri"/>
          <w:b/>
          <w:bCs/>
          <w:color w:val="C8A96B"/>
          <w:sz w:val="22"/>
          <w:szCs w:val="22"/>
        </w:rPr>
        <w:t xml:space="preserve">02  </w:t>
      </w:r>
      <w:r>
        <w:rPr>
          <w:rFonts w:ascii="Calibri" w:cs="Calibri" w:eastAsia="Calibri" w:hAnsi="Calibri"/>
          <w:b/>
          <w:bCs/>
          <w:color w:val="123C32"/>
          <w:spacing w:val="12"/>
          <w:sz w:val="22"/>
          <w:szCs w:val="22"/>
        </w:rPr>
        <w:t xml:space="preserve">MACRO &amp; FLOWS</w:t>
      </w:r>
    </w:p>
    <w:p>
      <w:pPr>
        <w:keepNext/>
        <w:pBdr>
          <w:bottom w:val="single" w:color="C8A96B" w:sz="6" w:space="1"/>
        </w:pBdr>
        <w:spacing w:after="200" w:before="60"/>
      </w:pPr>
    </w:p>
    <w:p>
      <w:pPr>
        <w:pStyle w:val="Heading2"/>
        <w:keepNext/>
        <w:spacing w:after="120" w:before="240"/>
      </w:pPr>
      <w:r>
        <w:rPr>
          <w:rFonts w:ascii="Calibri" w:cs="Calibri" w:eastAsia="Calibri" w:hAnsi="Calibri"/>
          <w:b/>
          <w:bCs/>
          <w:color w:val="123C32"/>
          <w:sz w:val="20"/>
          <w:szCs w:val="20"/>
        </w:rPr>
        <w:t xml:space="preserve">FII / DII Cash Market Activity — 27 August 2026 (provisional)</w:t>
      </w:r>
    </w:p>
    <w:tbl>
      <w:tblPr>
        <w:tblW w:type="dxa" w:w="9400"/>
        <w:tblBorders>
          <w:top w:val="single" w:color="D9D2C2" w:sz="4"/>
          <w:left w:val="none"/>
          <w:bottom w:val="single" w:color="D9D2C2" w:sz="4"/>
          <w:right w:val="none"/>
          <w:insideH w:val="single" w:color="E7E1D2" w:sz="2"/>
          <w:insideV w:val="none"/>
        </w:tblBorders>
      </w:tblPr>
      <w:tblGrid>
        <w:gridCol w:w="5600"/>
        <w:gridCol w:w="3800"/>
      </w:tblGrid>
      <w:tr>
        <w:trPr>
          <w:tblHeader/>
        </w:trPr>
        <w:tc>
          <w:tcPr>
            <w:tcW w:type="dxa" w:w="5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Category</w:t>
            </w:r>
          </w:p>
        </w:tc>
        <w:tc>
          <w:tcPr>
            <w:tcW w:type="dxa" w:w="38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Net Activity (₹ crore)</w:t>
            </w:r>
          </w:p>
        </w:tc>
      </w:tr>
      <w:tr>
        <w:tc>
          <w:tcPr>
            <w:tcW w:type="dxa" w:w="5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FII (cash)</w:t>
            </w:r>
          </w:p>
        </w:tc>
        <w:tc>
          <w:tcPr>
            <w:tcW w:type="dxa" w:w="38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−298.30 (net sellers)</w:t>
            </w:r>
          </w:p>
        </w:tc>
      </w:tr>
      <w:tr>
        <w:tc>
          <w:tcPr>
            <w:tcW w:type="dxa" w:w="5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DII (cash)</w:t>
            </w:r>
          </w:p>
        </w:tc>
        <w:tc>
          <w:tcPr>
            <w:tcW w:type="dxa" w:w="38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4,977.20 (net buyers)</w:t>
            </w:r>
          </w:p>
        </w:tc>
      </w:tr>
    </w:tbl>
    <w:p>
      <w:pPr>
        <w:spacing w:after="100" w:line="260"/>
      </w:pPr>
      <w:r>
        <w:rPr>
          <w:rFonts w:ascii="Calibri" w:cs="Calibri" w:eastAsia="Calibri" w:hAnsi="Calibri"/>
          <w:i/>
          <w:iCs/>
          <w:color w:val="6B6B63"/>
          <w:sz w:val="17"/>
          <w:szCs w:val="17"/>
        </w:rPr>
        <w:t xml:space="preserve">Same figures returned consistently across two independently phrased searches referencing NSE/exchange-style FII-DII trackers; same-day (28 Aug) flow data was not yet available at research time, so the most recent confirmed prior session (27 Aug, provisional per standard convention) is shown instead.</w:t>
      </w:r>
    </w:p>
    <w:p>
      <w:pPr>
        <w:pStyle w:val="Heading2"/>
        <w:keepNext/>
        <w:spacing w:after="120" w:before="240"/>
      </w:pPr>
      <w:r>
        <w:rPr>
          <w:rFonts w:ascii="Calibri" w:cs="Calibri" w:eastAsia="Calibri" w:hAnsi="Calibri"/>
          <w:b/>
          <w:bCs/>
          <w:color w:val="123C32"/>
          <w:sz w:val="20"/>
          <w:szCs w:val="20"/>
        </w:rPr>
        <w:t xml:space="preserve">This Week's / Upcoming Macro Calendar</w:t>
      </w:r>
    </w:p>
    <w:p>
      <w:pPr>
        <w:spacing w:after="140" w:line="276"/>
      </w:pPr>
      <w:r>
        <w:rPr>
          <w:rFonts w:ascii="Calibri" w:cs="Calibri" w:eastAsia="Calibri" w:hAnsi="Calibri"/>
          <w:b/>
          <w:bCs/>
          <w:color w:val="252525"/>
          <w:sz w:val="20"/>
          <w:szCs w:val="20"/>
        </w:rPr>
        <w:t xml:space="preserve">Jackson Hole Economic Symposium: </w:t>
      </w:r>
      <w:r>
        <w:rPr>
          <w:rFonts w:ascii="Calibri" w:cs="Calibri" w:eastAsia="Calibri" w:hAnsi="Calibri"/>
          <w:color w:val="252525"/>
          <w:sz w:val="20"/>
          <w:szCs w:val="20"/>
        </w:rPr>
        <w:t xml:space="preserve">27–29 August 2026, with the keynote address delivered Friday 28 August 2026. Confirmed across multiple independent outlets (Bloomberg live-blog, Kansas City Fed's own event page, TechTimes, Regards of Wall Street).</w:t>
      </w:r>
    </w:p>
    <w:p>
      <w:pPr>
        <w:spacing w:after="140" w:line="276"/>
      </w:pPr>
      <w:r>
        <w:rPr>
          <w:rFonts w:ascii="Calibri" w:cs="Calibri" w:eastAsia="Calibri" w:hAnsi="Calibri"/>
          <w:b/>
          <w:bCs/>
          <w:color w:val="252525"/>
          <w:sz w:val="20"/>
          <w:szCs w:val="20"/>
        </w:rPr>
        <w:t xml:space="preserve">India Q1 FY27 GDP: </w:t>
      </w:r>
      <w:r>
        <w:rPr>
          <w:rFonts w:ascii="Calibri" w:cs="Calibri" w:eastAsia="Calibri" w:hAnsi="Calibri"/>
          <w:color w:val="252525"/>
          <w:sz w:val="20"/>
          <w:szCs w:val="20"/>
        </w:rPr>
        <w:t xml:space="preserve">NSO scheduled to release its Q1 (Apr–Jun 2026) growth estimate on 31 August 2026, per a Business Standard preview (24 Aug 2026, “Weak rains, services likely eased Q1 FY27 growth to 4-quarter low”). Single-sourced — not independently cross-checked against MoSPI/NSO directly.</w:t>
      </w:r>
    </w:p>
    <w:p>
      <w:pPr>
        <w:spacing w:after="140" w:line="276"/>
      </w:pPr>
      <w:r>
        <w:rPr>
          <w:rFonts w:ascii="Calibri" w:cs="Calibri" w:eastAsia="Calibri" w:hAnsi="Calibri"/>
          <w:b/>
          <w:bCs/>
          <w:color w:val="252525"/>
          <w:sz w:val="20"/>
          <w:szCs w:val="20"/>
        </w:rPr>
        <w:t xml:space="preserve">RBI MPC — next meeting: </w:t>
      </w:r>
      <w:r>
        <w:rPr>
          <w:rFonts w:ascii="Calibri" w:cs="Calibri" w:eastAsia="Calibri" w:hAnsi="Calibri"/>
          <w:color w:val="252525"/>
          <w:sz w:val="20"/>
          <w:szCs w:val="20"/>
        </w:rPr>
        <w:t xml:space="preserve">indicatively 5–7 October 2026 per the published FY2026-27 schedule (single source, not cross-verified against RBI's own site). Note: a separate report referenced an MPC decision earlier in August 2026 (repo rate held at 5.25%, neutral stance) — the exact date of that prior meeting could not be pinned down this session.</w:t>
      </w:r>
    </w:p>
    <w:p>
      <w:pPr>
        <w:spacing w:after="140" w:line="276"/>
      </w:pPr>
      <w:r>
        <w:rPr>
          <w:rFonts w:ascii="Calibri" w:cs="Calibri" w:eastAsia="Calibri" w:hAnsi="Calibri"/>
          <w:b/>
          <w:bCs/>
          <w:color w:val="252525"/>
          <w:sz w:val="20"/>
          <w:szCs w:val="20"/>
        </w:rPr>
        <w:t xml:space="preserve">Fed leadership note: </w:t>
      </w:r>
      <w:r>
        <w:rPr>
          <w:rFonts w:ascii="Calibri" w:cs="Calibri" w:eastAsia="Calibri" w:hAnsi="Calibri"/>
          <w:color w:val="252525"/>
          <w:sz w:val="20"/>
          <w:szCs w:val="20"/>
        </w:rPr>
        <w:t xml:space="preserve">the Jackson Hole keynote is reported as delivered by Kevin Warsh, described in multiple outlets as having become Fed Chair in May 2026. This is a materially significant claim that could not be verified against a primary source (federalreserve.gov was unreachable this session) — flagged here for confirmation before being treated as settled fact.</w:t>
      </w:r>
    </w:p>
    <w:p>
      <w:pPr>
        <w:spacing w:after="140" w:line="276"/>
      </w:pPr>
      <w:r>
        <w:rPr>
          <w:rFonts w:ascii="Calibri" w:cs="Calibri" w:eastAsia="Calibri" w:hAnsi="Calibri"/>
          <w:b/>
          <w:bCs/>
          <w:color w:val="252525"/>
          <w:sz w:val="20"/>
          <w:szCs w:val="20"/>
        </w:rPr>
        <w:t xml:space="preserve">CPI / WPI / IIP (August prints): </w:t>
      </w:r>
      <w:r>
        <w:rPr>
          <w:rFonts w:ascii="Calibri" w:cs="Calibri" w:eastAsia="Calibri" w:hAnsi="Calibri"/>
          <w:color w:val="252525"/>
          <w:sz w:val="20"/>
          <w:szCs w:val="20"/>
        </w:rPr>
        <w:t xml:space="preserve">no specific release date for this week could be confirmed from a reliable source this session — not sourced.</w:t>
      </w:r>
    </w:p>
    <w:p>
      <w:pPr>
        <w:pStyle w:val="Heading1"/>
        <w:keepNext/>
        <w:spacing w:after="40" w:before="480"/>
      </w:pPr>
      <w:r>
        <w:rPr>
          <w:rFonts w:ascii="Calibri" w:cs="Calibri" w:eastAsia="Calibri" w:hAnsi="Calibri"/>
          <w:b/>
          <w:bCs/>
          <w:color w:val="C8A96B"/>
          <w:sz w:val="22"/>
          <w:szCs w:val="22"/>
        </w:rPr>
        <w:t xml:space="preserve">03  </w:t>
      </w:r>
      <w:r>
        <w:rPr>
          <w:rFonts w:ascii="Calibri" w:cs="Calibri" w:eastAsia="Calibri" w:hAnsi="Calibri"/>
          <w:b/>
          <w:bCs/>
          <w:color w:val="123C32"/>
          <w:spacing w:val="12"/>
          <w:sz w:val="22"/>
          <w:szCs w:val="22"/>
        </w:rPr>
        <w:t xml:space="preserve">WATCHLIST MOVERS</w:t>
      </w:r>
    </w:p>
    <w:p>
      <w:pPr>
        <w:keepNext/>
        <w:pBdr>
          <w:bottom w:val="single" w:color="C8A96B" w:sz="6" w:space="1"/>
        </w:pBdr>
        <w:spacing w:after="200" w:before="60"/>
      </w:pPr>
    </w:p>
    <w:p>
      <w:pPr>
        <w:spacing w:after="100" w:line="260"/>
      </w:pPr>
      <w:r>
        <w:rPr>
          <w:rFonts w:ascii="Calibri" w:cs="Calibri" w:eastAsia="Calibri" w:hAnsi="Calibri"/>
          <w:i/>
          <w:iCs/>
          <w:color w:val="6B6B63"/>
          <w:sz w:val="17"/>
          <w:szCs w:val="17"/>
        </w:rPr>
        <w:t xml:space="preserve">Prices, % change and volume signal below are read directly from the watchlist's live feed. This is an intraday feed with no embedded timestamp, so treat these as the latest available session snapshot rather than a fixed end-of-day print; where research below cites its own session date for news, that date is stated explicitly.</w:t>
      </w:r>
    </w:p>
    <w:tbl>
      <w:tblPr>
        <w:tblW w:type="dxa" w:w="10000"/>
        <w:tblBorders>
          <w:top w:val="single" w:color="D9D2C2" w:sz="4"/>
          <w:left w:val="none"/>
          <w:bottom w:val="single" w:color="D9D2C2" w:sz="4"/>
          <w:right w:val="none"/>
          <w:insideH w:val="single" w:color="E7E1D2" w:sz="2"/>
          <w:insideV w:val="none"/>
        </w:tblBorders>
      </w:tblPr>
      <w:tblGrid>
        <w:gridCol w:w="3600"/>
        <w:gridCol w:w="1700"/>
        <w:gridCol w:w="1500"/>
        <w:gridCol w:w="1500"/>
        <w:gridCol w:w="1700"/>
      </w:tblGrid>
      <w:tr>
        <w:trPr>
          <w:tblHeader/>
        </w:trPr>
        <w:tc>
          <w:tcPr>
            <w:tcW w:type="dxa" w:w="3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Name</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Ticker</w:t>
            </w:r>
          </w:p>
        </w:tc>
        <w:tc>
          <w:tcPr>
            <w:tcW w:type="dxa" w:w="15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Close</w:t>
            </w:r>
          </w:p>
        </w:tc>
        <w:tc>
          <w:tcPr>
            <w:tcW w:type="dxa" w:w="15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Change %</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Signal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Jio Financial Services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JIOFIN</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238.45</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−1.06%</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Hindustan Copper</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HINDCOPPER</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538.50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−3.16%</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Bearish</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C2C Advanced Systems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C2C</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1,122.00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+4.24%</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Bullish</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SUZLON</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46.55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−0.83%</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Black Box</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BBOX</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160.00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−1.80%</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Aeroflex Industries</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AEROFLEX</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518.80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−3.27%</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Sandur Manganese &amp; Iron Ores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SANDUMA</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207.10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−1.23%</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Bearish</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Tirupati Forge</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TIRUPATIFL</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68.40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−1.79%</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Wockhardt</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WOCKPHARMA</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1,971.00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+4.72%</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Bullish</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PNGS Reva Diamond Jewellery</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PNGSREVA</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541.05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−2.63%</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Bluspring Enterprises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BLUSPRING</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132.40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+3.33%</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Powergrid Infrastructure InvIT</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543290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99.50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−0.55%</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K.P. Energy</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539686</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245.85</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−1.78%</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BSE Ltd</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BSE</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3,328.00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+0.07%</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bl>
    <w:p>
      <w:pPr>
        <w:pStyle w:val="Heading2"/>
        <w:keepNext/>
        <w:spacing w:after="120" w:before="240"/>
      </w:pPr>
      <w:r>
        <w:rPr>
          <w:rFonts w:ascii="Calibri" w:cs="Calibri" w:eastAsia="Calibri" w:hAnsi="Calibri"/>
          <w:b/>
          <w:bCs/>
          <w:color w:val="123C32"/>
          <w:sz w:val="20"/>
          <w:szCs w:val="20"/>
        </w:rPr>
        <w:t xml:space="preserve">Notable Movers</w:t>
      </w:r>
    </w:p>
    <w:p>
      <w:pPr>
        <w:spacing w:after="60" w:before="220"/>
      </w:pPr>
      <w:r>
        <w:rPr>
          <w:rFonts w:ascii="Calibri" w:cs="Calibri" w:eastAsia="Calibri" w:hAnsi="Calibri"/>
          <w:b/>
          <w:bCs/>
          <w:color w:val="123C32"/>
          <w:sz w:val="20"/>
          <w:szCs w:val="20"/>
        </w:rPr>
        <w:t xml:space="preserve">Jio Financial Services</w:t>
      </w:r>
      <w:r>
        <w:rPr>
          <w:rFonts w:ascii="Calibri" w:cs="Calibri" w:eastAsia="Calibri" w:hAnsi="Calibri"/>
          <w:b/>
          <w:bCs/>
          <w:color w:val="C8A96B"/>
          <w:sz w:val="17"/>
          <w:szCs w:val="17"/>
        </w:rPr>
        <w:t xml:space="preserve">  JIOFIN · −1.06%</w:t>
      </w:r>
    </w:p>
    <w:p>
      <w:pPr>
        <w:spacing w:after="140" w:line="276"/>
      </w:pPr>
      <w:r>
        <w:rPr>
          <w:rFonts w:ascii="Calibri" w:cs="Calibri" w:eastAsia="Calibri" w:hAnsi="Calibri"/>
          <w:b w:val="false"/>
          <w:bCs w:val="false"/>
          <w:i w:val="false"/>
          <w:iCs w:val="false"/>
          <w:color w:val="252525"/>
          <w:sz w:val="20"/>
          <w:szCs w:val="20"/>
        </w:rPr>
        <w:t xml:space="preserve">Jio Financial Services and Bank of America signed a definitive agreement for BofA to acquire up to 49.9% of JFSL's NBFC lending subsidiary, Jio Credit Ltd, with an initial 26.5% stake for ₹6,612.9 crore via preferential allotment (Medianama, Aug 2026). At its AGM on 26 August 2026, shareholders approved a final dividend of ₹0.60/share and reappointed Hitesh Sethia as MD &amp; CEO for five years from 15 November 2026.</w:t>
      </w:r>
    </w:p>
    <w:p>
      <w:pPr>
        <w:spacing w:after="60" w:before="220"/>
      </w:pPr>
      <w:r>
        <w:rPr>
          <w:rFonts w:ascii="Calibri" w:cs="Calibri" w:eastAsia="Calibri" w:hAnsi="Calibri"/>
          <w:b/>
          <w:bCs/>
          <w:color w:val="123C32"/>
          <w:sz w:val="20"/>
          <w:szCs w:val="20"/>
        </w:rPr>
        <w:t xml:space="preserve">Hindustan Copper</w:t>
      </w:r>
      <w:r>
        <w:rPr>
          <w:rFonts w:ascii="Calibri" w:cs="Calibri" w:eastAsia="Calibri" w:hAnsi="Calibri"/>
          <w:b/>
          <w:bCs/>
          <w:color w:val="C8A96B"/>
          <w:sz w:val="17"/>
          <w:szCs w:val="17"/>
        </w:rPr>
        <w:t xml:space="preserve">  HINDCOPPER · −3.16%</w:t>
      </w:r>
    </w:p>
    <w:p>
      <w:pPr>
        <w:spacing w:after="140" w:line="276"/>
      </w:pPr>
      <w:r>
        <w:rPr>
          <w:rFonts w:ascii="Calibri" w:cs="Calibri" w:eastAsia="Calibri" w:hAnsi="Calibri"/>
          <w:b w:val="false"/>
          <w:bCs w:val="false"/>
          <w:i w:val="false"/>
          <w:iCs w:val="false"/>
          <w:color w:val="252525"/>
          <w:sz w:val="20"/>
          <w:szCs w:val="20"/>
        </w:rPr>
        <w:t xml:space="preserve">The government announced on 24 August 2026 an offer-for-sale of up to 6% of Hindustan Copper at a floor price of ₹514/share — a discount to the prior close — with the base 3% tranche subscribed more than 3x on institutional demand, prompting the green-shoe option for the additional 3% (Bloomberg, 26 Aug 2026). Q1 FY27 net profit rose 162.5% YoY to ₹352.37 crore, though down 20% sequentially from Q4 FY26.</w:t>
      </w:r>
    </w:p>
    <w:p>
      <w:pPr>
        <w:spacing w:after="60" w:before="220"/>
      </w:pPr>
      <w:r>
        <w:rPr>
          <w:rFonts w:ascii="Calibri" w:cs="Calibri" w:eastAsia="Calibri" w:hAnsi="Calibri"/>
          <w:b/>
          <w:bCs/>
          <w:color w:val="123C32"/>
          <w:sz w:val="20"/>
          <w:szCs w:val="20"/>
        </w:rPr>
        <w:t xml:space="preserve">C2C Advanced Systems</w:t>
      </w:r>
      <w:r>
        <w:rPr>
          <w:rFonts w:ascii="Calibri" w:cs="Calibri" w:eastAsia="Calibri" w:hAnsi="Calibri"/>
          <w:b/>
          <w:bCs/>
          <w:color w:val="C8A96B"/>
          <w:sz w:val="17"/>
          <w:szCs w:val="17"/>
        </w:rPr>
        <w:t xml:space="preserve">  C2C · +4.24%</w:t>
      </w:r>
    </w:p>
    <w:p>
      <w:pPr>
        <w:spacing w:after="140" w:line="276"/>
      </w:pPr>
      <w:r>
        <w:rPr>
          <w:rFonts w:ascii="Calibri" w:cs="Calibri" w:eastAsia="Calibri" w:hAnsi="Calibri"/>
          <w:b w:val="false"/>
          <w:bCs w:val="false"/>
          <w:i w:val="false"/>
          <w:iCs w:val="false"/>
          <w:color w:val="252525"/>
          <w:sz w:val="20"/>
          <w:szCs w:val="20"/>
        </w:rPr>
        <w:t xml:space="preserve">Statutory auditor LABS &amp; Associates resigned effective 14 August 2026 with no reason disclosed in available sources — flagged here as a governance item worth watching despite the day's price gain. No confirmed Q1 FY27 (June-quarter) results could be located this session; the most recent verified figures are FY25 annual (revenue ₹117.46 crore, +184% YoY). Note: price levels for this name varied across sources in research — the close shown in the table above (₹1,122.00) is taken directly from the watchlist sheet and should be treated as the reliable figure.</w:t>
      </w:r>
    </w:p>
    <w:p>
      <w:pPr>
        <w:spacing w:after="60" w:before="220"/>
      </w:pPr>
      <w:r>
        <w:rPr>
          <w:rFonts w:ascii="Calibri" w:cs="Calibri" w:eastAsia="Calibri" w:hAnsi="Calibri"/>
          <w:b/>
          <w:bCs/>
          <w:color w:val="123C32"/>
          <w:sz w:val="20"/>
          <w:szCs w:val="20"/>
        </w:rPr>
        <w:t xml:space="preserve">Aeroflex Industries</w:t>
      </w:r>
      <w:r>
        <w:rPr>
          <w:rFonts w:ascii="Calibri" w:cs="Calibri" w:eastAsia="Calibri" w:hAnsi="Calibri"/>
          <w:b/>
          <w:bCs/>
          <w:color w:val="C8A96B"/>
          <w:sz w:val="17"/>
          <w:szCs w:val="17"/>
        </w:rPr>
        <w:t xml:space="preserve">  AEROFLEX · −3.27%</w:t>
      </w:r>
    </w:p>
    <w:p>
      <w:pPr>
        <w:spacing w:after="140" w:line="276"/>
      </w:pPr>
      <w:r>
        <w:rPr>
          <w:rFonts w:ascii="Calibri" w:cs="Calibri" w:eastAsia="Calibri" w:hAnsi="Calibri"/>
          <w:b w:val="false"/>
          <w:bCs w:val="false"/>
          <w:i w:val="false"/>
          <w:iCs w:val="false"/>
          <w:color w:val="252525"/>
          <w:sz w:val="20"/>
          <w:szCs w:val="20"/>
        </w:rPr>
        <w:t xml:space="preserve">Today's pullback follows an all-time high of ₹523 set on 26 August 2026 (+196% over the past year). Q1 FY27 standalone net profit rose ~150% YoY to ₹19.06 crore on revenue up ~75.5% YoY, with EBITDA margin expanding 539bps to 23.76%, driven by liquid-cooling assembly demand.</w:t>
      </w:r>
    </w:p>
    <w:p>
      <w:pPr>
        <w:spacing w:after="60" w:before="220"/>
      </w:pPr>
      <w:r>
        <w:rPr>
          <w:rFonts w:ascii="Calibri" w:cs="Calibri" w:eastAsia="Calibri" w:hAnsi="Calibri"/>
          <w:b/>
          <w:bCs/>
          <w:color w:val="123C32"/>
          <w:sz w:val="20"/>
          <w:szCs w:val="20"/>
        </w:rPr>
        <w:t xml:space="preserve">Wockhardt</w:t>
      </w:r>
      <w:r>
        <w:rPr>
          <w:rFonts w:ascii="Calibri" w:cs="Calibri" w:eastAsia="Calibri" w:hAnsi="Calibri"/>
          <w:b/>
          <w:bCs/>
          <w:color w:val="C8A96B"/>
          <w:sz w:val="17"/>
          <w:szCs w:val="17"/>
        </w:rPr>
        <w:t xml:space="preserve">  WOCKPHARMA · +4.72%</w:t>
      </w:r>
    </w:p>
    <w:p>
      <w:pPr>
        <w:spacing w:after="140" w:line="276"/>
      </w:pPr>
      <w:r>
        <w:rPr>
          <w:rFonts w:ascii="Calibri" w:cs="Calibri" w:eastAsia="Calibri" w:hAnsi="Calibri"/>
          <w:b w:val="false"/>
          <w:bCs w:val="false"/>
          <w:i w:val="false"/>
          <w:iCs w:val="false"/>
          <w:color w:val="252525"/>
          <w:sz w:val="20"/>
          <w:szCs w:val="20"/>
        </w:rPr>
        <w:t xml:space="preserve">Q1 FY27 results (board-approved 10 August 2026) showed a swing to ₹106 crore net profit from a ₹90 crore net loss the previous quarter. ICRA upgraded the company's credit rating from BBB;Positive/A3 to A−;Stable/A2 in early July 2026. Separately, a customs order received 21 August 2026 imposed a ₹5 crore penalty and ₹10 crore redemption fine for API misclassification.</w:t>
      </w:r>
    </w:p>
    <w:p>
      <w:pPr>
        <w:spacing w:after="60" w:before="220"/>
      </w:pPr>
      <w:r>
        <w:rPr>
          <w:rFonts w:ascii="Calibri" w:cs="Calibri" w:eastAsia="Calibri" w:hAnsi="Calibri"/>
          <w:b/>
          <w:bCs/>
          <w:color w:val="123C32"/>
          <w:sz w:val="20"/>
          <w:szCs w:val="20"/>
        </w:rPr>
        <w:t xml:space="preserve">Bluspring Enterprises</w:t>
      </w:r>
      <w:r>
        <w:rPr>
          <w:rFonts w:ascii="Calibri" w:cs="Calibri" w:eastAsia="Calibri" w:hAnsi="Calibri"/>
          <w:b/>
          <w:bCs/>
          <w:color w:val="C8A96B"/>
          <w:sz w:val="17"/>
          <w:szCs w:val="17"/>
        </w:rPr>
        <w:t xml:space="preserve">  BLUSPRING · +3.33%</w:t>
      </w:r>
    </w:p>
    <w:p>
      <w:pPr>
        <w:spacing w:after="140" w:line="276"/>
      </w:pPr>
      <w:r>
        <w:rPr>
          <w:rFonts w:ascii="Calibri" w:cs="Calibri" w:eastAsia="Calibri" w:hAnsi="Calibri"/>
          <w:b w:val="false"/>
          <w:bCs w:val="false"/>
          <w:i w:val="false"/>
          <w:iCs w:val="false"/>
          <w:color w:val="252525"/>
          <w:sz w:val="20"/>
          <w:szCs w:val="20"/>
        </w:rPr>
        <w:t xml:space="preserve">A subsidiary completed a 100% acquisition of LSG Sky Chefs (India) — Bengaluru in-flight catering operations — for approximately ₹129 crore on 6 August 2026, under a concession running to 2039 that puts the company in competition with TajSATS, Oberoi Flight Services and Gate Group. FY26 revenue rose 11% with adjusted PAT up 27%.</w:t>
      </w:r>
    </w:p>
    <w:p>
      <w:pPr>
        <w:spacing w:after="60" w:before="220"/>
      </w:pPr>
      <w:r>
        <w:rPr>
          <w:rFonts w:ascii="Calibri" w:cs="Calibri" w:eastAsia="Calibri" w:hAnsi="Calibri"/>
          <w:b/>
          <w:bCs/>
          <w:color w:val="123C32"/>
          <w:sz w:val="20"/>
          <w:szCs w:val="20"/>
        </w:rPr>
        <w:t xml:space="preserve">Sandur Manganese &amp; Iron Ores</w:t>
      </w:r>
      <w:r>
        <w:rPr>
          <w:rFonts w:ascii="Calibri" w:cs="Calibri" w:eastAsia="Calibri" w:hAnsi="Calibri"/>
          <w:b/>
          <w:bCs/>
          <w:color w:val="C8A96B"/>
          <w:sz w:val="17"/>
          <w:szCs w:val="17"/>
        </w:rPr>
        <w:t xml:space="preserve">  SANDUMA · −1.23%</w:t>
      </w:r>
    </w:p>
    <w:p>
      <w:pPr>
        <w:spacing w:after="140" w:line="276"/>
      </w:pPr>
      <w:r>
        <w:rPr>
          <w:rFonts w:ascii="Calibri" w:cs="Calibri" w:eastAsia="Calibri" w:hAnsi="Calibri"/>
          <w:b w:val="false"/>
          <w:bCs w:val="false"/>
          <w:i w:val="false"/>
          <w:iCs w:val="false"/>
          <w:color w:val="252525"/>
          <w:sz w:val="20"/>
          <w:szCs w:val="20"/>
        </w:rPr>
        <w:t xml:space="preserve">Q1 FY27 consolidated PAT rose 36% YoY to ₹228 crore on manganese ore sales volume up ~99% YoY, but the sector backdrop turned less favourable: MOIL cut manganese ore prices 4–5% across grades for August, the second consecutive monthly cut. The company also announced a rebrand to “Royal Sandur Group” with two new non-core subsidiaries incorporated in August (academy and hospitality ventures).</w:t>
      </w:r>
    </w:p>
    <w:p>
      <w:pPr>
        <w:spacing w:after="60" w:before="220"/>
      </w:pPr>
      <w:r>
        <w:rPr>
          <w:rFonts w:ascii="Calibri" w:cs="Calibri" w:eastAsia="Calibri" w:hAnsi="Calibri"/>
          <w:b/>
          <w:bCs/>
          <w:color w:val="123C32"/>
          <w:sz w:val="20"/>
          <w:szCs w:val="20"/>
        </w:rPr>
        <w:t xml:space="preserve">BSE Ltd</w:t>
      </w:r>
      <w:r>
        <w:rPr>
          <w:rFonts w:ascii="Calibri" w:cs="Calibri" w:eastAsia="Calibri" w:hAnsi="Calibri"/>
          <w:b/>
          <w:bCs/>
          <w:color w:val="C8A96B"/>
          <w:sz w:val="17"/>
          <w:szCs w:val="17"/>
        </w:rPr>
        <w:t xml:space="preserve">  BSE · +0.07%</w:t>
      </w:r>
    </w:p>
    <w:p>
      <w:pPr>
        <w:spacing w:after="140" w:line="276"/>
      </w:pPr>
      <w:r>
        <w:rPr>
          <w:rFonts w:ascii="Calibri" w:cs="Calibri" w:eastAsia="Calibri" w:hAnsi="Calibri"/>
          <w:b w:val="false"/>
          <w:bCs w:val="false"/>
          <w:i w:val="false"/>
          <w:iCs w:val="false"/>
          <w:color w:val="252525"/>
          <w:sz w:val="20"/>
          <w:szCs w:val="20"/>
        </w:rPr>
        <w:t xml:space="preserve">The exchange's new Closing Auction System saw its first monthly derivatives expiry on 27 August 2026 marked by extreme volatility — a deep out-of-the-money put option on a bank index surged roughly 4,000% before collapsing to near-zero within 15 minutes (Bloomberg, 28 Aug 2026). The stock remains down roughly 6% over the past month (still +26.46% YTD), with commentary linking the weakness partly to the pending NSE IPO (DRHP filed 17 June 2026, ~₹30,000 crore issue) that would itself list on BSE. ICICI Securities raised its Hold target to ₹3,530 on 6 August 2026.</w:t>
      </w:r>
    </w:p>
    <w:p>
      <w:pPr>
        <w:pStyle w:val="Heading2"/>
        <w:keepNext/>
        <w:spacing w:after="120" w:before="240"/>
      </w:pPr>
      <w:r>
        <w:rPr>
          <w:rFonts w:ascii="Calibri" w:cs="Calibri" w:eastAsia="Calibri" w:hAnsi="Calibri"/>
          <w:b/>
          <w:bCs/>
          <w:color w:val="123C32"/>
          <w:sz w:val="20"/>
          <w:szCs w:val="20"/>
        </w:rPr>
        <w:t xml:space="preserve">Quiet</w:t>
      </w:r>
    </w:p>
    <w:p>
      <w:pPr>
        <w:spacing w:after="140" w:line="276"/>
      </w:pPr>
      <w:r>
        <w:rPr>
          <w:rFonts w:ascii="Calibri" w:cs="Calibri" w:eastAsia="Calibri" w:hAnsi="Calibri"/>
          <w:b/>
          <w:bCs/>
          <w:color w:val="252525"/>
          <w:sz w:val="20"/>
          <w:szCs w:val="20"/>
        </w:rPr>
        <w:t xml:space="preserve">Suzlon Energy (−0.83%): </w:t>
      </w:r>
      <w:r>
        <w:rPr>
          <w:rFonts w:ascii="Calibri" w:cs="Calibri" w:eastAsia="Calibri" w:hAnsi="Calibri"/>
          <w:color w:val="252525"/>
          <w:sz w:val="20"/>
          <w:szCs w:val="20"/>
        </w:rPr>
        <w:t xml:space="preserve">a fresh 250 MW wind order from Torrent Green Energy (25 Aug 2026) takes cumulative capacity under that partnership past 1.3 GW; Q1 FY27 profit was down 5.9% YoY on revenue up 22.5%. No unusual price reaction.</w:t>
      </w:r>
    </w:p>
    <w:p>
      <w:pPr>
        <w:spacing w:after="140" w:line="276"/>
      </w:pPr>
      <w:r>
        <w:rPr>
          <w:rFonts w:ascii="Calibri" w:cs="Calibri" w:eastAsia="Calibri" w:hAnsi="Calibri"/>
          <w:b/>
          <w:bCs/>
          <w:color w:val="252525"/>
          <w:sz w:val="20"/>
          <w:szCs w:val="20"/>
        </w:rPr>
        <w:t xml:space="preserve">Black Box (−1.80%): </w:t>
      </w:r>
      <w:r>
        <w:rPr>
          <w:rFonts w:ascii="Calibri" w:cs="Calibri" w:eastAsia="Calibri" w:hAnsi="Calibri"/>
          <w:color w:val="252525"/>
          <w:sz w:val="20"/>
          <w:szCs w:val="20"/>
        </w:rPr>
        <w:t xml:space="preserve">announced a strategic AI alliance with AIONOS on 5 August 2026; a ₹1.00/share dividend was paid 28 August 2026. Brokerage target estimates found in research were highly inconsistent across sources (₹660 to ₹1,176) and are not reported here pending a single reliable attribution.</w:t>
      </w:r>
    </w:p>
    <w:p>
      <w:pPr>
        <w:spacing w:after="140" w:line="276"/>
      </w:pPr>
      <w:r>
        <w:rPr>
          <w:rFonts w:ascii="Calibri" w:cs="Calibri" w:eastAsia="Calibri" w:hAnsi="Calibri"/>
          <w:b/>
          <w:bCs/>
          <w:color w:val="252525"/>
          <w:sz w:val="20"/>
          <w:szCs w:val="20"/>
        </w:rPr>
        <w:t xml:space="preserve">Tirupati Forge (−1.79%): </w:t>
      </w:r>
      <w:r>
        <w:rPr>
          <w:rFonts w:ascii="Calibri" w:cs="Calibri" w:eastAsia="Calibri" w:hAnsi="Calibri"/>
          <w:color w:val="252525"/>
          <w:sz w:val="20"/>
          <w:szCs w:val="20"/>
        </w:rPr>
        <w:t xml:space="preserve">Q1 FY27 revenue rose 18% YoY but net profit fell 14.3% on rising steel input costs; trial production of defence shell bodies was completed successfully under a technical-collaboration MOU signed in late July.</w:t>
      </w:r>
    </w:p>
    <w:p>
      <w:pPr>
        <w:spacing w:after="140" w:line="276"/>
      </w:pPr>
      <w:r>
        <w:rPr>
          <w:rFonts w:ascii="Calibri" w:cs="Calibri" w:eastAsia="Calibri" w:hAnsi="Calibri"/>
          <w:b/>
          <w:bCs/>
          <w:color w:val="252525"/>
          <w:sz w:val="20"/>
          <w:szCs w:val="20"/>
        </w:rPr>
        <w:t xml:space="preserve">PNGS Reva Diamond Jewellery (−2.63%): </w:t>
      </w:r>
      <w:r>
        <w:rPr>
          <w:rFonts w:ascii="Calibri" w:cs="Calibri" w:eastAsia="Calibri" w:hAnsi="Calibri"/>
          <w:color w:val="252525"/>
          <w:sz w:val="20"/>
          <w:szCs w:val="20"/>
        </w:rPr>
        <w:t xml:space="preserve">Q1 FY27 net profit rose 265% YoY on sales up 119%, already reflected in recent price action — no new news this week.</w:t>
      </w:r>
    </w:p>
    <w:p>
      <w:pPr>
        <w:spacing w:after="140" w:line="276"/>
      </w:pPr>
      <w:r>
        <w:rPr>
          <w:rFonts w:ascii="Calibri" w:cs="Calibri" w:eastAsia="Calibri" w:hAnsi="Calibri"/>
          <w:b/>
          <w:bCs/>
          <w:color w:val="252525"/>
          <w:sz w:val="20"/>
          <w:szCs w:val="20"/>
        </w:rPr>
        <w:t xml:space="preserve">Powergrid Infrastructure InvIT (−0.55%): </w:t>
      </w:r>
      <w:r>
        <w:rPr>
          <w:rFonts w:ascii="Calibri" w:cs="Calibri" w:eastAsia="Calibri" w:hAnsi="Calibri"/>
          <w:color w:val="252525"/>
          <w:sz w:val="20"/>
          <w:szCs w:val="20"/>
        </w:rPr>
        <w:t xml:space="preserve">a ₹3.00/unit distribution declared 28 July 2026 was paid on schedule; Q1 FY27 net profit rose 10% YoY. No notable news this week.</w:t>
      </w:r>
    </w:p>
    <w:p>
      <w:pPr>
        <w:spacing w:after="140" w:line="276"/>
      </w:pPr>
      <w:r>
        <w:rPr>
          <w:rFonts w:ascii="Calibri" w:cs="Calibri" w:eastAsia="Calibri" w:hAnsi="Calibri"/>
          <w:b/>
          <w:bCs/>
          <w:color w:val="252525"/>
          <w:sz w:val="20"/>
          <w:szCs w:val="20"/>
        </w:rPr>
        <w:t xml:space="preserve">K.P. Energy (−1.78%): </w:t>
      </w:r>
      <w:r>
        <w:rPr>
          <w:rFonts w:ascii="Calibri" w:cs="Calibri" w:eastAsia="Calibri" w:hAnsi="Calibri"/>
          <w:color w:val="252525"/>
          <w:sz w:val="20"/>
          <w:szCs w:val="20"/>
        </w:rPr>
        <w:t xml:space="preserve">KP Group and Raz Holding signed a non-binding letter of intent for strategic investment/collaboration on 24 August 2026, valid until 18 November 2026; an analyst site visit to Gujarat wind projects was held 25 August 2026 with no UPSI disclosed. No price reaction of note.</w:t>
      </w:r>
    </w:p>
    <w:p>
      <w:pPr>
        <w:pStyle w:val="Heading1"/>
        <w:keepNext/>
        <w:spacing w:after="40" w:before="480"/>
      </w:pPr>
      <w:r>
        <w:rPr>
          <w:rFonts w:ascii="Calibri" w:cs="Calibri" w:eastAsia="Calibri" w:hAnsi="Calibri"/>
          <w:b/>
          <w:bCs/>
          <w:color w:val="C8A96B"/>
          <w:sz w:val="22"/>
          <w:szCs w:val="22"/>
        </w:rPr>
        <w:t xml:space="preserve">04  </w:t>
      </w:r>
      <w:r>
        <w:rPr>
          <w:rFonts w:ascii="Calibri" w:cs="Calibri" w:eastAsia="Calibri" w:hAnsi="Calibri"/>
          <w:b/>
          <w:bCs/>
          <w:color w:val="123C32"/>
          <w:spacing w:val="12"/>
          <w:sz w:val="22"/>
          <w:szCs w:val="22"/>
        </w:rPr>
        <w:t xml:space="preserve">SECTOR &amp; COMPANY DEVELOPMENTS</w:t>
      </w:r>
    </w:p>
    <w:p>
      <w:pPr>
        <w:keepNext/>
        <w:pBdr>
          <w:bottom w:val="single" w:color="C8A96B" w:sz="6" w:space="1"/>
        </w:pBdr>
        <w:spacing w:after="200" w:before="60"/>
      </w:pPr>
    </w:p>
    <w:p>
      <w:pPr>
        <w:pStyle w:val="Heading2"/>
        <w:keepNext/>
        <w:spacing w:after="120" w:before="240"/>
      </w:pPr>
      <w:r>
        <w:rPr>
          <w:rFonts w:ascii="Calibri" w:cs="Calibri" w:eastAsia="Calibri" w:hAnsi="Calibri"/>
          <w:b/>
          <w:bCs/>
          <w:color w:val="123C32"/>
          <w:sz w:val="20"/>
          <w:szCs w:val="20"/>
        </w:rPr>
        <w:t xml:space="preserve">Financial Services / NBFC</w:t>
      </w:r>
    </w:p>
    <w:p>
      <w:pPr>
        <w:spacing w:after="140" w:line="276"/>
      </w:pPr>
      <w:r>
        <w:rPr>
          <w:rFonts w:ascii="Calibri" w:cs="Calibri" w:eastAsia="Calibri" w:hAnsi="Calibri"/>
          <w:b w:val="false"/>
          <w:bCs w:val="false"/>
          <w:i w:val="false"/>
          <w:iCs w:val="false"/>
          <w:color w:val="252525"/>
          <w:sz w:val="20"/>
          <w:szCs w:val="20"/>
        </w:rPr>
        <w:t xml:space="preserve">The RBI has proposed draft amendments to its NBFC Directions that would restrict most NBFCs from offering revolving credit facilities, released for public feedback; the FIDC (the sector's self-regulatory body) is expected to raise concerns about regulatory arbitrage favouring banks (Business Standard, 17 Aug 2026). Separately, a revised deregistration framework effective 1 July 2026 lets NBFCs with assets below ₹1,000 crore apply to deregister under RBI's amended Scale-Based Regulation norms. Both are relevant backdrop for JIOFIN's NBFC lending arm, Jio Credit, amid this week's BofA stake-sale news.</w:t>
      </w:r>
    </w:p>
    <w:p>
      <w:pPr>
        <w:pStyle w:val="Heading2"/>
        <w:keepNext/>
        <w:spacing w:after="120" w:before="240"/>
      </w:pPr>
      <w:r>
        <w:rPr>
          <w:rFonts w:ascii="Calibri" w:cs="Calibri" w:eastAsia="Calibri" w:hAnsi="Calibri"/>
          <w:b/>
          <w:bCs/>
          <w:color w:val="123C32"/>
          <w:sz w:val="20"/>
          <w:szCs w:val="20"/>
        </w:rPr>
        <w:t xml:space="preserve">Metals &amp; Mining</w:t>
      </w:r>
    </w:p>
    <w:p>
      <w:pPr>
        <w:spacing w:after="140" w:line="276"/>
      </w:pPr>
      <w:r>
        <w:rPr>
          <w:rFonts w:ascii="Calibri" w:cs="Calibri" w:eastAsia="Calibri" w:hAnsi="Calibri"/>
          <w:b w:val="false"/>
          <w:bCs w:val="false"/>
          <w:i w:val="false"/>
          <w:iCs w:val="false"/>
          <w:color w:val="252525"/>
          <w:sz w:val="20"/>
          <w:szCs w:val="20"/>
        </w:rPr>
        <w:t xml:space="preserve">Global copper prices hit a record near $14,500/tonne, with a London market squeeze pushing the front-month contract to a $370/tonne premium over September futures — the widest since 2021 — driven by an estimated 338,000 tonnes of H1 global production losses (Indonesia, DRC, Chile). This strength underpins the timing of the government's HINDCOPPER stake sale. On iron ore, NMDC cut lump prices ₹200/mt and fines ₹150/mt for August deliveries — a relevant benchmark for SANDUMA's iron ore segment. On manganese, MOIL cut ore prices 4–5% across grades for the second consecutive month, citing monsoon-quarter demand softness, even as SANDUMA itself posted strong Q1 volume growth.</w:t>
      </w:r>
    </w:p>
    <w:p>
      <w:pPr>
        <w:pStyle w:val="Heading2"/>
        <w:keepNext/>
        <w:spacing w:after="120" w:before="240"/>
      </w:pPr>
      <w:r>
        <w:rPr>
          <w:rFonts w:ascii="Calibri" w:cs="Calibri" w:eastAsia="Calibri" w:hAnsi="Calibri"/>
          <w:b/>
          <w:bCs/>
          <w:color w:val="123C32"/>
          <w:sz w:val="20"/>
          <w:szCs w:val="20"/>
        </w:rPr>
        <w:t xml:space="preserve">Information Technology</w:t>
      </w:r>
    </w:p>
    <w:p>
      <w:pPr>
        <w:spacing w:after="140" w:line="276"/>
      </w:pPr>
      <w:r>
        <w:rPr>
          <w:rFonts w:ascii="Calibri" w:cs="Calibri" w:eastAsia="Calibri" w:hAnsi="Calibri"/>
          <w:b w:val="false"/>
          <w:bCs w:val="false"/>
          <w:i w:val="false"/>
          <w:iCs w:val="false"/>
          <w:color w:val="252525"/>
          <w:sz w:val="20"/>
          <w:szCs w:val="20"/>
        </w:rPr>
        <w:t xml:space="preserve">The sector broadly lagged Nifty Metal and private banks through late August, though Bloomberg (7 Aug 2026) reported foreign funds returning to beaten-down India IT names after months of selling — a modestly positive sentiment signal. In the SME segment, strong recent SME IPO listings (e.g. Technocrats Plasma Systems, +83% on debut, 21 Aug 2026) and a proposed ₹10,000 crore SME Growth Fund in the FY26-27 Budget form the backdrop for smaller names like C2C and Black Box.</w:t>
      </w:r>
    </w:p>
    <w:p>
      <w:pPr>
        <w:pStyle w:val="Heading2"/>
        <w:keepNext/>
        <w:spacing w:after="120" w:before="240"/>
      </w:pPr>
      <w:r>
        <w:rPr>
          <w:rFonts w:ascii="Calibri" w:cs="Calibri" w:eastAsia="Calibri" w:hAnsi="Calibri"/>
          <w:b/>
          <w:bCs/>
          <w:color w:val="123C32"/>
          <w:sz w:val="20"/>
          <w:szCs w:val="20"/>
        </w:rPr>
        <w:t xml:space="preserve">Renewable Energy / Power</w:t>
      </w:r>
    </w:p>
    <w:p>
      <w:pPr>
        <w:spacing w:after="140" w:line="276"/>
      </w:pPr>
      <w:r>
        <w:rPr>
          <w:rFonts w:ascii="Calibri" w:cs="Calibri" w:eastAsia="Calibri" w:hAnsi="Calibri"/>
          <w:b w:val="false"/>
          <w:bCs w:val="false"/>
          <w:i w:val="false"/>
          <w:iCs w:val="false"/>
          <w:color w:val="252525"/>
          <w:sz w:val="20"/>
          <w:szCs w:val="20"/>
        </w:rPr>
        <w:t xml:space="preserve">India added 34 GWdc of solar capacity in H1 2026 (+38% YoY), tracking toward a record full-year total above the prior 49 GWdc record, partly a rush ahead of the ALMM-II deadline; wind additions were 2.9 GW over the same period. A reduction in the inter-state transmission charge waiver for renewable projects (to 50% for projects commissioned from July 2026, phasing out entirely after July 2028) is a pricing-pressure point relevant to SUZLON, K.P. Energy and the Powergrid InvIT. Module/cell shortages and rising prices are flagged as a possible drag on H2 2026 growth.</w:t>
      </w:r>
    </w:p>
    <w:p>
      <w:pPr>
        <w:pStyle w:val="Heading2"/>
        <w:keepNext/>
        <w:spacing w:after="120" w:before="240"/>
      </w:pPr>
      <w:r>
        <w:rPr>
          <w:rFonts w:ascii="Calibri" w:cs="Calibri" w:eastAsia="Calibri" w:hAnsi="Calibri"/>
          <w:b/>
          <w:bCs/>
          <w:color w:val="123C32"/>
          <w:sz w:val="20"/>
          <w:szCs w:val="20"/>
        </w:rPr>
        <w:t xml:space="preserve">Industrial / Engineering (incl. Defence)</w:t>
      </w:r>
    </w:p>
    <w:p>
      <w:pPr>
        <w:spacing w:after="140" w:line="276"/>
      </w:pPr>
      <w:r>
        <w:rPr>
          <w:rFonts w:ascii="Calibri" w:cs="Calibri" w:eastAsia="Calibri" w:hAnsi="Calibri"/>
          <w:b w:val="false"/>
          <w:bCs w:val="false"/>
          <w:i w:val="false"/>
          <w:iCs w:val="false"/>
          <w:color w:val="252525"/>
          <w:sz w:val="20"/>
          <w:szCs w:val="20"/>
        </w:rPr>
        <w:t xml:space="preserve">Early-August defence-sector news included France's submission of a technical/commercial proposal for 114 Rafale fighters (under review, not signed) and continued government emphasis on indigenous ammunition and materials capability, against the backdrop of a ₹3.6 lakh crore military modernisation plan cleared in February 2026. This is relevant tailwind context for defence-adjacent names Tirupati Forge (artillery shell manufacturing) and Aeroflex Industries (industrial components).</w:t>
      </w:r>
    </w:p>
    <w:p>
      <w:pPr>
        <w:pStyle w:val="Heading2"/>
        <w:keepNext/>
        <w:spacing w:after="120" w:before="240"/>
      </w:pPr>
      <w:r>
        <w:rPr>
          <w:rFonts w:ascii="Calibri" w:cs="Calibri" w:eastAsia="Calibri" w:hAnsi="Calibri"/>
          <w:b/>
          <w:bCs/>
          <w:color w:val="123C32"/>
          <w:sz w:val="20"/>
          <w:szCs w:val="20"/>
        </w:rPr>
        <w:t xml:space="preserve">Healthcare / Pharmaceuticals</w:t>
      </w:r>
    </w:p>
    <w:p>
      <w:pPr>
        <w:spacing w:after="140" w:line="276"/>
      </w:pPr>
      <w:r>
        <w:rPr>
          <w:rFonts w:ascii="Calibri" w:cs="Calibri" w:eastAsia="Calibri" w:hAnsi="Calibri"/>
          <w:b w:val="false"/>
          <w:bCs w:val="false"/>
          <w:i w:val="false"/>
          <w:iCs w:val="false"/>
          <w:color w:val="252525"/>
          <w:sz w:val="20"/>
          <w:szCs w:val="20"/>
        </w:rPr>
        <w:t xml:space="preserve">US tariff policy currently holds generics at a zero tariff for two years from 1 August 2026, rising thereafter under a scheduled step-up, with a one-year review clause introducing medium-term uncertainty; India's generics-heavy export mix (roughly 40% of US generic volume by units) is seen as comparatively insulated versus the separate 100% tariff threat aimed at patented pharma products (Business Standard, 24 Aug 2026). This is relevant backdrop for Wockhardt, which also faces its own company-specific customs penalty this month.</w:t>
      </w:r>
    </w:p>
    <w:p>
      <w:pPr>
        <w:pStyle w:val="Heading2"/>
        <w:keepNext/>
        <w:spacing w:after="120" w:before="240"/>
      </w:pPr>
      <w:r>
        <w:rPr>
          <w:rFonts w:ascii="Calibri" w:cs="Calibri" w:eastAsia="Calibri" w:hAnsi="Calibri"/>
          <w:b/>
          <w:bCs/>
          <w:color w:val="123C32"/>
          <w:sz w:val="20"/>
          <w:szCs w:val="20"/>
        </w:rPr>
        <w:t xml:space="preserve">Jewellery Retail</w:t>
      </w:r>
    </w:p>
    <w:p>
      <w:pPr>
        <w:spacing w:after="140" w:line="276"/>
      </w:pPr>
      <w:r>
        <w:rPr>
          <w:rFonts w:ascii="Calibri" w:cs="Calibri" w:eastAsia="Calibri" w:hAnsi="Calibri"/>
          <w:b w:val="false"/>
          <w:bCs w:val="false"/>
          <w:i w:val="false"/>
          <w:iCs w:val="false"/>
          <w:color w:val="252525"/>
          <w:sz w:val="20"/>
          <w:szCs w:val="20"/>
        </w:rPr>
        <w:t xml:space="preserve">Gold imports rebounded sharply in July 2026 (US$4.16bn value vs US$1.97bn in June) as jewellers rebuilt inventory ahead of the festive season (World Gold Council, Aug 2026). Gold prices themselves rose roughly 9% in August on rate-cut expectations and ETF inflows — supportive of near-term buying-opportunity sentiment, but organised jewellery retail volumes are separately projected to fall 13–15% this fiscal to a decade-low 620–640 tonnes, largely attributed to the 2024 customs duty hike on gold (6%→15%). Relevant backdrop for PNGSREVA.</w:t>
      </w:r>
    </w:p>
    <w:p>
      <w:pPr>
        <w:pStyle w:val="Heading2"/>
        <w:keepNext/>
        <w:spacing w:after="120" w:before="240"/>
      </w:pPr>
      <w:r>
        <w:rPr>
          <w:rFonts w:ascii="Calibri" w:cs="Calibri" w:eastAsia="Calibri" w:hAnsi="Calibri"/>
          <w:b/>
          <w:bCs/>
          <w:color w:val="123C32"/>
          <w:sz w:val="20"/>
          <w:szCs w:val="20"/>
        </w:rPr>
        <w:t xml:space="preserve">Exchanges / Market Infrastructure</w:t>
      </w:r>
    </w:p>
    <w:p>
      <w:pPr>
        <w:spacing w:after="140" w:line="276"/>
      </w:pPr>
      <w:r>
        <w:rPr>
          <w:rFonts w:ascii="Calibri" w:cs="Calibri" w:eastAsia="Calibri" w:hAnsi="Calibri"/>
          <w:b w:val="false"/>
          <w:bCs w:val="false"/>
          <w:i w:val="false"/>
          <w:iCs w:val="false"/>
          <w:color w:val="252525"/>
          <w:sz w:val="20"/>
          <w:szCs w:val="20"/>
        </w:rPr>
        <w:t xml:space="preserve">SEBI Chairman Tuhin Kanta Pandey said at a FICCI conference (19 Aug 2026) that no immediate changes to market structure are planned, while flagging upcoming AI/ML guidelines for capital markets — including a mandatory “kill switch” and human-in-the-loop controls — under Project SUDARSAN and R(AI)DAR. The pending NSE IPO (DRHP filed 17 June 2026, an estimated ₹30,000 crore OFS of ~6% of NSE) remains a live competitive overhang for BSE Ltd, alongside this week's volatile derivatives-expiry debut of BSE's new Closing Auction System.</w:t>
      </w:r>
    </w:p>
    <w:p>
      <w:pPr>
        <w:pStyle w:val="Heading1"/>
        <w:keepNext/>
        <w:spacing w:after="40" w:before="480"/>
      </w:pPr>
      <w:r>
        <w:rPr>
          <w:rFonts w:ascii="Calibri" w:cs="Calibri" w:eastAsia="Calibri" w:hAnsi="Calibri"/>
          <w:b/>
          <w:bCs/>
          <w:color w:val="C8A96B"/>
          <w:sz w:val="22"/>
          <w:szCs w:val="22"/>
        </w:rPr>
        <w:t xml:space="preserve">05  </w:t>
      </w:r>
      <w:r>
        <w:rPr>
          <w:rFonts w:ascii="Calibri" w:cs="Calibri" w:eastAsia="Calibri" w:hAnsi="Calibri"/>
          <w:b/>
          <w:bCs/>
          <w:color w:val="123C32"/>
          <w:spacing w:val="12"/>
          <w:sz w:val="22"/>
          <w:szCs w:val="22"/>
        </w:rPr>
        <w:t xml:space="preserve">WHAT'S ON THE CALENDAR</w:t>
      </w:r>
    </w:p>
    <w:p>
      <w:pPr>
        <w:keepNext/>
        <w:pBdr>
          <w:bottom w:val="single" w:color="C8A96B" w:sz="6" w:space="1"/>
        </w:pBdr>
        <w:spacing w:after="200" w:before="60"/>
      </w:pPr>
    </w:p>
    <w:tbl>
      <w:tblPr>
        <w:tblW w:type="dxa" w:w="9500"/>
        <w:tblBorders>
          <w:top w:val="single" w:color="D9D2C2" w:sz="4"/>
          <w:left w:val="none"/>
          <w:bottom w:val="single" w:color="D9D2C2" w:sz="4"/>
          <w:right w:val="none"/>
          <w:insideH w:val="single" w:color="E7E1D2" w:sz="2"/>
          <w:insideV w:val="none"/>
        </w:tblBorders>
      </w:tblPr>
      <w:tblGrid>
        <w:gridCol w:w="3600"/>
        <w:gridCol w:w="4200"/>
        <w:gridCol w:w="1700"/>
      </w:tblGrid>
      <w:tr>
        <w:trPr>
          <w:tblHeader/>
        </w:trPr>
        <w:tc>
          <w:tcPr>
            <w:tcW w:type="dxa" w:w="3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Name</w:t>
            </w:r>
          </w:p>
        </w:tc>
        <w:tc>
          <w:tcPr>
            <w:tcW w:type="dxa" w:w="42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Event</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Date</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Bluspring Enterprises</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2nd AGM (e-voting 27–30 Aug)</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 Aug 2026</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BSE Ltd</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Elara India Dialogue 2026 investor conference (Mumbai)</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 Sep 2026</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Record date for 31st AGM</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 Sep 2026</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Book closure begins</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 Sep 2026</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Remote e-voting window</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8–10 Sep 2026</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31st AGM</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11 Sep 2026</w:t>
            </w:r>
          </w:p>
        </w:tc>
      </w:tr>
    </w:tbl>
    <w:p>
      <w:pPr>
        <w:spacing w:after="100" w:line="260"/>
      </w:pPr>
      <w:r>
        <w:rPr>
          <w:rFonts w:ascii="Calibri" w:cs="Calibri" w:eastAsia="Calibri" w:hAnsi="Calibri"/>
          <w:i/>
          <w:iCs/>
          <w:color w:val="6B6B63"/>
          <w:sz w:val="17"/>
          <w:szCs w:val="17"/>
        </w:rPr>
        <w:t xml:space="preserve">No scheduled events in the next 1–2 weeks were found for: Jio Financial Services, Hindustan Copper, C2C Advanced Systems, Black Box, Aeroflex Industries, Sandur Manganese &amp; Iron Ores, Tirupati Forge, Wockhardt, PNGS Reva Diamond Jewellery, Powergrid Infrastructure InvIT, and K.P. Energy. Most of these names already reported Q1 FY27 results and held their AGMs earlier in July/August 2026 (see Section 3); their next scheduled events would typically be Q2 FY27 results in October–November 2026, outside this window, with exact dates not yet announced.</w:t>
      </w:r>
    </w:p>
    <w:sectPr>
      <w:headerReference w:type="default" r:id="rId11"/>
      <w:headerReference w:type="first" r:id="rId12"/>
      <w:footerReference w:type="default" r:id="rId13"/>
      <w:footerReference w:type="first" r:id="rId14"/>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4" w:space="6"/>
      </w:pBdr>
      <w:tabs>
        <w:tab w:val="right" w:pos="9540"/>
      </w:tabs>
      <w:spacing w:before="120"/>
    </w:pPr>
    <w:r>
      <w:rPr>
        <w:rFonts w:ascii="Calibri" w:cs="Calibri" w:eastAsia="Calibri" w:hAnsi="Calibri"/>
        <w:color w:val="6B6B63"/>
        <w:sz w:val="15"/>
        <w:szCs w:val="15"/>
      </w:rPr>
      <w:t xml:space="preserve">Internal — Confidential</w:t>
    </w:r>
    <w:r>
      <w:rPr>
        <w:rFonts w:ascii="Calibri" w:cs="Calibri" w:eastAsia="Calibri" w:hAnsi="Calibri"/>
        <w:sz w:val="15"/>
        <w:szCs w:val="15"/>
      </w:rPr>
      <w:t xml:space="preserve">	</w:t>
    </w:r>
    <w:r>
      <w:rPr>
        <w:rFonts w:ascii="Calibri" w:cs="Calibri" w:eastAsia="Calibri" w:hAnsi="Calibri"/>
        <w:color w:val="6B6B63"/>
        <w:sz w:val="15"/>
        <w:szCs w:val="15"/>
      </w:rPr>
      <w:t xml:space="preserve">Page </w:t>
    </w:r>
    <w:r>
      <w:rPr>
        <w:rFonts w:ascii="Calibri" w:cs="Calibri" w:eastAsia="Calibri" w:hAnsi="Calibri"/>
        <w:color w:val="6B6B63"/>
        <w:sz w:val="15"/>
        <w:szCs w:val="15"/>
      </w:rPr>
      <w:fldChar w:fldCharType="begin"/>
      <w:instrText xml:space="preserve">PAGE</w:instrText>
      <w:fldChar w:fldCharType="separate"/>
      <w:fldChar w:fldCharType="end"/>
    </w:r>
    <w:r>
      <w:rPr>
        <w:rFonts w:ascii="Calibri" w:cs="Calibri" w:eastAsia="Calibri" w:hAnsi="Calibri"/>
        <w:color w:val="6B6B63"/>
        <w:sz w:val="15"/>
        <w:szCs w:val="15"/>
      </w:rPr>
      <w:t xml:space="preserve"> of </w:t>
    </w:r>
    <w:r>
      <w:rPr>
        <w:rFonts w:ascii="Calibri" w:cs="Calibri" w:eastAsia="Calibri" w:hAnsi="Calibri"/>
        <w:color w:val="6B6B63"/>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4" w:space="6"/>
      </w:pBdr>
      <w:tabs>
        <w:tab w:val="right" w:pos="9540"/>
      </w:tabs>
      <w:spacing w:before="120"/>
    </w:pPr>
    <w:r>
      <w:rPr>
        <w:rFonts w:ascii="Calibri" w:cs="Calibri" w:eastAsia="Calibri" w:hAnsi="Calibri"/>
        <w:color w:val="6B6B63"/>
        <w:sz w:val="15"/>
        <w:szCs w:val="15"/>
      </w:rPr>
      <w:t xml:space="preserve">Internal — Confidential</w:t>
    </w:r>
    <w:r>
      <w:rPr>
        <w:rFonts w:ascii="Calibri" w:cs="Calibri" w:eastAsia="Calibri" w:hAnsi="Calibri"/>
        <w:sz w:val="15"/>
        <w:szCs w:val="15"/>
      </w:rPr>
      <w:t xml:space="preserve">	</w:t>
    </w:r>
    <w:r>
      <w:rPr>
        <w:rFonts w:ascii="Calibri" w:cs="Calibri" w:eastAsia="Calibri" w:hAnsi="Calibri"/>
        <w:color w:val="6B6B63"/>
        <w:sz w:val="15"/>
        <w:szCs w:val="15"/>
      </w:rPr>
      <w:t xml:space="preserve">Page </w:t>
    </w:r>
    <w:r>
      <w:rPr>
        <w:rFonts w:ascii="Calibri" w:cs="Calibri" w:eastAsia="Calibri" w:hAnsi="Calibri"/>
        <w:color w:val="6B6B63"/>
        <w:sz w:val="15"/>
        <w:szCs w:val="15"/>
      </w:rPr>
      <w:fldChar w:fldCharType="begin"/>
      <w:instrText xml:space="preserve">PAGE</w:instrText>
      <w:fldChar w:fldCharType="separate"/>
      <w:fldChar w:fldCharType="end"/>
    </w:r>
    <w:r>
      <w:rPr>
        <w:rFonts w:ascii="Calibri" w:cs="Calibri" w:eastAsia="Calibri" w:hAnsi="Calibri"/>
        <w:color w:val="6B6B63"/>
        <w:sz w:val="15"/>
        <w:szCs w:val="15"/>
      </w:rPr>
      <w:t xml:space="preserve"> of </w:t>
    </w:r>
    <w:r>
      <w:rPr>
        <w:rFonts w:ascii="Calibri" w:cs="Calibri" w:eastAsia="Calibri" w:hAnsi="Calibri"/>
        <w:color w:val="6B6B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B" w:sz="4" w:space="8"/>
      </w:pBdr>
      <w:spacing w:after="120"/>
      <w:jc w:val="right"/>
    </w:pPr>
    <w:r>
      <w:rPr>
        <w:rFonts w:ascii="Calibri" w:cs="Calibri" w:eastAsia="Calibri" w:hAnsi="Calibri"/>
        <w:b/>
        <w:bCs/>
        <w:color w:val="123C32"/>
        <w:spacing w:val="10"/>
        <w:sz w:val="15"/>
        <w:szCs w:val="15"/>
      </w:rPr>
      <w:t xml:space="preserve">DAILY MARKET PULSE</w:t>
    </w:r>
    <w:r>
      <w:rPr>
        <w:rFonts w:ascii="Calibri" w:cs="Calibri" w:eastAsia="Calibri" w:hAnsi="Calibri"/>
        <w:b/>
        <w:bCs/>
        <w:color w:val="C8A96B"/>
        <w:spacing w:val="10"/>
        <w:sz w:val="15"/>
        <w:szCs w:val="15"/>
      </w:rPr>
      <w:t xml:space="preserve">   ·   28 AUGUST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B" w:sz="4" w:space="8"/>
      </w:pBdr>
      <w:spacing w:after="120"/>
      <w:jc w:val="right"/>
    </w:pPr>
    <w:r>
      <w:rPr>
        <w:rFonts w:ascii="Calibri" w:cs="Calibri" w:eastAsia="Calibri" w:hAnsi="Calibri"/>
        <w:b/>
        <w:bCs/>
        <w:color w:val="123C32"/>
        <w:spacing w:val="10"/>
        <w:sz w:val="15"/>
        <w:szCs w:val="15"/>
      </w:rPr>
      <w:t xml:space="preserve">DAILY MARKET PULSE</w:t>
    </w:r>
    <w:r>
      <w:rPr>
        <w:rFonts w:ascii="Calibri" w:cs="Calibri" w:eastAsia="Calibri" w:hAnsi="Calibri"/>
        <w:b/>
        <w:bCs/>
        <w:color w:val="C8A96B"/>
        <w:spacing w:val="10"/>
        <w:sz w:val="15"/>
        <w:szCs w:val="15"/>
      </w:rPr>
      <w:t xml:space="preserve">   ·   28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480"/>
    </w:pPr>
    <w:rPr>
      <w:rFonts w:ascii="Calibri" w:cs="Calibri" w:eastAsia="Calibri" w:hAnsi="Calibri"/>
      <w:b/>
      <w:bCs/>
      <w:color w:val="123C32"/>
      <w:sz w:val="22"/>
      <w:szCs w:val="22"/>
    </w:rPr>
  </w:style>
  <w:style w:type="paragraph" w:styleId="Heading2">
    <w:name w:val="Heading 2"/>
    <w:basedOn w:val="Normal"/>
    <w:next w:val="Normal"/>
    <w:qFormat/>
    <w:pPr>
      <w:spacing w:after="120" w:before="240"/>
    </w:pPr>
    <w:rPr>
      <w:rFonts w:ascii="Calibri" w:cs="Calibri" w:eastAsia="Calibri" w:hAnsi="Calibri"/>
      <w:b/>
      <w:bCs/>
      <w:color w:val="123C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2026-08-28T15:27:11.510Z</dcterms:created>
  <dcterms:modified xsi:type="dcterms:W3CDTF">2026-08-28T15:27:11.510Z</dcterms:modified>
</cp:coreProperties>
</file>

<file path=docProps/custom.xml><?xml version="1.0" encoding="utf-8"?>
<Properties xmlns="http://schemas.openxmlformats.org/officeDocument/2006/custom-properties" xmlns:vt="http://schemas.openxmlformats.org/officeDocument/2006/docPropsVTypes"/>
</file>