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60"/>
        <w:jc w:val="center"/>
      </w:pPr>
      <w:r>
        <w:rPr>
          <w:rFonts w:ascii="Calibri" w:cs="Calibri" w:eastAsia="Calibri" w:hAnsi="Calibri"/>
          <w:b/>
          <w:bCs/>
          <w:color w:val="C8A96B"/>
          <w:spacing w:val="40"/>
          <w:sz w:val="22"/>
          <w:szCs w:val="22"/>
        </w:rPr>
        <w:t xml:space="preserve">ARTHA EQUITIES</w:t>
      </w:r>
    </w:p>
    <w:p>
      <w:pPr>
        <w:pBdr>
          <w:bottom w:val="single" w:color="C8A96B" w:sz="6" w:space="12"/>
        </w:pBdr>
        <w:spacing w:after="500"/>
        <w:jc w:val="center"/>
      </w:pPr>
    </w:p>
    <w:p>
      <w:pPr>
        <w:spacing w:after="200"/>
        <w:jc w:val="center"/>
      </w:pPr>
      <w:r>
        <w:rPr>
          <w:rFonts w:ascii="Georgia" w:cs="Georgia" w:eastAsia="Georgia" w:hAnsi="Georgia"/>
          <w:b/>
          <w:bCs/>
          <w:color w:val="123C32"/>
          <w:sz w:val="64"/>
          <w:szCs w:val="64"/>
        </w:rPr>
        <w:t xml:space="preserve">Daily Market Pulse</w:t>
      </w:r>
    </w:p>
    <w:p>
      <w:pPr>
        <w:spacing w:after="900"/>
        <w:jc w:val="center"/>
      </w:pPr>
      <w:r>
        <w:rPr>
          <w:rFonts w:ascii="Calibri" w:cs="Calibri" w:eastAsia="Calibri" w:hAnsi="Calibri"/>
          <w:color w:val="252525"/>
          <w:sz w:val="24"/>
          <w:szCs w:val="24"/>
        </w:rPr>
        <w:t xml:space="preserve">Monday, 31 August 2026</w:t>
      </w:r>
    </w:p>
    <w:p>
      <w:pPr>
        <w:spacing w:after="60"/>
        <w:jc w:val="center"/>
      </w:pPr>
      <w:r>
        <w:rPr>
          <w:rFonts w:ascii="Calibri" w:cs="Calibri" w:eastAsia="Calibri" w:hAnsi="Calibri"/>
          <w:b/>
          <w:bCs/>
          <w:color w:val="123C32"/>
          <w:sz w:val="22"/>
          <w:szCs w:val="22"/>
        </w:rPr>
        <w:t xml:space="preserve">Prepared for Ronish</w:t>
      </w:r>
    </w:p>
    <w:p>
      <w:pPr>
        <w:spacing w:after="1800"/>
        <w:jc w:val="center"/>
      </w:pPr>
      <w:r>
        <w:rPr>
          <w:rFonts w:ascii="Calibri" w:cs="Calibri" w:eastAsia="Calibri" w:hAnsi="Calibri"/>
          <w:i/>
          <w:iCs/>
          <w:color w:val="6B6B63"/>
          <w:sz w:val="18"/>
          <w:szCs w:val="18"/>
        </w:rPr>
        <w:t xml:space="preserve">Founder, Artha Equities</w:t>
      </w:r>
    </w:p>
    <w:p>
      <w:pPr>
        <w:spacing w:before="3200"/>
        <w:jc w:val="center"/>
      </w:pPr>
      <w:r>
        <w:rPr>
          <w:rFonts w:ascii="Calibri" w:cs="Calibri" w:eastAsia="Calibri" w:hAnsi="Calibri"/>
          <w:b/>
          <w:bCs/>
          <w:color w:val="C8A96B"/>
          <w:spacing w:val="30"/>
          <w:sz w:val="16"/>
          <w:szCs w:val="16"/>
        </w:rPr>
        <w:t xml:space="preserve">INTERNAL — CONFIDENTIAL</w:t>
      </w:r>
    </w:p>
    <w:p>
      <w:pPr>
        <w:spacing w:after="0"/>
        <w:jc w:val="center"/>
      </w:pPr>
      <w:r>
        <w:rPr>
          <w:rFonts w:ascii="Calibri" w:cs="Calibri" w:eastAsia="Calibri" w:hAnsi="Calibri"/>
          <w:i/>
          <w:iCs/>
          <w:color w:val="6B6B63"/>
          <w:sz w:val="15"/>
          <w:szCs w:val="15"/>
        </w:rPr>
        <w:t xml:space="preserve">Not for external distribution</w:t>
      </w:r>
    </w:p>
    <w:p>
      <w:r>
        <w:br w:type="page"/>
      </w:r>
    </w:p>
    <w:p>
      <w:pPr>
        <w:sectPr>
          <w:headerReference w:type="default" r:id="rId7"/>
          <w:headerReference w:type="first" r:id="rId8"/>
          <w:footerReference w:type="default" r:id="rId9"/>
          <w:footerReference w:type="first" r:id="rId10"/>
          <w:pgSz w:w="12240" w:h="15840" w:orient="portrait"/>
          <w:pgMar w:top="1350" w:right="1350" w:bottom="1350" w:left="1350" w:header="708" w:footer="708" w:gutter="0"/>
          <w:pgNumType/>
          <w:titlePg/>
          <w:docGrid w:linePitch="360"/>
        </w:sectPr>
      </w:pPr>
    </w:p>
    <w:p>
      <w:pPr>
        <w:pStyle w:val="Heading1"/>
        <w:keepNext/>
        <w:spacing w:after="40" w:before="480"/>
      </w:pPr>
      <w:r>
        <w:rPr>
          <w:rFonts w:ascii="Calibri" w:cs="Calibri" w:eastAsia="Calibri" w:hAnsi="Calibri"/>
          <w:b/>
          <w:bCs/>
          <w:color w:val="C8A96B"/>
          <w:sz w:val="22"/>
          <w:szCs w:val="22"/>
        </w:rPr>
        <w:t xml:space="preserve">01  </w:t>
      </w:r>
      <w:r>
        <w:rPr>
          <w:rFonts w:ascii="Calibri" w:cs="Calibri" w:eastAsia="Calibri" w:hAnsi="Calibri"/>
          <w:b/>
          <w:bCs/>
          <w:color w:val="123C32"/>
          <w:spacing w:val="12"/>
          <w:sz w:val="22"/>
          <w:szCs w:val="22"/>
        </w:rPr>
        <w:t xml:space="preserve">MARKET SNAPSHOT</w:t>
      </w:r>
    </w:p>
    <w:p>
      <w:pPr>
        <w:keepNext/>
        <w:pBdr>
          <w:bottom w:val="single" w:color="C8A96B" w:sz="6" w:space="1"/>
        </w:pBdr>
        <w:spacing w:after="200" w:before="60"/>
      </w:pPr>
    </w:p>
    <w:p>
      <w:pPr>
        <w:spacing w:after="100" w:line="260"/>
      </w:pPr>
      <w:r>
        <w:rPr>
          <w:rFonts w:ascii="Calibri" w:cs="Calibri" w:eastAsia="Calibri" w:hAnsi="Calibri"/>
          <w:i/>
          <w:iCs/>
          <w:color w:val="6B6B63"/>
          <w:sz w:val="17"/>
          <w:szCs w:val="17"/>
        </w:rPr>
        <w:t xml:space="preserve">Research for this report was conducted mid-morning while Indian markets were still trading (around 10:00 AM IST). The figures below are the latest confirmed INTRADAY reads, not final closes — treat levels as directional for the session in progress, not end-of-day settlement.</w:t>
      </w:r>
    </w:p>
    <w:p>
      <w:pPr>
        <w:pStyle w:val="Heading2"/>
        <w:keepNext/>
        <w:spacing w:after="120" w:before="240"/>
      </w:pPr>
      <w:r>
        <w:rPr>
          <w:rFonts w:ascii="Calibri" w:cs="Calibri" w:eastAsia="Calibri" w:hAnsi="Calibri"/>
          <w:b/>
          <w:bCs/>
          <w:color w:val="123C32"/>
          <w:sz w:val="20"/>
          <w:szCs w:val="20"/>
        </w:rPr>
        <w:t xml:space="preserve">Indian Benchmarks — Monday, 31 August 2026, intraday (10:00 AM IST)</w:t>
      </w:r>
    </w:p>
    <w:tbl>
      <w:tblPr>
        <w:tblW w:type="dxa" w:w="11400"/>
        <w:tblBorders>
          <w:top w:val="single" w:color="D9D2C2" w:sz="4"/>
          <w:left w:val="none"/>
          <w:bottom w:val="single" w:color="D9D2C2" w:sz="4"/>
          <w:right w:val="none"/>
          <w:insideH w:val="single" w:color="E7E1D2" w:sz="2"/>
          <w:insideV w:val="none"/>
        </w:tblBorders>
      </w:tblPr>
      <w:tblGrid>
        <w:gridCol w:w="4600"/>
        <w:gridCol w:w="3200"/>
        <w:gridCol w:w="3600"/>
      </w:tblGrid>
      <w:tr>
        <w:trPr>
          <w:tblHeader/>
        </w:trPr>
        <w:tc>
          <w:tcPr>
            <w:tcW w:type="dxa" w:w="4600"/>
            <w:shd w:fill="123C32" w:val="clear"/>
            <w:tcMar>
              <w:top w:type="dxa" w:w="90"/>
              <w:left w:type="dxa" w:w="130"/>
              <w:bottom w:type="dxa" w:w="90"/>
              <w:right w:type="dxa" w:w="130"/>
            </w:tcMar>
            <w:vAlign w:val="center"/>
          </w:tcPr>
          <w:p>
            <w:pPr>
              <w:jc w:val="left"/>
            </w:pPr>
            <w:r>
              <w:rPr>
                <w:rFonts w:ascii="Calibri" w:cs="Calibri" w:eastAsia="Calibri" w:hAnsi="Calibri"/>
                <w:b/>
                <w:bCs/>
                <w:color w:val="F7F3EA"/>
                <w:sz w:val="16"/>
                <w:szCs w:val="16"/>
              </w:rPr>
              <w:t xml:space="preserve">Index</w:t>
            </w:r>
          </w:p>
        </w:tc>
        <w:tc>
          <w:tcPr>
            <w:tcW w:type="dxa" w:w="32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Level</w:t>
            </w:r>
          </w:p>
        </w:tc>
        <w:tc>
          <w:tcPr>
            <w:tcW w:type="dxa" w:w="36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Change (intraday)</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Nifty 50</w:t>
            </w:r>
          </w:p>
        </w:tc>
        <w:tc>
          <w:tcPr>
            <w:tcW w:type="dxa" w:w="3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24,022.75</w:t>
            </w:r>
          </w:p>
        </w:tc>
        <w:tc>
          <w:tcPr>
            <w:tcW w:type="dxa" w:w="36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−152.90 pts (−0.63%)</w:t>
            </w:r>
          </w:p>
        </w:tc>
      </w:tr>
      <w:tr>
        <w:tc>
          <w:tcPr>
            <w:tcW w:type="dxa" w:w="4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Sensex</w:t>
            </w:r>
          </w:p>
        </w:tc>
        <w:tc>
          <w:tcPr>
            <w:tcW w:type="dxa" w:w="32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76,864.04</w:t>
            </w:r>
          </w:p>
        </w:tc>
        <w:tc>
          <w:tcPr>
            <w:tcW w:type="dxa" w:w="36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−400.47 pts (−0.52%)</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Nifty Metal</w:t>
            </w:r>
          </w:p>
        </w:tc>
        <w:tc>
          <w:tcPr>
            <w:tcW w:type="dxa" w:w="3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not sourced*</w:t>
            </w:r>
          </w:p>
        </w:tc>
        <w:tc>
          <w:tcPr>
            <w:tcW w:type="dxa" w:w="36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 −2%</w:t>
            </w:r>
          </w:p>
        </w:tc>
      </w:tr>
      <w:tr>
        <w:tc>
          <w:tcPr>
            <w:tcW w:type="dxa" w:w="4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Nifty IT</w:t>
            </w:r>
          </w:p>
        </w:tc>
        <w:tc>
          <w:tcPr>
            <w:tcW w:type="dxa" w:w="32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not sourced*</w:t>
            </w:r>
          </w:p>
        </w:tc>
        <w:tc>
          <w:tcPr>
            <w:tcW w:type="dxa" w:w="36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 −1%+</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Nifty Financial Services</w:t>
            </w:r>
          </w:p>
        </w:tc>
        <w:tc>
          <w:tcPr>
            <w:tcW w:type="dxa" w:w="3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not sourced</w:t>
            </w:r>
          </w:p>
        </w:tc>
        <w:tc>
          <w:tcPr>
            <w:tcW w:type="dxa" w:w="36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w:t>
            </w:r>
          </w:p>
        </w:tc>
      </w:tr>
      <w:tr>
        <w:tc>
          <w:tcPr>
            <w:tcW w:type="dxa" w:w="4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Nifty Energy</w:t>
            </w:r>
          </w:p>
        </w:tc>
        <w:tc>
          <w:tcPr>
            <w:tcW w:type="dxa" w:w="32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not sourced (last confirmed 24 Aug)</w:t>
            </w:r>
          </w:p>
        </w:tc>
        <w:tc>
          <w:tcPr>
            <w:tcW w:type="dxa" w:w="36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Nifty Pharma</w:t>
            </w:r>
          </w:p>
        </w:tc>
        <w:tc>
          <w:tcPr>
            <w:tcW w:type="dxa" w:w="3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not sourced</w:t>
            </w:r>
          </w:p>
        </w:tc>
        <w:tc>
          <w:tcPr>
            <w:tcW w:type="dxa" w:w="36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w:t>
            </w:r>
          </w:p>
        </w:tc>
      </w:tr>
    </w:tbl>
    <w:p>
      <w:pPr>
        <w:spacing w:after="100" w:line="260"/>
      </w:pPr>
      <w:r>
        <w:rPr>
          <w:rFonts w:ascii="Calibri" w:cs="Calibri" w:eastAsia="Calibri" w:hAnsi="Calibri"/>
          <w:i/>
          <w:iCs/>
          <w:color w:val="6B6B63"/>
          <w:sz w:val="17"/>
          <w:szCs w:val="17"/>
        </w:rPr>
        <w:t xml:space="preserve">Source: Business Standard live markets blog, 31 Aug 2026 (10:00 AM IST read; an earlier 9:18 AM read showed Nifty −117.60 pts and Sensex −276.58 pts, confirming the morning downtrend). Context reported: rising oil prices and US rate-hike concerns cited as the drag; Hindalco, Infosys and Adani Enterprises named as top Nifty losers.</w:t>
      </w:r>
    </w:p>
    <w:p>
      <w:pPr>
        <w:spacing w:after="100" w:line="260"/>
      </w:pPr>
      <w:r>
        <w:rPr>
          <w:rFonts w:ascii="Calibri" w:cs="Calibri" w:eastAsia="Calibri" w:hAnsi="Calibri"/>
          <w:i/>
          <w:iCs/>
          <w:color w:val="6B6B63"/>
          <w:sz w:val="17"/>
          <w:szCs w:val="17"/>
        </w:rPr>
        <w:t xml:space="preserve">* Nifty Metal ("slips 2%") and Nifty IT ("declined over 1%") are directional-only per Business Standard's own headline language — exact index levels for today could not be confirmed. Nifty Financial Services, Energy and Pharma have no reliable same-day figure; do not treat any prior-week level as today's data. This report will need a same-day re-check closer to the close for a definitive picture.</w:t>
      </w:r>
    </w:p>
    <w:p>
      <w:pPr>
        <w:pStyle w:val="Heading2"/>
        <w:keepNext/>
        <w:spacing w:after="120" w:before="240"/>
      </w:pPr>
      <w:r>
        <w:rPr>
          <w:rFonts w:ascii="Calibri" w:cs="Calibri" w:eastAsia="Calibri" w:hAnsi="Calibri"/>
          <w:b/>
          <w:bCs/>
          <w:color w:val="123C32"/>
          <w:sz w:val="20"/>
          <w:szCs w:val="20"/>
        </w:rPr>
        <w:t xml:space="preserve">Global Cues</w:t>
      </w:r>
    </w:p>
    <w:tbl>
      <w:tblPr>
        <w:tblW w:type="dxa" w:w="11400"/>
        <w:tblBorders>
          <w:top w:val="single" w:color="D9D2C2" w:sz="4"/>
          <w:left w:val="none"/>
          <w:bottom w:val="single" w:color="D9D2C2" w:sz="4"/>
          <w:right w:val="none"/>
          <w:insideH w:val="single" w:color="E7E1D2" w:sz="2"/>
          <w:insideV w:val="none"/>
        </w:tblBorders>
      </w:tblPr>
      <w:tblGrid>
        <w:gridCol w:w="4600"/>
        <w:gridCol w:w="4200"/>
        <w:gridCol w:w="2600"/>
      </w:tblGrid>
      <w:tr>
        <w:trPr>
          <w:tblHeader/>
        </w:trPr>
        <w:tc>
          <w:tcPr>
            <w:tcW w:type="dxa" w:w="4600"/>
            <w:shd w:fill="123C32" w:val="clear"/>
            <w:tcMar>
              <w:top w:type="dxa" w:w="90"/>
              <w:left w:type="dxa" w:w="130"/>
              <w:bottom w:type="dxa" w:w="90"/>
              <w:right w:type="dxa" w:w="130"/>
            </w:tcMar>
            <w:vAlign w:val="center"/>
          </w:tcPr>
          <w:p>
            <w:pPr>
              <w:jc w:val="left"/>
            </w:pPr>
            <w:r>
              <w:rPr>
                <w:rFonts w:ascii="Calibri" w:cs="Calibri" w:eastAsia="Calibri" w:hAnsi="Calibri"/>
                <w:b/>
                <w:bCs/>
                <w:color w:val="F7F3EA"/>
                <w:sz w:val="16"/>
                <w:szCs w:val="16"/>
              </w:rPr>
              <w:t xml:space="preserve">Indicator</w:t>
            </w:r>
          </w:p>
        </w:tc>
        <w:tc>
          <w:tcPr>
            <w:tcW w:type="dxa" w:w="42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Level</w:t>
            </w:r>
          </w:p>
        </w:tc>
        <w:tc>
          <w:tcPr>
            <w:tcW w:type="dxa" w:w="26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Change</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S&amp;P 500 (Fri 28 Aug close)</w:t>
            </w:r>
          </w:p>
        </w:tc>
        <w:tc>
          <w:tcPr>
            <w:tcW w:type="dxa" w:w="4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7,711.76</w:t>
            </w:r>
          </w:p>
        </w:tc>
        <w:tc>
          <w:tcPr>
            <w:tcW w:type="dxa" w:w="26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−0.25%</w:t>
            </w:r>
          </w:p>
        </w:tc>
      </w:tr>
      <w:tr>
        <w:tc>
          <w:tcPr>
            <w:tcW w:type="dxa" w:w="4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Dow Jones (Fri 28 Aug close)</w:t>
            </w:r>
          </w:p>
        </w:tc>
        <w:tc>
          <w:tcPr>
            <w:tcW w:type="dxa" w:w="42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53,559.99</w:t>
            </w:r>
          </w:p>
        </w:tc>
        <w:tc>
          <w:tcPr>
            <w:tcW w:type="dxa" w:w="26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−0.02%</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Nasdaq Composite (Fri 28 Aug close)</w:t>
            </w:r>
          </w:p>
        </w:tc>
        <w:tc>
          <w:tcPr>
            <w:tcW w:type="dxa" w:w="4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26,402.42</w:t>
            </w:r>
          </w:p>
        </w:tc>
        <w:tc>
          <w:tcPr>
            <w:tcW w:type="dxa" w:w="26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−0.52%</w:t>
            </w:r>
          </w:p>
        </w:tc>
      </w:tr>
      <w:tr>
        <w:tc>
          <w:tcPr>
            <w:tcW w:type="dxa" w:w="4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Nikkei 225 (31 Aug, early trade)</w:t>
            </w:r>
          </w:p>
        </w:tc>
        <w:tc>
          <w:tcPr>
            <w:tcW w:type="dxa" w:w="42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65,096.63</w:t>
            </w:r>
          </w:p>
        </w:tc>
        <w:tc>
          <w:tcPr>
            <w:tcW w:type="dxa" w:w="26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−1.97%</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Hang Seng (31 Aug, at open)</w:t>
            </w:r>
          </w:p>
        </w:tc>
        <w:tc>
          <w:tcPr>
            <w:tcW w:type="dxa" w:w="4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opened flat</w:t>
            </w:r>
          </w:p>
        </w:tc>
        <w:tc>
          <w:tcPr>
            <w:tcW w:type="dxa" w:w="26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w:t>
            </w:r>
          </w:p>
        </w:tc>
      </w:tr>
      <w:tr>
        <w:tc>
          <w:tcPr>
            <w:tcW w:type="dxa" w:w="4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Shanghai Composite (31 Aug, at open)</w:t>
            </w:r>
          </w:p>
        </w:tc>
        <w:tc>
          <w:tcPr>
            <w:tcW w:type="dxa" w:w="42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n/a</w:t>
            </w:r>
          </w:p>
        </w:tc>
        <w:tc>
          <w:tcPr>
            <w:tcW w:type="dxa" w:w="26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−0.35% at open</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Brent crude</w:t>
            </w:r>
          </w:p>
        </w:tc>
        <w:tc>
          <w:tcPr>
            <w:tcW w:type="dxa" w:w="4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not sourced for 31 Aug (last confirmed $87.98–88.29, 28 Aug)</w:t>
            </w:r>
          </w:p>
        </w:tc>
        <w:tc>
          <w:tcPr>
            <w:tcW w:type="dxa" w:w="26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w:t>
            </w:r>
          </w:p>
        </w:tc>
      </w:tr>
      <w:tr>
        <w:tc>
          <w:tcPr>
            <w:tcW w:type="dxa" w:w="4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USD/INR</w:t>
            </w:r>
          </w:p>
        </w:tc>
        <w:tc>
          <w:tcPr>
            <w:tcW w:type="dxa" w:w="42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95.575 (low-confidence, unverified source)*</w:t>
            </w:r>
          </w:p>
        </w:tc>
        <w:tc>
          <w:tcPr>
            <w:tcW w:type="dxa" w:w="26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w:t>
            </w:r>
          </w:p>
        </w:tc>
      </w:tr>
      <w:tr>
        <w:tc>
          <w:tcPr>
            <w:tcW w:type="dxa" w:w="4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India 10Y G-Sec yield</w:t>
            </w:r>
          </w:p>
        </w:tc>
        <w:tc>
          <w:tcPr>
            <w:tcW w:type="dxa" w:w="4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not sourced for 31 Aug (last confirmed 6.76%, 14 Aug)</w:t>
            </w:r>
          </w:p>
        </w:tc>
        <w:tc>
          <w:tcPr>
            <w:tcW w:type="dxa" w:w="26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w:t>
            </w:r>
          </w:p>
        </w:tc>
      </w:tr>
    </w:tbl>
    <w:p>
      <w:pPr>
        <w:spacing w:after="100" w:line="260"/>
      </w:pPr>
      <w:r>
        <w:rPr>
          <w:rFonts w:ascii="Calibri" w:cs="Calibri" w:eastAsia="Calibri" w:hAnsi="Calibri"/>
          <w:i/>
          <w:iCs/>
          <w:color w:val="6B6B63"/>
          <w:sz w:val="17"/>
          <w:szCs w:val="17"/>
        </w:rPr>
        <w:t xml:space="preserve">US figures: Yahoo Finance / WTOP / CNBC Friday US-close wraps, 28 Aug 2026 (US markets closed weekends; this is the most recent session). Weekly context: S&amp;P 500 +0.5%, Nasdaq +0.9%, Dow +0.5% for the week ended 28 Aug — first winning week in three, though Friday itself was soft on Fed Chair Kevin Warsh's inflation comments at Jackson Hole. Nikkei figure: Trading Economics/aggregated news, pressure attributed to BOJ rate-hike expectations plus renewed US rate-hike prospects. Hang Seng/Shanghai: 24/7 Wall St., market-open reads only, not closes.</w:t>
      </w:r>
    </w:p>
    <w:p>
      <w:pPr>
        <w:spacing w:after="100" w:line="260"/>
      </w:pPr>
      <w:r>
        <w:rPr>
          <w:rFonts w:ascii="Calibri" w:cs="Calibri" w:eastAsia="Calibri" w:hAnsi="Calibri"/>
          <w:i/>
          <w:iCs/>
          <w:color w:val="6B6B63"/>
          <w:sz w:val="17"/>
          <w:szCs w:val="17"/>
        </w:rPr>
        <w:t xml:space="preserve">* USD/INR figure surfaced without a fully verifiable source page or precise timestamp — treat as indicative only pending confirmation from Reuters or the RBI reference rate.</w:t>
      </w:r>
    </w:p>
    <w:p>
      <w:pPr>
        <w:pStyle w:val="Heading1"/>
        <w:keepNext/>
        <w:spacing w:after="40" w:before="480"/>
      </w:pPr>
      <w:r>
        <w:rPr>
          <w:rFonts w:ascii="Calibri" w:cs="Calibri" w:eastAsia="Calibri" w:hAnsi="Calibri"/>
          <w:b/>
          <w:bCs/>
          <w:color w:val="C8A96B"/>
          <w:sz w:val="22"/>
          <w:szCs w:val="22"/>
        </w:rPr>
        <w:t xml:space="preserve">02  </w:t>
      </w:r>
      <w:r>
        <w:rPr>
          <w:rFonts w:ascii="Calibri" w:cs="Calibri" w:eastAsia="Calibri" w:hAnsi="Calibri"/>
          <w:b/>
          <w:bCs/>
          <w:color w:val="123C32"/>
          <w:spacing w:val="12"/>
          <w:sz w:val="22"/>
          <w:szCs w:val="22"/>
        </w:rPr>
        <w:t xml:space="preserve">MACRO &amp; FLOWS</w:t>
      </w:r>
    </w:p>
    <w:p>
      <w:pPr>
        <w:keepNext/>
        <w:pBdr>
          <w:bottom w:val="single" w:color="C8A96B" w:sz="6" w:space="1"/>
        </w:pBdr>
        <w:spacing w:after="200" w:before="60"/>
      </w:pPr>
    </w:p>
    <w:p>
      <w:pPr>
        <w:pStyle w:val="Heading2"/>
        <w:keepNext/>
        <w:spacing w:after="120" w:before="240"/>
      </w:pPr>
      <w:r>
        <w:rPr>
          <w:rFonts w:ascii="Calibri" w:cs="Calibri" w:eastAsia="Calibri" w:hAnsi="Calibri"/>
          <w:b/>
          <w:bCs/>
          <w:color w:val="123C32"/>
          <w:sz w:val="20"/>
          <w:szCs w:val="20"/>
        </w:rPr>
        <w:t xml:space="preserve">FII / DII Cash Market Activity — 28 August 2026 (most recent confirmed session)</w:t>
      </w:r>
    </w:p>
    <w:tbl>
      <w:tblPr>
        <w:tblW w:type="dxa" w:w="9400"/>
        <w:tblBorders>
          <w:top w:val="single" w:color="D9D2C2" w:sz="4"/>
          <w:left w:val="none"/>
          <w:bottom w:val="single" w:color="D9D2C2" w:sz="4"/>
          <w:right w:val="none"/>
          <w:insideH w:val="single" w:color="E7E1D2" w:sz="2"/>
          <w:insideV w:val="none"/>
        </w:tblBorders>
      </w:tblPr>
      <w:tblGrid>
        <w:gridCol w:w="5600"/>
        <w:gridCol w:w="3800"/>
      </w:tblGrid>
      <w:tr>
        <w:trPr>
          <w:tblHeader/>
        </w:trPr>
        <w:tc>
          <w:tcPr>
            <w:tcW w:type="dxa" w:w="5600"/>
            <w:shd w:fill="123C32" w:val="clear"/>
            <w:tcMar>
              <w:top w:type="dxa" w:w="90"/>
              <w:left w:type="dxa" w:w="130"/>
              <w:bottom w:type="dxa" w:w="90"/>
              <w:right w:type="dxa" w:w="130"/>
            </w:tcMar>
            <w:vAlign w:val="center"/>
          </w:tcPr>
          <w:p>
            <w:pPr>
              <w:jc w:val="left"/>
            </w:pPr>
            <w:r>
              <w:rPr>
                <w:rFonts w:ascii="Calibri" w:cs="Calibri" w:eastAsia="Calibri" w:hAnsi="Calibri"/>
                <w:b/>
                <w:bCs/>
                <w:color w:val="F7F3EA"/>
                <w:sz w:val="16"/>
                <w:szCs w:val="16"/>
              </w:rPr>
              <w:t xml:space="preserve">Category</w:t>
            </w:r>
          </w:p>
        </w:tc>
        <w:tc>
          <w:tcPr>
            <w:tcW w:type="dxa" w:w="38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Net Activity (₹ crore)</w:t>
            </w:r>
          </w:p>
        </w:tc>
      </w:tr>
      <w:tr>
        <w:tc>
          <w:tcPr>
            <w:tcW w:type="dxa" w:w="5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FII (cash)</w:t>
            </w:r>
          </w:p>
        </w:tc>
        <w:tc>
          <w:tcPr>
            <w:tcW w:type="dxa" w:w="38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−5,039.80 (net sellers)</w:t>
            </w:r>
          </w:p>
        </w:tc>
      </w:tr>
      <w:tr>
        <w:tc>
          <w:tcPr>
            <w:tcW w:type="dxa" w:w="5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DII (cash)</w:t>
            </w:r>
          </w:p>
        </w:tc>
        <w:tc>
          <w:tcPr>
            <w:tcW w:type="dxa" w:w="38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5,183.90 (net buyers)</w:t>
            </w:r>
          </w:p>
        </w:tc>
      </w:tr>
    </w:tbl>
    <w:p>
      <w:pPr>
        <w:spacing w:after="100" w:line="260"/>
      </w:pPr>
      <w:r>
        <w:rPr>
          <w:rFonts w:ascii="Calibri" w:cs="Calibri" w:eastAsia="Calibri" w:hAnsi="Calibri"/>
          <w:i/>
          <w:iCs/>
          <w:color w:val="6B6B63"/>
          <w:sz w:val="17"/>
          <w:szCs w:val="17"/>
        </w:rPr>
        <w:t xml:space="preserve">No FII/DII figure specific to 29–31 Aug 2026 was found (weekend, then session in progress) — 28 Aug is the most recent complete session. Source attribution for this figure is via a search aggregator rather than a direct NSDL/NSE pull; recommend confirming against NSDL's official FPI data before treating as final. Pattern through August: FIIs consistently net sellers, DIIs consistently net buyers in the cash segment (e.g. 20 Aug: FII −₹583.36 cr, DII +₹3,537.71 cr; 17 Aug: FII −₹2,535.10 cr, DII +₹5,101.46 cr).</w:t>
      </w:r>
    </w:p>
    <w:p>
      <w:pPr>
        <w:pStyle w:val="Heading2"/>
        <w:keepNext/>
        <w:spacing w:after="120" w:before="240"/>
      </w:pPr>
      <w:r>
        <w:rPr>
          <w:rFonts w:ascii="Calibri" w:cs="Calibri" w:eastAsia="Calibri" w:hAnsi="Calibri"/>
          <w:b/>
          <w:bCs/>
          <w:color w:val="123C32"/>
          <w:sz w:val="20"/>
          <w:szCs w:val="20"/>
        </w:rPr>
        <w:t xml:space="preserve">India Q1 FY27 GDP (NSO) — today's headline release</w:t>
      </w:r>
    </w:p>
    <w:p>
      <w:pPr>
        <w:spacing w:after="140" w:line="276"/>
      </w:pPr>
      <w:r>
        <w:rPr>
          <w:rFonts w:ascii="Calibri" w:cs="Calibri" w:eastAsia="Calibri" w:hAnsi="Calibri"/>
          <w:b w:val="false"/>
          <w:bCs w:val="false"/>
          <w:i w:val="false"/>
          <w:iCs w:val="false"/>
          <w:color w:val="252525"/>
          <w:sz w:val="20"/>
          <w:szCs w:val="20"/>
        </w:rPr>
        <w:t xml:space="preserve">Not yet released at research time. NSO/MoSPI GDP releases are historically published in the evening (~5:30 PM IST); this report was assembled during the morning trading session, so the actual figure could not be confirmed and is not reported here. Consensus/pre-release estimates only (forecasts, not actuals): median ~7.2%, with individual house forecasts ranging from 6.9% (India Ratings &amp; Research) to 8.0% (SBI Research), and RBI's own projection at 7.0% — down from Q4 FY26's confirmed actual of 7.8% (full-year FY26 growth revised to 7.7%). Source: Business Standard, 24 Aug 2026; BusinessToday, 19 Aug 2026; PIB/MoSPI-NSO press release for the Q4 FY26 comparison figure.</w:t>
      </w:r>
    </w:p>
    <w:p>
      <w:pPr>
        <w:pStyle w:val="Heading2"/>
        <w:keepNext/>
        <w:spacing w:after="120" w:before="240"/>
      </w:pPr>
      <w:r>
        <w:rPr>
          <w:rFonts w:ascii="Calibri" w:cs="Calibri" w:eastAsia="Calibri" w:hAnsi="Calibri"/>
          <w:b/>
          <w:bCs/>
          <w:color w:val="123C32"/>
          <w:sz w:val="20"/>
          <w:szCs w:val="20"/>
        </w:rPr>
        <w:t xml:space="preserve">This Week's Macro Calendar (31 Aug – 4 Sep 2026)</w:t>
      </w:r>
    </w:p>
    <w:p>
      <w:pPr>
        <w:spacing w:after="140" w:line="276"/>
      </w:pPr>
      <w:r>
        <w:rPr>
          <w:rFonts w:ascii="Calibri" w:cs="Calibri" w:eastAsia="Calibri" w:hAnsi="Calibri"/>
          <w:b/>
          <w:bCs/>
          <w:color w:val="252525"/>
          <w:sz w:val="20"/>
          <w:szCs w:val="20"/>
        </w:rPr>
        <w:t xml:space="preserve">1 Sep (Tue): </w:t>
      </w:r>
      <w:r>
        <w:rPr>
          <w:rFonts w:ascii="Calibri" w:cs="Calibri" w:eastAsia="Calibri" w:hAnsi="Calibri"/>
          <w:color w:val="252525"/>
          <w:sz w:val="20"/>
          <w:szCs w:val="20"/>
        </w:rPr>
        <w:t xml:space="preserve">India Manufacturing PMI final (S&amp;P Global) — August flash reading was 52.90, down from July's 53.50 (Trading Economics). India August auto wholesale (SIAM) typically releases around this date; not yet found in search. US markets closed for Labor Day.</w:t>
      </w:r>
    </w:p>
    <w:p>
      <w:pPr>
        <w:spacing w:after="140" w:line="276"/>
      </w:pPr>
      <w:r>
        <w:rPr>
          <w:rFonts w:ascii="Calibri" w:cs="Calibri" w:eastAsia="Calibri" w:hAnsi="Calibri"/>
          <w:b/>
          <w:bCs/>
          <w:color w:val="252525"/>
          <w:sz w:val="20"/>
          <w:szCs w:val="20"/>
        </w:rPr>
        <w:t xml:space="preserve">2 Sep (Wed): </w:t>
      </w:r>
      <w:r>
        <w:rPr>
          <w:rFonts w:ascii="Calibri" w:cs="Calibri" w:eastAsia="Calibri" w:hAnsi="Calibri"/>
          <w:color w:val="252525"/>
          <w:sz w:val="20"/>
          <w:szCs w:val="20"/>
        </w:rPr>
        <w:t xml:space="preserve">US ISM Manufacturing PMI, final S&amp;P Global Manufacturing PMI, US Construction Spending.</w:t>
      </w:r>
    </w:p>
    <w:p>
      <w:pPr>
        <w:spacing w:after="140" w:line="276"/>
      </w:pPr>
      <w:r>
        <w:rPr>
          <w:rFonts w:ascii="Calibri" w:cs="Calibri" w:eastAsia="Calibri" w:hAnsi="Calibri"/>
          <w:b/>
          <w:bCs/>
          <w:color w:val="252525"/>
          <w:sz w:val="20"/>
          <w:szCs w:val="20"/>
        </w:rPr>
        <w:t xml:space="preserve">3 Sep (Thu): </w:t>
      </w:r>
      <w:r>
        <w:rPr>
          <w:rFonts w:ascii="Calibri" w:cs="Calibri" w:eastAsia="Calibri" w:hAnsi="Calibri"/>
          <w:color w:val="252525"/>
          <w:sz w:val="20"/>
          <w:szCs w:val="20"/>
        </w:rPr>
        <w:t xml:space="preserve">US JOLTs Job Openings, Factory Orders, Fed Beige Book. India Services PMI conventionally releases around the 3rd business day of the month; exact September date not confirmed.</w:t>
      </w:r>
    </w:p>
    <w:p>
      <w:pPr>
        <w:spacing w:after="140" w:line="276"/>
      </w:pPr>
      <w:r>
        <w:rPr>
          <w:rFonts w:ascii="Calibri" w:cs="Calibri" w:eastAsia="Calibri" w:hAnsi="Calibri"/>
          <w:b/>
          <w:bCs/>
          <w:color w:val="252525"/>
          <w:sz w:val="20"/>
          <w:szCs w:val="20"/>
        </w:rPr>
        <w:t xml:space="preserve">4 Sep (Fri): </w:t>
      </w:r>
      <w:r>
        <w:rPr>
          <w:rFonts w:ascii="Calibri" w:cs="Calibri" w:eastAsia="Calibri" w:hAnsi="Calibri"/>
          <w:color w:val="252525"/>
          <w:sz w:val="20"/>
          <w:szCs w:val="20"/>
        </w:rPr>
        <w:t xml:space="preserve">US Initial Jobless Claims, ADP Employment Change, ISM Services PMI, final S&amp;P Global Services PMI, US trade balance.</w:t>
      </w:r>
    </w:p>
    <w:p>
      <w:pPr>
        <w:spacing w:after="140" w:line="276"/>
      </w:pPr>
      <w:r>
        <w:rPr>
          <w:rFonts w:ascii="Calibri" w:cs="Calibri" w:eastAsia="Calibri" w:hAnsi="Calibri"/>
          <w:b/>
          <w:bCs/>
          <w:color w:val="252525"/>
          <w:sz w:val="20"/>
          <w:szCs w:val="20"/>
        </w:rPr>
        <w:t xml:space="preserve">Outside this window: </w:t>
      </w:r>
      <w:r>
        <w:rPr>
          <w:rFonts w:ascii="Calibri" w:cs="Calibri" w:eastAsia="Calibri" w:hAnsi="Calibri"/>
          <w:color w:val="252525"/>
          <w:sz w:val="20"/>
          <w:szCs w:val="20"/>
        </w:rPr>
        <w:t xml:space="preserve">RBI's next MPC meeting is a 3-day session 29 Sep – 1 Oct 2026, with the decision due 1 Oct — rates are expected to be held given current inflation dynamics (Business Standard, 3 Aug 2026), though this falls outside the coming week.</w:t>
      </w:r>
    </w:p>
    <w:p>
      <w:pPr>
        <w:pStyle w:val="Heading1"/>
        <w:keepNext/>
        <w:spacing w:after="40" w:before="480"/>
      </w:pPr>
      <w:r>
        <w:rPr>
          <w:rFonts w:ascii="Calibri" w:cs="Calibri" w:eastAsia="Calibri" w:hAnsi="Calibri"/>
          <w:b/>
          <w:bCs/>
          <w:color w:val="C8A96B"/>
          <w:sz w:val="22"/>
          <w:szCs w:val="22"/>
        </w:rPr>
        <w:t xml:space="preserve">03  </w:t>
      </w:r>
      <w:r>
        <w:rPr>
          <w:rFonts w:ascii="Calibri" w:cs="Calibri" w:eastAsia="Calibri" w:hAnsi="Calibri"/>
          <w:b/>
          <w:bCs/>
          <w:color w:val="123C32"/>
          <w:spacing w:val="12"/>
          <w:sz w:val="22"/>
          <w:szCs w:val="22"/>
        </w:rPr>
        <w:t xml:space="preserve">WATCHLIST MOVERS</w:t>
      </w:r>
    </w:p>
    <w:p>
      <w:pPr>
        <w:keepNext/>
        <w:pBdr>
          <w:bottom w:val="single" w:color="C8A96B" w:sz="6" w:space="1"/>
        </w:pBdr>
        <w:spacing w:after="200" w:before="60"/>
      </w:pPr>
    </w:p>
    <w:p>
      <w:pPr>
        <w:spacing w:after="100" w:line="260"/>
      </w:pPr>
      <w:r>
        <w:rPr>
          <w:rFonts w:ascii="Calibri" w:cs="Calibri" w:eastAsia="Calibri" w:hAnsi="Calibri"/>
          <w:i/>
          <w:iCs/>
          <w:color w:val="6B6B63"/>
          <w:sz w:val="17"/>
          <w:szCs w:val="17"/>
        </w:rPr>
        <w:t xml:space="preserve">Prices and % change below are read directly from the watchlist's live feed, captured mid-morning alongside the market snapshot above — an intraday read, not a final close. The sheet's own volume-signal classification shows Neutral across the board today despite the broader market's soft tone; the Notable/Quiet split below is based on move size and material news, independent of that column.</w:t>
      </w:r>
    </w:p>
    <w:tbl>
      <w:tblPr>
        <w:tblW w:type="dxa" w:w="10000"/>
        <w:tblBorders>
          <w:top w:val="single" w:color="D9D2C2" w:sz="4"/>
          <w:left w:val="none"/>
          <w:bottom w:val="single" w:color="D9D2C2" w:sz="4"/>
          <w:right w:val="none"/>
          <w:insideH w:val="single" w:color="E7E1D2" w:sz="2"/>
          <w:insideV w:val="none"/>
        </w:tblBorders>
      </w:tblPr>
      <w:tblGrid>
        <w:gridCol w:w="3600"/>
        <w:gridCol w:w="1700"/>
        <w:gridCol w:w="1500"/>
        <w:gridCol w:w="1500"/>
        <w:gridCol w:w="1700"/>
      </w:tblGrid>
      <w:tr>
        <w:trPr>
          <w:tblHeader/>
        </w:trPr>
        <w:tc>
          <w:tcPr>
            <w:tcW w:type="dxa" w:w="3600"/>
            <w:shd w:fill="123C32" w:val="clear"/>
            <w:tcMar>
              <w:top w:type="dxa" w:w="90"/>
              <w:left w:type="dxa" w:w="130"/>
              <w:bottom w:type="dxa" w:w="90"/>
              <w:right w:type="dxa" w:w="130"/>
            </w:tcMar>
            <w:vAlign w:val="center"/>
          </w:tcPr>
          <w:p>
            <w:pPr>
              <w:jc w:val="left"/>
            </w:pPr>
            <w:r>
              <w:rPr>
                <w:rFonts w:ascii="Calibri" w:cs="Calibri" w:eastAsia="Calibri" w:hAnsi="Calibri"/>
                <w:b/>
                <w:bCs/>
                <w:color w:val="F7F3EA"/>
                <w:sz w:val="16"/>
                <w:szCs w:val="16"/>
              </w:rPr>
              <w:t xml:space="preserve">Name</w:t>
            </w:r>
          </w:p>
        </w:tc>
        <w:tc>
          <w:tcPr>
            <w:tcW w:type="dxa" w:w="17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Ticker</w:t>
            </w:r>
          </w:p>
        </w:tc>
        <w:tc>
          <w:tcPr>
            <w:tcW w:type="dxa" w:w="15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Level</w:t>
            </w:r>
          </w:p>
        </w:tc>
        <w:tc>
          <w:tcPr>
            <w:tcW w:type="dxa" w:w="15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Change %</w:t>
            </w:r>
          </w:p>
        </w:tc>
        <w:tc>
          <w:tcPr>
            <w:tcW w:type="dxa" w:w="17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Signal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Jio Financial Services</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JIOFIN</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237.45</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−0.40%</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Hindustan Copper</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HINDCOPPER</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526.05</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−1.41%</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C2C Advanced Systems</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C2C</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1,060.00</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−0.68%</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Suzlon Energy</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SUZLON</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46.34</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−0.96%</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Black Box</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BBOX</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160.02</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−0.79%</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Aeroflex Industries</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AEROFLEX</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531.35</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−1.98%</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Sandur Manganese &amp; Iron Ores</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SANDUMA</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201.34</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−2.00%</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Tirupati Forge</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TIRUPATIFL</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68.85</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−1.33%</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Wockhardt</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WOCKPHARMA</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1,906.50</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−3.57%</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PNGS Reva Diamond Jewellery</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PNGSREVA</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541.95</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−0.06%</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Bluspring Enterprises</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BLUSPRING</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128.94</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+1.18%</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Powergrid Infrastructure InvIT</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543290</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100.06</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+0.04%</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K.P. Energy</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539686</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245.60</w:t>
            </w:r>
          </w:p>
        </w:tc>
        <w:tc>
          <w:tcPr>
            <w:tcW w:type="dxa" w:w="15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−1.58%</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BSE Ltd</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BSE</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3,350.00</w:t>
            </w:r>
          </w:p>
        </w:tc>
        <w:tc>
          <w:tcPr>
            <w:tcW w:type="dxa" w:w="15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−1.62%</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Neutral</w:t>
            </w:r>
          </w:p>
        </w:tc>
      </w:tr>
    </w:tbl>
    <w:p>
      <w:pPr>
        <w:pStyle w:val="Heading2"/>
        <w:keepNext/>
        <w:spacing w:after="120" w:before="240"/>
      </w:pPr>
      <w:r>
        <w:rPr>
          <w:rFonts w:ascii="Calibri" w:cs="Calibri" w:eastAsia="Calibri" w:hAnsi="Calibri"/>
          <w:b/>
          <w:bCs/>
          <w:color w:val="123C32"/>
          <w:sz w:val="20"/>
          <w:szCs w:val="20"/>
        </w:rPr>
        <w:t xml:space="preserve">Notable Movers</w:t>
      </w:r>
    </w:p>
    <w:p>
      <w:pPr>
        <w:spacing w:after="60" w:before="220"/>
      </w:pPr>
      <w:r>
        <w:rPr>
          <w:rFonts w:ascii="Calibri" w:cs="Calibri" w:eastAsia="Calibri" w:hAnsi="Calibri"/>
          <w:b/>
          <w:bCs/>
          <w:color w:val="123C32"/>
          <w:sz w:val="20"/>
          <w:szCs w:val="20"/>
        </w:rPr>
        <w:t xml:space="preserve">Wockhardt</w:t>
      </w:r>
      <w:r>
        <w:rPr>
          <w:rFonts w:ascii="Calibri" w:cs="Calibri" w:eastAsia="Calibri" w:hAnsi="Calibri"/>
          <w:b/>
          <w:bCs/>
          <w:color w:val="C8A96B"/>
          <w:sz w:val="17"/>
          <w:szCs w:val="17"/>
        </w:rPr>
        <w:t xml:space="preserve">  WOCKPHARMA · −3.57%</w:t>
      </w:r>
    </w:p>
    <w:p>
      <w:pPr>
        <w:spacing w:after="140" w:line="276"/>
      </w:pPr>
      <w:r>
        <w:rPr>
          <w:rFonts w:ascii="Calibri" w:cs="Calibri" w:eastAsia="Calibri" w:hAnsi="Calibri"/>
          <w:b w:val="false"/>
          <w:bCs w:val="false"/>
          <w:i w:val="false"/>
          <w:iCs w:val="false"/>
          <w:color w:val="252525"/>
          <w:sz w:val="20"/>
          <w:szCs w:val="20"/>
        </w:rPr>
        <w:t xml:space="preserve">The watchlist's largest mover today. No single confirmed news item dated exactly 31 August was found to explain the move — the most likely combination of factors: a customs adjudication order dated 21 August 2026 (reported ~25 Aug) imposing a ₹5 crore penalty plus a ₹10 crore redemption fine (₹15 crore total) for alleged API export misclassification, which the company says it will appeal and does not expect to materially affect financials; a Sell rating from MarketsMojo (since 12 May 2026, citing rich valuation); and today's broader risk-off tone (Sensex/Nifty both down over half a percent intraday on oil prices and US rate-hike concerns). The stock is down roughly 18% from its 52-week high of ₹2,422 to the ₹1,860–1,940 range through late August, which market commentary attributes to sustained FII selling and pharma-sector de-rating. On the other side of the ledger: USFDA approved Wockhardt's ZAYNICH (cefepime/zidebactam) this period — the first new chemical entity by an Indian pharma company to get USFDA approval — with EU/UK decisions expected September–October 2026 and a targeted US launch by end-2026/early 2027.</w:t>
      </w:r>
    </w:p>
    <w:p>
      <w:pPr>
        <w:spacing w:after="60" w:before="220"/>
      </w:pPr>
      <w:r>
        <w:rPr>
          <w:rFonts w:ascii="Calibri" w:cs="Calibri" w:eastAsia="Calibri" w:hAnsi="Calibri"/>
          <w:b/>
          <w:bCs/>
          <w:color w:val="123C32"/>
          <w:sz w:val="20"/>
          <w:szCs w:val="20"/>
        </w:rPr>
        <w:t xml:space="preserve">Hindustan Copper</w:t>
      </w:r>
      <w:r>
        <w:rPr>
          <w:rFonts w:ascii="Calibri" w:cs="Calibri" w:eastAsia="Calibri" w:hAnsi="Calibri"/>
          <w:b/>
          <w:bCs/>
          <w:color w:val="C8A96B"/>
          <w:sz w:val="17"/>
          <w:szCs w:val="17"/>
        </w:rPr>
        <w:t xml:space="preserve">  HINDCOPPER · −1.41%</w:t>
      </w:r>
    </w:p>
    <w:p>
      <w:pPr>
        <w:spacing w:after="140" w:line="276"/>
      </w:pPr>
      <w:r>
        <w:rPr>
          <w:rFonts w:ascii="Calibri" w:cs="Calibri" w:eastAsia="Calibri" w:hAnsi="Calibri"/>
          <w:b w:val="false"/>
          <w:bCs w:val="false"/>
          <w:i w:val="false"/>
          <w:iCs w:val="false"/>
          <w:color w:val="252525"/>
          <w:sz w:val="20"/>
          <w:szCs w:val="20"/>
        </w:rPr>
        <w:t xml:space="preserve">The government's offer-for-sale of up to 6% of Hindustan Copper (floor price ₹514/share, announced 24 August) remains the live overhang, timed to capitalize on record global copper prices; the base 3% tranche was subscribed more than 3x by institutional investors, prompting the additional 3% green-shoe. Q1 FY27 results (board meeting 10 August) showed net profit up 18% YoY.</w:t>
      </w:r>
    </w:p>
    <w:p>
      <w:pPr>
        <w:spacing w:after="60" w:before="220"/>
      </w:pPr>
      <w:r>
        <w:rPr>
          <w:rFonts w:ascii="Calibri" w:cs="Calibri" w:eastAsia="Calibri" w:hAnsi="Calibri"/>
          <w:b/>
          <w:bCs/>
          <w:color w:val="123C32"/>
          <w:sz w:val="20"/>
          <w:szCs w:val="20"/>
        </w:rPr>
        <w:t xml:space="preserve">Sandur Manganese &amp; Iron Ores</w:t>
      </w:r>
      <w:r>
        <w:rPr>
          <w:rFonts w:ascii="Calibri" w:cs="Calibri" w:eastAsia="Calibri" w:hAnsi="Calibri"/>
          <w:b/>
          <w:bCs/>
          <w:color w:val="C8A96B"/>
          <w:sz w:val="17"/>
          <w:szCs w:val="17"/>
        </w:rPr>
        <w:t xml:space="preserve">  SANDUMA · −2.00%</w:t>
      </w:r>
    </w:p>
    <w:p>
      <w:pPr>
        <w:spacing w:after="140" w:line="276"/>
      </w:pPr>
      <w:r>
        <w:rPr>
          <w:rFonts w:ascii="Calibri" w:cs="Calibri" w:eastAsia="Calibri" w:hAnsi="Calibri"/>
          <w:b w:val="false"/>
          <w:bCs w:val="false"/>
          <w:i w:val="false"/>
          <w:iCs w:val="false"/>
          <w:color w:val="252525"/>
          <w:sz w:val="20"/>
          <w:szCs w:val="20"/>
        </w:rPr>
        <w:t xml:space="preserve">Continuing its recent pattern of non-core diversification, the company incorporated two new wholly-owned subsidiaries this month — Royal Sandur Academy (14 Aug) and Royal Sandur Hospitality (21 Aug). Its 72nd AGM was held 19 August via video conference, and a ₹0.50/share dividend was paid 12 August.</w:t>
      </w:r>
    </w:p>
    <w:p>
      <w:pPr>
        <w:spacing w:after="60" w:before="220"/>
      </w:pPr>
      <w:r>
        <w:rPr>
          <w:rFonts w:ascii="Calibri" w:cs="Calibri" w:eastAsia="Calibri" w:hAnsi="Calibri"/>
          <w:b/>
          <w:bCs/>
          <w:color w:val="123C32"/>
          <w:sz w:val="20"/>
          <w:szCs w:val="20"/>
        </w:rPr>
        <w:t xml:space="preserve">Aeroflex Industries</w:t>
      </w:r>
      <w:r>
        <w:rPr>
          <w:rFonts w:ascii="Calibri" w:cs="Calibri" w:eastAsia="Calibri" w:hAnsi="Calibri"/>
          <w:b/>
          <w:bCs/>
          <w:color w:val="C8A96B"/>
          <w:sz w:val="17"/>
          <w:szCs w:val="17"/>
        </w:rPr>
        <w:t xml:space="preserve">  AEROFLEX · −1.98%</w:t>
      </w:r>
    </w:p>
    <w:p>
      <w:pPr>
        <w:spacing w:after="140" w:line="276"/>
      </w:pPr>
      <w:r>
        <w:rPr>
          <w:rFonts w:ascii="Calibri" w:cs="Calibri" w:eastAsia="Calibri" w:hAnsi="Calibri"/>
          <w:b w:val="false"/>
          <w:bCs w:val="false"/>
          <w:i w:val="false"/>
          <w:iCs w:val="false"/>
          <w:color w:val="252525"/>
          <w:sz w:val="20"/>
          <w:szCs w:val="20"/>
        </w:rPr>
        <w:t xml:space="preserve">Today's decline follows an all-time high of ₹523 set 26 August (+196% over the past year). Q1 FY27 consolidated revenue rose 72.4% YoY to ₹145.4 crore. Management met investors at Axis Capital's Singapore corporate day on 19 August.</w:t>
      </w:r>
    </w:p>
    <w:p>
      <w:pPr>
        <w:spacing w:after="60" w:before="220"/>
      </w:pPr>
      <w:r>
        <w:rPr>
          <w:rFonts w:ascii="Calibri" w:cs="Calibri" w:eastAsia="Calibri" w:hAnsi="Calibri"/>
          <w:b/>
          <w:bCs/>
          <w:color w:val="123C32"/>
          <w:sz w:val="20"/>
          <w:szCs w:val="20"/>
        </w:rPr>
        <w:t xml:space="preserve">BSE Ltd</w:t>
      </w:r>
      <w:r>
        <w:rPr>
          <w:rFonts w:ascii="Calibri" w:cs="Calibri" w:eastAsia="Calibri" w:hAnsi="Calibri"/>
          <w:b/>
          <w:bCs/>
          <w:color w:val="C8A96B"/>
          <w:sz w:val="17"/>
          <w:szCs w:val="17"/>
        </w:rPr>
        <w:t xml:space="preserve">  BSE · −1.62%</w:t>
      </w:r>
    </w:p>
    <w:p>
      <w:pPr>
        <w:spacing w:after="140" w:line="276"/>
      </w:pPr>
      <w:r>
        <w:rPr>
          <w:rFonts w:ascii="Calibri" w:cs="Calibri" w:eastAsia="Calibri" w:hAnsi="Calibri"/>
          <w:b w:val="false"/>
          <w:bCs w:val="false"/>
          <w:i w:val="false"/>
          <w:iCs w:val="false"/>
          <w:color w:val="252525"/>
          <w:sz w:val="20"/>
          <w:szCs w:val="20"/>
        </w:rPr>
        <w:t xml:space="preserve">The exchange remains at the center of the Closing Auction System (CAS) story: SEBI's new 20-minute auction-based closing window (3:15–3:35 PM) went live 3 August for F&amp;O-eligible NSE stocks, while BSE continues using its older VWAP-based methodology — producing a widening NSE–BSE closing-price gap, with the median Nifty-50 divergence rising from 0.01% pre-launch to as high as 3% cited for some names by late August, drawing arbitrage activity and regulatory scrutiny (SEBI's chairman has said no changes to CAS are currently planned). Separately and more directly relevant to BSE's competitive position, SEBI's chairman said 27 August the regulator is "close to approving" the long-pending NSE IPO (DRHP filed 17 June 2026, ~₹30,000 crore issue), with a possible September 2026 listing. Q1 FY27 net profit for BSE itself rose 62% YoY to ₹874.02 crore; ICICI Securities raised its Hold target to ₹3,530 on 6 August.</w:t>
      </w:r>
    </w:p>
    <w:p>
      <w:pPr>
        <w:spacing w:after="60" w:before="220"/>
      </w:pPr>
      <w:r>
        <w:rPr>
          <w:rFonts w:ascii="Calibri" w:cs="Calibri" w:eastAsia="Calibri" w:hAnsi="Calibri"/>
          <w:b/>
          <w:bCs/>
          <w:color w:val="123C32"/>
          <w:sz w:val="20"/>
          <w:szCs w:val="20"/>
        </w:rPr>
        <w:t xml:space="preserve">K.P. Energy</w:t>
      </w:r>
      <w:r>
        <w:rPr>
          <w:rFonts w:ascii="Calibri" w:cs="Calibri" w:eastAsia="Calibri" w:hAnsi="Calibri"/>
          <w:b/>
          <w:bCs/>
          <w:color w:val="C8A96B"/>
          <w:sz w:val="17"/>
          <w:szCs w:val="17"/>
        </w:rPr>
        <w:t xml:space="preserve">  K.P. Energy · −1.58%</w:t>
      </w:r>
    </w:p>
    <w:p>
      <w:pPr>
        <w:spacing w:after="140" w:line="276"/>
      </w:pPr>
      <w:r>
        <w:rPr>
          <w:rFonts w:ascii="Calibri" w:cs="Calibri" w:eastAsia="Calibri" w:hAnsi="Calibri"/>
          <w:b w:val="false"/>
          <w:bCs w:val="false"/>
          <w:i w:val="false"/>
          <w:iCs w:val="false"/>
          <w:color w:val="252525"/>
          <w:sz w:val="20"/>
          <w:szCs w:val="20"/>
        </w:rPr>
        <w:t xml:space="preserve">KP Group and Raz Holding signed a non-binding letter of intent for strategic investment/collaboration on 24 August, valid until 18 November 2026. An analyst/institutional-investor site visit to Gujarat wind projects was held 25 August.</w:t>
      </w:r>
    </w:p>
    <w:p>
      <w:pPr>
        <w:spacing w:after="60" w:before="220"/>
      </w:pPr>
      <w:r>
        <w:rPr>
          <w:rFonts w:ascii="Calibri" w:cs="Calibri" w:eastAsia="Calibri" w:hAnsi="Calibri"/>
          <w:b/>
          <w:bCs/>
          <w:color w:val="123C32"/>
          <w:sz w:val="20"/>
          <w:szCs w:val="20"/>
        </w:rPr>
        <w:t xml:space="preserve">Bluspring Enterprises</w:t>
      </w:r>
      <w:r>
        <w:rPr>
          <w:rFonts w:ascii="Calibri" w:cs="Calibri" w:eastAsia="Calibri" w:hAnsi="Calibri"/>
          <w:b/>
          <w:bCs/>
          <w:color w:val="C8A96B"/>
          <w:sz w:val="17"/>
          <w:szCs w:val="17"/>
        </w:rPr>
        <w:t xml:space="preserve">  BLUSPRING · +1.18%</w:t>
      </w:r>
    </w:p>
    <w:p>
      <w:pPr>
        <w:spacing w:after="140" w:line="276"/>
      </w:pPr>
      <w:r>
        <w:rPr>
          <w:rFonts w:ascii="Calibri" w:cs="Calibri" w:eastAsia="Calibri" w:hAnsi="Calibri"/>
          <w:b w:val="false"/>
          <w:bCs w:val="false"/>
          <w:i w:val="false"/>
          <w:iCs w:val="false"/>
          <w:color w:val="252525"/>
          <w:sz w:val="20"/>
          <w:szCs w:val="20"/>
        </w:rPr>
        <w:t xml:space="preserve">The company's 2nd AGM is being held today, 31 August, at 3:00 PM IST via video conference — e-voting closed 30 August. No outcome/voting-results filing had been published as of research time (mid-morning); worth a same-day or next-day check of BSE/NSE filings once the meeting concludes. This follows the completed acquisition of LSG Sky Chefs (India), effective 6 August, and FY26 results showing revenue up 11% with adjusted PAT up 27%.</w:t>
      </w:r>
    </w:p>
    <w:p>
      <w:pPr>
        <w:spacing w:after="60" w:before="220"/>
      </w:pPr>
      <w:r>
        <w:rPr>
          <w:rFonts w:ascii="Calibri" w:cs="Calibri" w:eastAsia="Calibri" w:hAnsi="Calibri"/>
          <w:b/>
          <w:bCs/>
          <w:color w:val="123C32"/>
          <w:sz w:val="20"/>
          <w:szCs w:val="20"/>
        </w:rPr>
        <w:t xml:space="preserve">Tirupati Forge</w:t>
      </w:r>
      <w:r>
        <w:rPr>
          <w:rFonts w:ascii="Calibri" w:cs="Calibri" w:eastAsia="Calibri" w:hAnsi="Calibri"/>
          <w:b/>
          <w:bCs/>
          <w:color w:val="C8A96B"/>
          <w:sz w:val="17"/>
          <w:szCs w:val="17"/>
        </w:rPr>
        <w:t xml:space="preserve">  TIRUPATIFL · −1.33%</w:t>
      </w:r>
    </w:p>
    <w:p>
      <w:pPr>
        <w:spacing w:after="140" w:line="276"/>
      </w:pPr>
      <w:r>
        <w:rPr>
          <w:rFonts w:ascii="Calibri" w:cs="Calibri" w:eastAsia="Calibri" w:hAnsi="Calibri"/>
          <w:b w:val="false"/>
          <w:bCs w:val="false"/>
          <w:i w:val="false"/>
          <w:iCs w:val="false"/>
          <w:color w:val="252525"/>
          <w:sz w:val="20"/>
          <w:szCs w:val="20"/>
        </w:rPr>
        <w:t xml:space="preserve">Q1 FY27 revenue rose 18% YoY to ₹38.1 crore, though standalone profit contracted to ₹1.2 crore on margin pressure. Trial production of empty artillery shell bodies has been completed under the company's defence technical-collaboration MOU, with commercial production targeted for Q2 FY27 and an annualized revenue target of roughly ₹250 crore from that vertical, per company commentary.</w:t>
      </w:r>
    </w:p>
    <w:p>
      <w:pPr>
        <w:pStyle w:val="Heading2"/>
        <w:keepNext/>
        <w:spacing w:after="120" w:before="240"/>
      </w:pPr>
      <w:r>
        <w:rPr>
          <w:rFonts w:ascii="Calibri" w:cs="Calibri" w:eastAsia="Calibri" w:hAnsi="Calibri"/>
          <w:b/>
          <w:bCs/>
          <w:color w:val="123C32"/>
          <w:sz w:val="20"/>
          <w:szCs w:val="20"/>
        </w:rPr>
        <w:t xml:space="preserve">Quiet</w:t>
      </w:r>
    </w:p>
    <w:p>
      <w:pPr>
        <w:spacing w:after="140" w:line="276"/>
      </w:pPr>
      <w:r>
        <w:rPr>
          <w:rFonts w:ascii="Calibri" w:cs="Calibri" w:eastAsia="Calibri" w:hAnsi="Calibri"/>
          <w:b/>
          <w:bCs/>
          <w:color w:val="252525"/>
          <w:sz w:val="20"/>
          <w:szCs w:val="20"/>
        </w:rPr>
        <w:t xml:space="preserve">Jio Financial Services (−0.40%): </w:t>
      </w:r>
      <w:r>
        <w:rPr>
          <w:rFonts w:ascii="Calibri" w:cs="Calibri" w:eastAsia="Calibri" w:hAnsi="Calibri"/>
          <w:color w:val="252525"/>
          <w:sz w:val="20"/>
          <w:szCs w:val="20"/>
        </w:rPr>
        <w:t xml:space="preserve">no fresh news since its 26 August AGM (final dividend ₹0.60/share approved). Most recent results (Q1 FY27, mid-July) showed consolidated net profit up 156% YoY.</w:t>
      </w:r>
    </w:p>
    <w:p>
      <w:pPr>
        <w:spacing w:after="140" w:line="276"/>
      </w:pPr>
      <w:r>
        <w:rPr>
          <w:rFonts w:ascii="Calibri" w:cs="Calibri" w:eastAsia="Calibri" w:hAnsi="Calibri"/>
          <w:b/>
          <w:bCs/>
          <w:color w:val="252525"/>
          <w:sz w:val="20"/>
          <w:szCs w:val="20"/>
        </w:rPr>
        <w:t xml:space="preserve">C2C Advanced Systems (−0.68%): </w:t>
      </w:r>
      <w:r>
        <w:rPr>
          <w:rFonts w:ascii="Calibri" w:cs="Calibri" w:eastAsia="Calibri" w:hAnsi="Calibri"/>
          <w:color w:val="252525"/>
          <w:sz w:val="20"/>
          <w:szCs w:val="20"/>
        </w:rPr>
        <w:t xml:space="preserve">no fresh news this week beyond the previously-flagged statutory auditor resignation (effective 14 August, reason undisclosed).</w:t>
      </w:r>
    </w:p>
    <w:p>
      <w:pPr>
        <w:spacing w:after="140" w:line="276"/>
      </w:pPr>
      <w:r>
        <w:rPr>
          <w:rFonts w:ascii="Calibri" w:cs="Calibri" w:eastAsia="Calibri" w:hAnsi="Calibri"/>
          <w:b/>
          <w:bCs/>
          <w:color w:val="252525"/>
          <w:sz w:val="20"/>
          <w:szCs w:val="20"/>
        </w:rPr>
        <w:t xml:space="preserve">Suzlon Energy (−0.96%): </w:t>
      </w:r>
      <w:r>
        <w:rPr>
          <w:rFonts w:ascii="Calibri" w:cs="Calibri" w:eastAsia="Calibri" w:hAnsi="Calibri"/>
          <w:color w:val="252525"/>
          <w:sz w:val="20"/>
          <w:szCs w:val="20"/>
        </w:rPr>
        <w:t xml:space="preserve">no new developments since the 25 August Torrent Green Energy order; 31st AGM is scheduled for 11 September.</w:t>
      </w:r>
    </w:p>
    <w:p>
      <w:pPr>
        <w:spacing w:after="140" w:line="276"/>
      </w:pPr>
      <w:r>
        <w:rPr>
          <w:rFonts w:ascii="Calibri" w:cs="Calibri" w:eastAsia="Calibri" w:hAnsi="Calibri"/>
          <w:b/>
          <w:bCs/>
          <w:color w:val="252525"/>
          <w:sz w:val="20"/>
          <w:szCs w:val="20"/>
        </w:rPr>
        <w:t xml:space="preserve">Black Box (−0.79%): </w:t>
      </w:r>
      <w:r>
        <w:rPr>
          <w:rFonts w:ascii="Calibri" w:cs="Calibri" w:eastAsia="Calibri" w:hAnsi="Calibri"/>
          <w:color w:val="252525"/>
          <w:sz w:val="20"/>
          <w:szCs w:val="20"/>
        </w:rPr>
        <w:t xml:space="preserve">no new developments since the 5 August AIONOS alliance announcement; 40th AGM scheduled 16 September.</w:t>
      </w:r>
    </w:p>
    <w:p>
      <w:pPr>
        <w:spacing w:after="140" w:line="276"/>
      </w:pPr>
      <w:r>
        <w:rPr>
          <w:rFonts w:ascii="Calibri" w:cs="Calibri" w:eastAsia="Calibri" w:hAnsi="Calibri"/>
          <w:b/>
          <w:bCs/>
          <w:color w:val="252525"/>
          <w:sz w:val="20"/>
          <w:szCs w:val="20"/>
        </w:rPr>
        <w:t xml:space="preserve">PNGS Reva Diamond Jewellery (−0.06%): </w:t>
      </w:r>
      <w:r>
        <w:rPr>
          <w:rFonts w:ascii="Calibri" w:cs="Calibri" w:eastAsia="Calibri" w:hAnsi="Calibri"/>
          <w:color w:val="252525"/>
          <w:sz w:val="20"/>
          <w:szCs w:val="20"/>
        </w:rPr>
        <w:t xml:space="preserve">essentially flat; no new news beyond its previously-reported strong Q1 results (net profit +265% YoY).</w:t>
      </w:r>
    </w:p>
    <w:p>
      <w:pPr>
        <w:spacing w:after="140" w:line="276"/>
      </w:pPr>
      <w:r>
        <w:rPr>
          <w:rFonts w:ascii="Calibri" w:cs="Calibri" w:eastAsia="Calibri" w:hAnsi="Calibri"/>
          <w:b/>
          <w:bCs/>
          <w:color w:val="252525"/>
          <w:sz w:val="20"/>
          <w:szCs w:val="20"/>
        </w:rPr>
        <w:t xml:space="preserve">Powergrid Infrastructure InvIT (+0.04%): </w:t>
      </w:r>
      <w:r>
        <w:rPr>
          <w:rFonts w:ascii="Calibri" w:cs="Calibri" w:eastAsia="Calibri" w:hAnsi="Calibri"/>
          <w:color w:val="252525"/>
          <w:sz w:val="20"/>
          <w:szCs w:val="20"/>
        </w:rPr>
        <w:t xml:space="preserve">essentially flat; no notable news this week beyond the already-paid ₹3.00/unit distribution.</w:t>
      </w:r>
    </w:p>
    <w:p>
      <w:pPr>
        <w:pStyle w:val="Heading1"/>
        <w:keepNext/>
        <w:spacing w:after="40" w:before="480"/>
      </w:pPr>
      <w:r>
        <w:rPr>
          <w:rFonts w:ascii="Calibri" w:cs="Calibri" w:eastAsia="Calibri" w:hAnsi="Calibri"/>
          <w:b/>
          <w:bCs/>
          <w:color w:val="C8A96B"/>
          <w:sz w:val="22"/>
          <w:szCs w:val="22"/>
        </w:rPr>
        <w:t xml:space="preserve">04  </w:t>
      </w:r>
      <w:r>
        <w:rPr>
          <w:rFonts w:ascii="Calibri" w:cs="Calibri" w:eastAsia="Calibri" w:hAnsi="Calibri"/>
          <w:b/>
          <w:bCs/>
          <w:color w:val="123C32"/>
          <w:spacing w:val="12"/>
          <w:sz w:val="22"/>
          <w:szCs w:val="22"/>
        </w:rPr>
        <w:t xml:space="preserve">SECTOR &amp; COMPANY DEVELOPMENTS</w:t>
      </w:r>
    </w:p>
    <w:p>
      <w:pPr>
        <w:keepNext/>
        <w:pBdr>
          <w:bottom w:val="single" w:color="C8A96B" w:sz="6" w:space="1"/>
        </w:pBdr>
        <w:spacing w:after="200" w:before="60"/>
      </w:pPr>
    </w:p>
    <w:p>
      <w:pPr>
        <w:pStyle w:val="Heading2"/>
        <w:keepNext/>
        <w:spacing w:after="120" w:before="240"/>
      </w:pPr>
      <w:r>
        <w:rPr>
          <w:rFonts w:ascii="Calibri" w:cs="Calibri" w:eastAsia="Calibri" w:hAnsi="Calibri"/>
          <w:b/>
          <w:bCs/>
          <w:color w:val="123C32"/>
          <w:sz w:val="20"/>
          <w:szCs w:val="20"/>
        </w:rPr>
        <w:t xml:space="preserve">Financial Services / NBFC</w:t>
      </w:r>
    </w:p>
    <w:p>
      <w:pPr>
        <w:spacing w:after="140" w:line="276"/>
      </w:pPr>
      <w:r>
        <w:rPr>
          <w:rFonts w:ascii="Calibri" w:cs="Calibri" w:eastAsia="Calibri" w:hAnsi="Calibri"/>
          <w:b w:val="false"/>
          <w:bCs w:val="false"/>
          <w:i w:val="false"/>
          <w:iCs w:val="false"/>
          <w:color w:val="252525"/>
          <w:sz w:val="20"/>
          <w:szCs w:val="20"/>
        </w:rPr>
        <w:t xml:space="preserve">RBI's amended Master Directions, effective 1 July 2026, created a new "Unregistered Type I NBFC" category for entities with assets under ₹1,000 crore, no public funds and no direct customer interface, allowing them to seek deregistration — the application deadline is 31 December 2026, with a one-time surrender window for existing registered NBFCs open until 30 September 2026. The direction is toward lighter-touch regulation for pure-investment-vehicle NBFCs, relevant background for JIOFIN's NBFC lending arm.</w:t>
      </w:r>
    </w:p>
    <w:p>
      <w:pPr>
        <w:pStyle w:val="Heading2"/>
        <w:keepNext/>
        <w:spacing w:after="120" w:before="240"/>
      </w:pPr>
      <w:r>
        <w:rPr>
          <w:rFonts w:ascii="Calibri" w:cs="Calibri" w:eastAsia="Calibri" w:hAnsi="Calibri"/>
          <w:b/>
          <w:bCs/>
          <w:color w:val="123C32"/>
          <w:sz w:val="20"/>
          <w:szCs w:val="20"/>
        </w:rPr>
        <w:t xml:space="preserve">Metals &amp; Mining</w:t>
      </w:r>
    </w:p>
    <w:p>
      <w:pPr>
        <w:spacing w:after="140" w:line="276"/>
      </w:pPr>
      <w:r>
        <w:rPr>
          <w:rFonts w:ascii="Calibri" w:cs="Calibri" w:eastAsia="Calibri" w:hAnsi="Calibri"/>
          <w:b w:val="false"/>
          <w:bCs w:val="false"/>
          <w:i w:val="false"/>
          <w:iCs w:val="false"/>
          <w:color w:val="252525"/>
          <w:sz w:val="20"/>
          <w:szCs w:val="20"/>
        </w:rPr>
        <w:t xml:space="preserve">Global copper prices continued rallying to record levels through late August, with domestic MCX copper around ₹1,381–1,387/kg (25–30 Aug) — the backdrop the government timed its Hindustan Copper OFS against. On iron ore, NMDC cut August delivery prices (lumps down ₹200/mt to ₹5,650/mt; fines down ₹150/mt to ₹4,550/mt), while the global benchmark held around $95.84/tonne (28 Aug, +0.17% day-on-day). On manganese, MOIL cut ore prices 4–5% across grades for August — the second consecutive monthly cut — while EMD (battery-grade) prices held flat, a relevant read-through for SANDUMA's ferroalloy business even as the company posted strong volume growth.</w:t>
      </w:r>
    </w:p>
    <w:p>
      <w:pPr>
        <w:pStyle w:val="Heading2"/>
        <w:keepNext/>
        <w:spacing w:after="120" w:before="240"/>
      </w:pPr>
      <w:r>
        <w:rPr>
          <w:rFonts w:ascii="Calibri" w:cs="Calibri" w:eastAsia="Calibri" w:hAnsi="Calibri"/>
          <w:b/>
          <w:bCs/>
          <w:color w:val="123C32"/>
          <w:sz w:val="20"/>
          <w:szCs w:val="20"/>
        </w:rPr>
        <w:t xml:space="preserve">Information Technology</w:t>
      </w:r>
    </w:p>
    <w:p>
      <w:pPr>
        <w:spacing w:after="140" w:line="276"/>
      </w:pPr>
      <w:r>
        <w:rPr>
          <w:rFonts w:ascii="Calibri" w:cs="Calibri" w:eastAsia="Calibri" w:hAnsi="Calibri"/>
          <w:b w:val="false"/>
          <w:bCs w:val="false"/>
          <w:i w:val="false"/>
          <w:iCs w:val="false"/>
          <w:color w:val="252525"/>
          <w:sz w:val="20"/>
          <w:szCs w:val="20"/>
        </w:rPr>
        <w:t xml:space="preserve">IT was the standout large-cap sector on Friday 28 August, driven by positive read-through from Nvidia's earnings/guidance, CrowdStrike's outlook, and Salesforce's deal with Anthropic, alongside encouraging domestic Q1 FY27 results. Bloomberg (7 Aug 2026) reported foreign funds rotating back into India IT names after months of selling. This commentary is large-cap-IT-focused (TCS/Infosys/Wipro/Persistent); no SME-IT-specific sector news was found this week beyond the company-specific items for C2C and Black Box above.</w:t>
      </w:r>
    </w:p>
    <w:p>
      <w:pPr>
        <w:pStyle w:val="Heading2"/>
        <w:keepNext/>
        <w:spacing w:after="120" w:before="240"/>
      </w:pPr>
      <w:r>
        <w:rPr>
          <w:rFonts w:ascii="Calibri" w:cs="Calibri" w:eastAsia="Calibri" w:hAnsi="Calibri"/>
          <w:b/>
          <w:bCs/>
          <w:color w:val="123C32"/>
          <w:sz w:val="20"/>
          <w:szCs w:val="20"/>
        </w:rPr>
        <w:t xml:space="preserve">Renewable Energy / Power</w:t>
      </w:r>
    </w:p>
    <w:p>
      <w:pPr>
        <w:spacing w:after="140" w:line="276"/>
      </w:pPr>
      <w:r>
        <w:rPr>
          <w:rFonts w:ascii="Calibri" w:cs="Calibri" w:eastAsia="Calibri" w:hAnsi="Calibri"/>
          <w:b w:val="false"/>
          <w:bCs w:val="false"/>
          <w:i w:val="false"/>
          <w:iCs w:val="false"/>
          <w:color w:val="252525"/>
          <w:sz w:val="20"/>
          <w:szCs w:val="20"/>
        </w:rPr>
        <w:t xml:space="preserve">India's installed wind capacity reached 57,443 MW as of 30 June 2026 — the fourth largest globally after China, the US and Germany — with FY26 additions of 6,057 MW nearly double FY24's 3,253 MW; Gujarat leads with 16,086 MW, followed by Tamil Nadu (12,273 MW) and Karnataka (8,896 MW), against a national target of 155 GW by 2035-36. Sector focus is shifting toward hybrid round-the-clock renewable-plus-storage projects, discussed at the 14th Annual Conference on Wind Power in India this month; land acquisition and grid/evacuation infrastructure remain the sector's biggest bottlenecks — relevant background for Suzlon, the Powergrid InvIT, and K.P. Energy.</w:t>
      </w:r>
    </w:p>
    <w:p>
      <w:pPr>
        <w:pStyle w:val="Heading2"/>
        <w:keepNext/>
        <w:spacing w:after="120" w:before="240"/>
      </w:pPr>
      <w:r>
        <w:rPr>
          <w:rFonts w:ascii="Calibri" w:cs="Calibri" w:eastAsia="Calibri" w:hAnsi="Calibri"/>
          <w:b/>
          <w:bCs/>
          <w:color w:val="123C32"/>
          <w:sz w:val="20"/>
          <w:szCs w:val="20"/>
        </w:rPr>
        <w:t xml:space="preserve">Industrial / Engineering (incl. Defence)</w:t>
      </w:r>
    </w:p>
    <w:p>
      <w:pPr>
        <w:spacing w:after="140" w:line="276"/>
      </w:pPr>
      <w:r>
        <w:rPr>
          <w:rFonts w:ascii="Calibri" w:cs="Calibri" w:eastAsia="Calibri" w:hAnsi="Calibri"/>
          <w:b w:val="false"/>
          <w:bCs w:val="false"/>
          <w:i w:val="false"/>
          <w:iCs w:val="false"/>
          <w:color w:val="252525"/>
          <w:sz w:val="20"/>
          <w:szCs w:val="20"/>
        </w:rPr>
        <w:t xml:space="preserve">India's FY26 defence production hit an all-time high of ₹1.78 lakh crore, with private-sector contribution reaching roughly ₹42,000 crore — its largest share yet — and private defence output projected to grow 15–16% this fiscal on a ₹50,000 crore order book and continued domestic-sourcing policy preference. Early-August sector news included an Agni-4 missile test and France's technical/commercial proposal for 114 Rafale fighters (under review, not signed). Useful backdrop for Tirupati Forge's defence-shell push and Aeroflex's industrial-components business, though no company-specific link beyond what's noted in Section 3 was found.</w:t>
      </w:r>
    </w:p>
    <w:p>
      <w:pPr>
        <w:pStyle w:val="Heading2"/>
        <w:keepNext/>
        <w:spacing w:after="120" w:before="240"/>
      </w:pPr>
      <w:r>
        <w:rPr>
          <w:rFonts w:ascii="Calibri" w:cs="Calibri" w:eastAsia="Calibri" w:hAnsi="Calibri"/>
          <w:b/>
          <w:bCs/>
          <w:color w:val="123C32"/>
          <w:sz w:val="20"/>
          <w:szCs w:val="20"/>
        </w:rPr>
        <w:t xml:space="preserve">Healthcare / Pharmaceuticals</w:t>
      </w:r>
    </w:p>
    <w:p>
      <w:pPr>
        <w:spacing w:after="140" w:line="276"/>
      </w:pPr>
      <w:r>
        <w:rPr>
          <w:rFonts w:ascii="Calibri" w:cs="Calibri" w:eastAsia="Calibri" w:hAnsi="Calibri"/>
          <w:b w:val="false"/>
          <w:bCs w:val="false"/>
          <w:i w:val="false"/>
          <w:iCs w:val="false"/>
          <w:color w:val="252525"/>
          <w:sz w:val="20"/>
          <w:szCs w:val="20"/>
        </w:rPr>
        <w:t xml:space="preserve">The US tariff structure on generic drugs, effective from 1 August 2026, currently holds a two-year zero-tariff window through July 2028, with generics, biosimilars and APIs explicitly excluded from the headline tariff escalation (rising to 100% from August 2028, 200% from August 2029) — meaning India's core generics export business (roughly $9.7bn to the US in 2025, 38% of India's global pharma exports) is not directly hit near-term, though a formal one-year review of that exclusion could revisit the position. Indian domestic pharma sales were up 16% YoY in June 2026. This is relevant backdrop for Wockhardt's export and regulatory risk profile, alongside its own company-specific customs matter noted in Section 3.</w:t>
      </w:r>
    </w:p>
    <w:p>
      <w:pPr>
        <w:pStyle w:val="Heading2"/>
        <w:keepNext/>
        <w:spacing w:after="120" w:before="240"/>
      </w:pPr>
      <w:r>
        <w:rPr>
          <w:rFonts w:ascii="Calibri" w:cs="Calibri" w:eastAsia="Calibri" w:hAnsi="Calibri"/>
          <w:b/>
          <w:bCs/>
          <w:color w:val="123C32"/>
          <w:sz w:val="20"/>
          <w:szCs w:val="20"/>
        </w:rPr>
        <w:t xml:space="preserve">Jewellery Retail</w:t>
      </w:r>
    </w:p>
    <w:p>
      <w:pPr>
        <w:spacing w:after="140" w:line="276"/>
      </w:pPr>
      <w:r>
        <w:rPr>
          <w:rFonts w:ascii="Calibri" w:cs="Calibri" w:eastAsia="Calibri" w:hAnsi="Calibri"/>
          <w:b w:val="false"/>
          <w:bCs w:val="false"/>
          <w:i w:val="false"/>
          <w:iCs w:val="false"/>
          <w:color w:val="252525"/>
          <w:sz w:val="20"/>
          <w:szCs w:val="20"/>
        </w:rPr>
        <w:t xml:space="preserve">Gold prices recovered sharply in early August after a June correction — international (LBMA PM) gold rose 9% in the first two weeks of August to $4,391/oz, with domestic prices up roughly 7% to ₹151,744/10g; as of 26 August, 24K gold stood at approximately ₹1,69,054.50/10g. Demand trends are improving, with deferred purchases returning and stronger festive-season expectations; domestic prices remain at a discount to import parity, partly reflecting increased old-gold exchange supply. A supportive backdrop for PNGS Reva Diamond Jewellery.</w:t>
      </w:r>
    </w:p>
    <w:p>
      <w:pPr>
        <w:pStyle w:val="Heading2"/>
        <w:keepNext/>
        <w:spacing w:after="120" w:before="240"/>
      </w:pPr>
      <w:r>
        <w:rPr>
          <w:rFonts w:ascii="Calibri" w:cs="Calibri" w:eastAsia="Calibri" w:hAnsi="Calibri"/>
          <w:b/>
          <w:bCs/>
          <w:color w:val="123C32"/>
          <w:sz w:val="20"/>
          <w:szCs w:val="20"/>
        </w:rPr>
        <w:t xml:space="preserve">Exchanges / Market Infrastructure</w:t>
      </w:r>
    </w:p>
    <w:p>
      <w:pPr>
        <w:spacing w:after="140" w:line="276"/>
      </w:pPr>
      <w:r>
        <w:rPr>
          <w:rFonts w:ascii="Calibri" w:cs="Calibri" w:eastAsia="Calibri" w:hAnsi="Calibri"/>
          <w:b w:val="false"/>
          <w:bCs w:val="false"/>
          <w:i w:val="false"/>
          <w:iCs w:val="false"/>
          <w:color w:val="252525"/>
          <w:sz w:val="20"/>
          <w:szCs w:val="20"/>
        </w:rPr>
        <w:t xml:space="preserve">The Closing Auction System (CAS) story continued to develop through late August — see the BSE Ltd item in Section 3 for the specific mechanics and the median Nifty-50 divergence figures. Separately, SEBI's chairman said on 27 August the regulator is "close to approving" the long-pending NSE IPO (DRHP filed 17 June 2026, an estimated ₹30,000 crore issue), raising the possibility of a September 2026 listing — a live structural development for exchange competitive dynamics.</w:t>
      </w:r>
    </w:p>
    <w:p>
      <w:pPr>
        <w:pStyle w:val="Heading1"/>
        <w:keepNext/>
        <w:spacing w:after="40" w:before="480"/>
      </w:pPr>
      <w:r>
        <w:rPr>
          <w:rFonts w:ascii="Calibri" w:cs="Calibri" w:eastAsia="Calibri" w:hAnsi="Calibri"/>
          <w:b/>
          <w:bCs/>
          <w:color w:val="C8A96B"/>
          <w:sz w:val="22"/>
          <w:szCs w:val="22"/>
        </w:rPr>
        <w:t xml:space="preserve">05  </w:t>
      </w:r>
      <w:r>
        <w:rPr>
          <w:rFonts w:ascii="Calibri" w:cs="Calibri" w:eastAsia="Calibri" w:hAnsi="Calibri"/>
          <w:b/>
          <w:bCs/>
          <w:color w:val="123C32"/>
          <w:spacing w:val="12"/>
          <w:sz w:val="22"/>
          <w:szCs w:val="22"/>
        </w:rPr>
        <w:t xml:space="preserve">WHAT'S ON THE CALENDAR</w:t>
      </w:r>
    </w:p>
    <w:p>
      <w:pPr>
        <w:keepNext/>
        <w:pBdr>
          <w:bottom w:val="single" w:color="C8A96B" w:sz="6" w:space="1"/>
        </w:pBdr>
        <w:spacing w:after="200" w:before="60"/>
      </w:pPr>
    </w:p>
    <w:tbl>
      <w:tblPr>
        <w:tblW w:type="dxa" w:w="9500"/>
        <w:tblBorders>
          <w:top w:val="single" w:color="D9D2C2" w:sz="4"/>
          <w:left w:val="none"/>
          <w:bottom w:val="single" w:color="D9D2C2" w:sz="4"/>
          <w:right w:val="none"/>
          <w:insideH w:val="single" w:color="E7E1D2" w:sz="2"/>
          <w:insideV w:val="none"/>
        </w:tblBorders>
      </w:tblPr>
      <w:tblGrid>
        <w:gridCol w:w="3600"/>
        <w:gridCol w:w="4200"/>
        <w:gridCol w:w="1700"/>
      </w:tblGrid>
      <w:tr>
        <w:trPr>
          <w:tblHeader/>
        </w:trPr>
        <w:tc>
          <w:tcPr>
            <w:tcW w:type="dxa" w:w="3600"/>
            <w:shd w:fill="123C32" w:val="clear"/>
            <w:tcMar>
              <w:top w:type="dxa" w:w="90"/>
              <w:left w:type="dxa" w:w="130"/>
              <w:bottom w:type="dxa" w:w="90"/>
              <w:right w:type="dxa" w:w="130"/>
            </w:tcMar>
            <w:vAlign w:val="center"/>
          </w:tcPr>
          <w:p>
            <w:pPr>
              <w:jc w:val="left"/>
            </w:pPr>
            <w:r>
              <w:rPr>
                <w:rFonts w:ascii="Calibri" w:cs="Calibri" w:eastAsia="Calibri" w:hAnsi="Calibri"/>
                <w:b/>
                <w:bCs/>
                <w:color w:val="F7F3EA"/>
                <w:sz w:val="16"/>
                <w:szCs w:val="16"/>
              </w:rPr>
              <w:t xml:space="preserve">Name</w:t>
            </w:r>
          </w:p>
        </w:tc>
        <w:tc>
          <w:tcPr>
            <w:tcW w:type="dxa" w:w="42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Event</w:t>
            </w:r>
          </w:p>
        </w:tc>
        <w:tc>
          <w:tcPr>
            <w:tcW w:type="dxa" w:w="1700"/>
            <w:shd w:fill="123C32" w:val="clear"/>
            <w:tcMar>
              <w:top w:type="dxa" w:w="90"/>
              <w:left w:type="dxa" w:w="130"/>
              <w:bottom w:type="dxa" w:w="90"/>
              <w:right w:type="dxa" w:w="130"/>
            </w:tcMar>
            <w:vAlign w:val="center"/>
          </w:tcPr>
          <w:p>
            <w:pPr>
              <w:jc w:val="center"/>
            </w:pPr>
            <w:r>
              <w:rPr>
                <w:rFonts w:ascii="Calibri" w:cs="Calibri" w:eastAsia="Calibri" w:hAnsi="Calibri"/>
                <w:b/>
                <w:bCs/>
                <w:color w:val="F7F3EA"/>
                <w:sz w:val="16"/>
                <w:szCs w:val="16"/>
              </w:rPr>
              <w:t xml:space="preserve">Date</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Bluspring Enterprises</w:t>
            </w:r>
          </w:p>
        </w:tc>
        <w:tc>
          <w:tcPr>
            <w:tcW w:type="dxa" w:w="4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2nd AGM (outcome pending as of research time)</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31 Aug 2026</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BSE Ltd</w:t>
            </w:r>
          </w:p>
        </w:tc>
        <w:tc>
          <w:tcPr>
            <w:tcW w:type="dxa" w:w="42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Elara India Dialogue 2026 investor conference (Mumbai)</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2 Sep 2026</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Suzlon Energy</w:t>
            </w:r>
          </w:p>
        </w:tc>
        <w:tc>
          <w:tcPr>
            <w:tcW w:type="dxa" w:w="4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31st AGM</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11 Sep 2026</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Black Box</w:t>
            </w:r>
          </w:p>
        </w:tc>
        <w:tc>
          <w:tcPr>
            <w:tcW w:type="dxa" w:w="42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40th AGM (e-voting cut-off 9 Sep)</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16 Sep 2026</w:t>
            </w:r>
          </w:p>
        </w:tc>
      </w:tr>
      <w:tr>
        <w:tc>
          <w:tcPr>
            <w:tcW w:type="dxa" w:w="3600"/>
            <w:shd w:fill="FFFFFF"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Powergrid Infrastructure InvIT</w:t>
            </w:r>
          </w:p>
        </w:tc>
        <w:tc>
          <w:tcPr>
            <w:tcW w:type="dxa" w:w="42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SEBI circular-applicability relaxation window ends</w:t>
            </w:r>
          </w:p>
        </w:tc>
        <w:tc>
          <w:tcPr>
            <w:tcW w:type="dxa" w:w="1700"/>
            <w:shd w:fill="FFFFFF"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30 Sep 2026</w:t>
            </w:r>
          </w:p>
        </w:tc>
      </w:tr>
      <w:tr>
        <w:tc>
          <w:tcPr>
            <w:tcW w:type="dxa" w:w="3600"/>
            <w:shd w:fill="FBF9F3" w:val="clear"/>
            <w:tcMar>
              <w:top w:type="dxa" w:w="90"/>
              <w:left w:type="dxa" w:w="130"/>
              <w:bottom w:type="dxa" w:w="90"/>
              <w:right w:type="dxa" w:w="130"/>
            </w:tcMar>
            <w:vAlign w:val="center"/>
          </w:tcPr>
          <w:p>
            <w:pPr>
              <w:jc w:val="left"/>
            </w:pPr>
            <w:r>
              <w:rPr>
                <w:rFonts w:ascii="Calibri" w:cs="Calibri" w:eastAsia="Calibri" w:hAnsi="Calibri"/>
                <w:b w:val="false"/>
                <w:bCs w:val="false"/>
                <w:color w:val="252525"/>
                <w:sz w:val="18"/>
                <w:szCs w:val="18"/>
              </w:rPr>
              <w:t xml:space="preserve">Wockhardt</w:t>
            </w:r>
          </w:p>
        </w:tc>
        <w:tc>
          <w:tcPr>
            <w:tcW w:type="dxa" w:w="42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EU/UK regulatory decisions expected on ZAYNICH (window, not a fixed date)</w:t>
            </w:r>
          </w:p>
        </w:tc>
        <w:tc>
          <w:tcPr>
            <w:tcW w:type="dxa" w:w="1700"/>
            <w:shd w:fill="FBF9F3" w:val="clear"/>
            <w:tcMar>
              <w:top w:type="dxa" w:w="90"/>
              <w:left w:type="dxa" w:w="130"/>
              <w:bottom w:type="dxa" w:w="90"/>
              <w:right w:type="dxa" w:w="130"/>
            </w:tcMar>
            <w:vAlign w:val="center"/>
          </w:tcPr>
          <w:p>
            <w:pPr>
              <w:jc w:val="center"/>
            </w:pPr>
            <w:r>
              <w:rPr>
                <w:rFonts w:ascii="Calibri" w:cs="Calibri" w:eastAsia="Calibri" w:hAnsi="Calibri"/>
                <w:b w:val="false"/>
                <w:bCs w:val="false"/>
                <w:color w:val="252525"/>
                <w:sz w:val="18"/>
                <w:szCs w:val="18"/>
              </w:rPr>
              <w:t xml:space="preserve">Sep–Oct 2026</w:t>
            </w:r>
          </w:p>
        </w:tc>
      </w:tr>
    </w:tbl>
    <w:p>
      <w:pPr>
        <w:spacing w:after="100" w:line="260"/>
      </w:pPr>
      <w:r>
        <w:rPr>
          <w:rFonts w:ascii="Calibri" w:cs="Calibri" w:eastAsia="Calibri" w:hAnsi="Calibri"/>
          <w:i/>
          <w:iCs/>
          <w:color w:val="6B6B63"/>
          <w:sz w:val="17"/>
          <w:szCs w:val="17"/>
        </w:rPr>
        <w:t xml:space="preserve">No specific event in the next 1–2 weeks was found for: Jio Financial Services, Hindustan Copper, C2C Advanced Systems, Aeroflex Industries, Sandur Manganese &amp; Iron Ores (72nd AGM already held 19 Aug), Tirupati Forge, PNGS Reva Diamond Jewellery, and K.P. Energy. Next Q2 FY27 results for several of these names are inferred to fall around mid-October to November 2026 based on prior-year patterns, but exact 2026 dates are not yet confirmed — flagged as such rather than stated as certain.</w:t>
      </w:r>
    </w:p>
    <w:sectPr>
      <w:headerReference w:type="default" r:id="rId11"/>
      <w:headerReference w:type="first" r:id="rId12"/>
      <w:footerReference w:type="default" r:id="rId13"/>
      <w:footerReference w:type="first" r:id="rId14"/>
      <w:pgSz w:w="12240" w:h="15840"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2" w:sz="4" w:space="6"/>
      </w:pBdr>
      <w:tabs>
        <w:tab w:val="right" w:pos="9540"/>
      </w:tabs>
      <w:spacing w:before="120"/>
    </w:pPr>
    <w:r>
      <w:rPr>
        <w:rFonts w:ascii="Calibri" w:cs="Calibri" w:eastAsia="Calibri" w:hAnsi="Calibri"/>
        <w:color w:val="6B6B63"/>
        <w:sz w:val="15"/>
        <w:szCs w:val="15"/>
      </w:rPr>
      <w:t xml:space="preserve">Internal — Confidential</w:t>
    </w:r>
    <w:r>
      <w:rPr>
        <w:rFonts w:ascii="Calibri" w:cs="Calibri" w:eastAsia="Calibri" w:hAnsi="Calibri"/>
        <w:sz w:val="15"/>
        <w:szCs w:val="15"/>
      </w:rPr>
      <w:t xml:space="preserve">	</w:t>
    </w:r>
    <w:r>
      <w:rPr>
        <w:rFonts w:ascii="Calibri" w:cs="Calibri" w:eastAsia="Calibri" w:hAnsi="Calibri"/>
        <w:color w:val="6B6B63"/>
        <w:sz w:val="15"/>
        <w:szCs w:val="15"/>
      </w:rPr>
      <w:t xml:space="preserve">Page </w:t>
    </w:r>
    <w:r>
      <w:rPr>
        <w:rFonts w:ascii="Calibri" w:cs="Calibri" w:eastAsia="Calibri" w:hAnsi="Calibri"/>
        <w:color w:val="6B6B63"/>
        <w:sz w:val="15"/>
        <w:szCs w:val="15"/>
      </w:rPr>
      <w:fldChar w:fldCharType="begin"/>
      <w:instrText xml:space="preserve">PAGE</w:instrText>
      <w:fldChar w:fldCharType="separate"/>
      <w:fldChar w:fldCharType="end"/>
    </w:r>
    <w:r>
      <w:rPr>
        <w:rFonts w:ascii="Calibri" w:cs="Calibri" w:eastAsia="Calibri" w:hAnsi="Calibri"/>
        <w:color w:val="6B6B63"/>
        <w:sz w:val="15"/>
        <w:szCs w:val="15"/>
      </w:rPr>
      <w:t xml:space="preserve"> of </w:t>
    </w:r>
    <w:r>
      <w:rPr>
        <w:rFonts w:ascii="Calibri" w:cs="Calibri" w:eastAsia="Calibri" w:hAnsi="Calibri"/>
        <w:color w:val="6B6B63"/>
        <w:sz w:val="15"/>
        <w:szCs w:val="15"/>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2C2" w:sz="4" w:space="6"/>
      </w:pBdr>
      <w:tabs>
        <w:tab w:val="right" w:pos="9540"/>
      </w:tabs>
      <w:spacing w:before="120"/>
    </w:pPr>
    <w:r>
      <w:rPr>
        <w:rFonts w:ascii="Calibri" w:cs="Calibri" w:eastAsia="Calibri" w:hAnsi="Calibri"/>
        <w:color w:val="6B6B63"/>
        <w:sz w:val="15"/>
        <w:szCs w:val="15"/>
      </w:rPr>
      <w:t xml:space="preserve">Internal — Confidential</w:t>
    </w:r>
    <w:r>
      <w:rPr>
        <w:rFonts w:ascii="Calibri" w:cs="Calibri" w:eastAsia="Calibri" w:hAnsi="Calibri"/>
        <w:sz w:val="15"/>
        <w:szCs w:val="15"/>
      </w:rPr>
      <w:t xml:space="preserve">	</w:t>
    </w:r>
    <w:r>
      <w:rPr>
        <w:rFonts w:ascii="Calibri" w:cs="Calibri" w:eastAsia="Calibri" w:hAnsi="Calibri"/>
        <w:color w:val="6B6B63"/>
        <w:sz w:val="15"/>
        <w:szCs w:val="15"/>
      </w:rPr>
      <w:t xml:space="preserve">Page </w:t>
    </w:r>
    <w:r>
      <w:rPr>
        <w:rFonts w:ascii="Calibri" w:cs="Calibri" w:eastAsia="Calibri" w:hAnsi="Calibri"/>
        <w:color w:val="6B6B63"/>
        <w:sz w:val="15"/>
        <w:szCs w:val="15"/>
      </w:rPr>
      <w:fldChar w:fldCharType="begin"/>
      <w:instrText xml:space="preserve">PAGE</w:instrText>
      <w:fldChar w:fldCharType="separate"/>
      <w:fldChar w:fldCharType="end"/>
    </w:r>
    <w:r>
      <w:rPr>
        <w:rFonts w:ascii="Calibri" w:cs="Calibri" w:eastAsia="Calibri" w:hAnsi="Calibri"/>
        <w:color w:val="6B6B63"/>
        <w:sz w:val="15"/>
        <w:szCs w:val="15"/>
      </w:rPr>
      <w:t xml:space="preserve"> of </w:t>
    </w:r>
    <w:r>
      <w:rPr>
        <w:rFonts w:ascii="Calibri" w:cs="Calibri" w:eastAsia="Calibri" w:hAnsi="Calibri"/>
        <w:color w:val="6B6B63"/>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B" w:sz="4" w:space="8"/>
      </w:pBdr>
      <w:spacing w:after="120"/>
      <w:jc w:val="right"/>
    </w:pPr>
    <w:r>
      <w:rPr>
        <w:rFonts w:ascii="Calibri" w:cs="Calibri" w:eastAsia="Calibri" w:hAnsi="Calibri"/>
        <w:b/>
        <w:bCs/>
        <w:color w:val="123C32"/>
        <w:spacing w:val="10"/>
        <w:sz w:val="15"/>
        <w:szCs w:val="15"/>
      </w:rPr>
      <w:t xml:space="preserve">DAILY MARKET PULSE</w:t>
    </w:r>
    <w:r>
      <w:rPr>
        <w:rFonts w:ascii="Calibri" w:cs="Calibri" w:eastAsia="Calibri" w:hAnsi="Calibri"/>
        <w:b/>
        <w:bCs/>
        <w:color w:val="C8A96B"/>
        <w:spacing w:val="10"/>
        <w:sz w:val="15"/>
        <w:szCs w:val="15"/>
      </w:rPr>
      <w:t xml:space="preserve">   ·   31 AUGUST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B" w:sz="4" w:space="8"/>
      </w:pBdr>
      <w:spacing w:after="120"/>
      <w:jc w:val="right"/>
    </w:pPr>
    <w:r>
      <w:rPr>
        <w:rFonts w:ascii="Calibri" w:cs="Calibri" w:eastAsia="Calibri" w:hAnsi="Calibri"/>
        <w:b/>
        <w:bCs/>
        <w:color w:val="123C32"/>
        <w:spacing w:val="10"/>
        <w:sz w:val="15"/>
        <w:szCs w:val="15"/>
      </w:rPr>
      <w:t xml:space="preserve">DAILY MARKET PULSE</w:t>
    </w:r>
    <w:r>
      <w:rPr>
        <w:rFonts w:ascii="Calibri" w:cs="Calibri" w:eastAsia="Calibri" w:hAnsi="Calibri"/>
        <w:b/>
        <w:bCs/>
        <w:color w:val="C8A96B"/>
        <w:spacing w:val="10"/>
        <w:sz w:val="15"/>
        <w:szCs w:val="15"/>
      </w:rPr>
      <w:t xml:space="preserve">   ·   31 AUGUST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2525"/>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40" w:before="480"/>
    </w:pPr>
    <w:rPr>
      <w:rFonts w:ascii="Calibri" w:cs="Calibri" w:eastAsia="Calibri" w:hAnsi="Calibri"/>
      <w:b/>
      <w:bCs/>
      <w:color w:val="123C32"/>
      <w:sz w:val="22"/>
      <w:szCs w:val="22"/>
    </w:rPr>
  </w:style>
  <w:style w:type="paragraph" w:styleId="Heading2">
    <w:name w:val="Heading 2"/>
    <w:basedOn w:val="Normal"/>
    <w:next w:val="Normal"/>
    <w:qFormat/>
    <w:pPr>
      <w:spacing w:after="120" w:before="240"/>
    </w:pPr>
    <w:rPr>
      <w:rFonts w:ascii="Calibri" w:cs="Calibri" w:eastAsia="Calibri" w:hAnsi="Calibri"/>
      <w:b/>
      <w:bCs/>
      <w:color w:val="123C3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2026-08-31T04:53:23.857Z</dcterms:created>
  <dcterms:modified xsi:type="dcterms:W3CDTF">2026-08-31T04:53:23.872Z</dcterms:modified>
</cp:coreProperties>
</file>

<file path=docProps/custom.xml><?xml version="1.0" encoding="utf-8"?>
<Properties xmlns="http://schemas.openxmlformats.org/officeDocument/2006/custom-properties" xmlns:vt="http://schemas.openxmlformats.org/officeDocument/2006/docPropsVTypes"/>
</file>