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60"/>
        <w:jc w:val="center"/>
      </w:pPr>
      <w:r>
        <w:rPr>
          <w:rFonts w:ascii="Calibri" w:cs="Calibri" w:eastAsia="Calibri" w:hAnsi="Calibri"/>
          <w:b/>
          <w:bCs/>
          <w:color w:val="C8A96B"/>
          <w:spacing w:val="40"/>
          <w:sz w:val="22"/>
          <w:szCs w:val="22"/>
        </w:rPr>
        <w:t xml:space="preserve">ARTHA EQUITIES</w:t>
      </w:r>
    </w:p>
    <w:p>
      <w:pPr>
        <w:pBdr>
          <w:bottom w:val="single" w:color="C8A96B" w:sz="6" w:space="12"/>
        </w:pBdr>
        <w:spacing w:after="500"/>
        <w:jc w:val="center"/>
      </w:pPr>
    </w:p>
    <w:p>
      <w:pPr>
        <w:spacing w:after="200"/>
        <w:jc w:val="center"/>
      </w:pPr>
      <w:r>
        <w:rPr>
          <w:rFonts w:ascii="Georgia" w:cs="Georgia" w:eastAsia="Georgia" w:hAnsi="Georgia"/>
          <w:b/>
          <w:bCs/>
          <w:color w:val="123C32"/>
          <w:sz w:val="64"/>
          <w:szCs w:val="64"/>
        </w:rPr>
        <w:t xml:space="preserve">Weekend Roundup</w:t>
      </w:r>
    </w:p>
    <w:p>
      <w:pPr>
        <w:spacing w:after="140"/>
        <w:jc w:val="center"/>
      </w:pPr>
      <w:r>
        <w:rPr>
          <w:rFonts w:ascii="Calibri" w:cs="Calibri" w:eastAsia="Calibri" w:hAnsi="Calibri"/>
          <w:color w:val="252525"/>
          <w:sz w:val="24"/>
          <w:szCs w:val="24"/>
        </w:rPr>
        <w:t xml:space="preserve">Saturday, 29 August 2026</w:t>
      </w:r>
    </w:p>
    <w:p>
      <w:pPr>
        <w:spacing w:after="900"/>
        <w:jc w:val="center"/>
      </w:pPr>
      <w:r>
        <w:rPr>
          <w:rFonts w:ascii="Calibri" w:cs="Calibri" w:eastAsia="Calibri" w:hAnsi="Calibri"/>
          <w:i/>
          <w:iCs/>
          <w:color w:val="6B6B63"/>
          <w:sz w:val="17"/>
          <w:szCs w:val="17"/>
        </w:rPr>
        <w:t xml:space="preserve">Markets closed — weekly wrap &amp; weekend news, not a trading-session report</w:t>
      </w:r>
    </w:p>
    <w:p>
      <w:pPr>
        <w:spacing w:after="60"/>
        <w:jc w:val="center"/>
      </w:pPr>
      <w:r>
        <w:rPr>
          <w:rFonts w:ascii="Calibri" w:cs="Calibri" w:eastAsia="Calibri" w:hAnsi="Calibri"/>
          <w:b/>
          <w:bCs/>
          <w:color w:val="123C32"/>
          <w:sz w:val="22"/>
          <w:szCs w:val="22"/>
        </w:rPr>
        <w:t xml:space="preserve">Prepared for Ronish</w:t>
      </w:r>
    </w:p>
    <w:p>
      <w:pPr>
        <w:spacing w:after="1800"/>
        <w:jc w:val="center"/>
      </w:pPr>
      <w:r>
        <w:rPr>
          <w:rFonts w:ascii="Calibri" w:cs="Calibri" w:eastAsia="Calibri" w:hAnsi="Calibri"/>
          <w:i/>
          <w:iCs/>
          <w:color w:val="6B6B63"/>
          <w:sz w:val="18"/>
          <w:szCs w:val="18"/>
        </w:rPr>
        <w:t xml:space="preserve">Founder, Artha Equities</w:t>
      </w:r>
    </w:p>
    <w:p>
      <w:pPr>
        <w:spacing w:before="3200"/>
        <w:jc w:val="center"/>
      </w:pPr>
      <w:r>
        <w:rPr>
          <w:rFonts w:ascii="Calibri" w:cs="Calibri" w:eastAsia="Calibri" w:hAnsi="Calibri"/>
          <w:b/>
          <w:bCs/>
          <w:color w:val="C8A96B"/>
          <w:spacing w:val="30"/>
          <w:sz w:val="16"/>
          <w:szCs w:val="16"/>
        </w:rPr>
        <w:t xml:space="preserve">INTERNAL — CONFIDENTIAL</w:t>
      </w:r>
    </w:p>
    <w:p>
      <w:pPr>
        <w:spacing w:after="0"/>
        <w:jc w:val="center"/>
      </w:pPr>
      <w:r>
        <w:rPr>
          <w:rFonts w:ascii="Calibri" w:cs="Calibri" w:eastAsia="Calibri" w:hAnsi="Calibri"/>
          <w:i/>
          <w:iCs/>
          <w:color w:val="6B6B63"/>
          <w:sz w:val="15"/>
          <w:szCs w:val="15"/>
        </w:rPr>
        <w:t xml:space="preserve">Not for external distribution</w:t>
      </w:r>
    </w:p>
    <w:p>
      <w:r>
        <w:br w:type="page"/>
      </w:r>
    </w:p>
    <w:p>
      <w:pPr>
        <w:sectPr>
          <w:headerReference w:type="default" r:id="rId7"/>
          <w:headerReference w:type="first" r:id="rId8"/>
          <w:footerReference w:type="default" r:id="rId9"/>
          <w:footerReference w:type="first" r:id="rId10"/>
          <w:pgSz w:w="12240" w:h="15840" w:orient="portrait"/>
          <w:pgMar w:top="1350" w:right="1350" w:bottom="1350" w:left="1350" w:header="708" w:footer="708" w:gutter="0"/>
          <w:pgNumType/>
          <w:titlePg/>
          <w:docGrid w:linePitch="360"/>
        </w:sectPr>
      </w:pPr>
    </w:p>
    <w:p>
      <w:pPr>
        <w:pStyle w:val="Heading1"/>
        <w:keepNext/>
        <w:spacing w:after="40" w:before="480"/>
      </w:pPr>
      <w:r>
        <w:rPr>
          <w:rFonts w:ascii="Calibri" w:cs="Calibri" w:eastAsia="Calibri" w:hAnsi="Calibri"/>
          <w:b/>
          <w:bCs/>
          <w:color w:val="C8A96B"/>
          <w:sz w:val="22"/>
          <w:szCs w:val="22"/>
        </w:rPr>
        <w:t xml:space="preserve">01  </w:t>
      </w:r>
      <w:r>
        <w:rPr>
          <w:rFonts w:ascii="Calibri" w:cs="Calibri" w:eastAsia="Calibri" w:hAnsi="Calibri"/>
          <w:b/>
          <w:bCs/>
          <w:color w:val="123C32"/>
          <w:spacing w:val="12"/>
          <w:sz w:val="22"/>
          <w:szCs w:val="22"/>
        </w:rPr>
        <w:t xml:space="preserve">WEEK IN REVIEW</w:t>
      </w:r>
    </w:p>
    <w:p>
      <w:pPr>
        <w:keepNext/>
        <w:pBdr>
          <w:bottom w:val="single" w:color="C8A96B" w:sz="6" w:space="1"/>
        </w:pBdr>
        <w:spacing w:after="200" w:before="60"/>
      </w:pPr>
    </w:p>
    <w:p>
      <w:pPr>
        <w:spacing w:after="100" w:line="260"/>
      </w:pPr>
      <w:r>
        <w:rPr>
          <w:rFonts w:ascii="Calibri" w:cs="Calibri" w:eastAsia="Calibri" w:hAnsi="Calibri"/>
          <w:i/>
          <w:iCs/>
          <w:color w:val="6B6B63"/>
          <w:sz w:val="17"/>
          <w:szCs w:val="17"/>
        </w:rPr>
        <w:t xml:space="preserve">Trading week of Monday 24 August – Friday 28 August 2026. Today, Saturday 29 August 2026, is a non-trading day — figures below reflect the week just closed, not a live session.</w:t>
      </w:r>
    </w:p>
    <w:p>
      <w:pPr>
        <w:pStyle w:val="Heading2"/>
        <w:keepNext/>
        <w:spacing w:after="120" w:before="240"/>
      </w:pPr>
      <w:r>
        <w:rPr>
          <w:rFonts w:ascii="Calibri" w:cs="Calibri" w:eastAsia="Calibri" w:hAnsi="Calibri"/>
          <w:b/>
          <w:bCs/>
          <w:color w:val="123C32"/>
          <w:sz w:val="20"/>
          <w:szCs w:val="20"/>
        </w:rPr>
        <w:t xml:space="preserve">Nifty 50 &amp; Sensex — Net Weekly Change</w:t>
      </w:r>
    </w:p>
    <w:tbl>
      <w:tblPr>
        <w:tblW w:type="dxa" w:w="10500"/>
        <w:tblBorders>
          <w:top w:val="single" w:color="D9D2C2" w:sz="4"/>
          <w:left w:val="none"/>
          <w:bottom w:val="single" w:color="D9D2C2" w:sz="4"/>
          <w:right w:val="none"/>
          <w:insideH w:val="single" w:color="E7E1D2" w:sz="2"/>
          <w:insideV w:val="none"/>
        </w:tblBorders>
      </w:tblPr>
      <w:tblGrid>
        <w:gridCol w:w="2600"/>
        <w:gridCol w:w="2900"/>
        <w:gridCol w:w="2100"/>
        <w:gridCol w:w="2900"/>
      </w:tblGrid>
      <w:tr>
        <w:trPr>
          <w:tblHeader/>
        </w:trPr>
        <w:tc>
          <w:tcPr>
            <w:tcW w:type="dxa" w:w="2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Index</w:t>
            </w:r>
          </w:p>
        </w:tc>
        <w:tc>
          <w:tcPr>
            <w:tcW w:type="dxa" w:w="29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21 Aug Close (prior Fri)</w:t>
            </w:r>
          </w:p>
        </w:tc>
        <w:tc>
          <w:tcPr>
            <w:tcW w:type="dxa" w:w="21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28 Aug Close</w:t>
            </w:r>
          </w:p>
        </w:tc>
        <w:tc>
          <w:tcPr>
            <w:tcW w:type="dxa" w:w="29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Weekly Change</w:t>
            </w:r>
          </w:p>
        </w:tc>
      </w:tr>
      <w:tr>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Sensex</w:t>
            </w:r>
          </w:p>
        </w:tc>
        <w:tc>
          <w:tcPr>
            <w:tcW w:type="dxa" w:w="2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77,540.83</w:t>
            </w:r>
          </w:p>
        </w:tc>
        <w:tc>
          <w:tcPr>
            <w:tcW w:type="dxa" w:w="21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77,264.51</w:t>
            </w:r>
          </w:p>
        </w:tc>
        <w:tc>
          <w:tcPr>
            <w:tcW w:type="dxa" w:w="2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−276.32 pts (−0.36%)</w:t>
            </w:r>
          </w:p>
        </w:tc>
      </w:tr>
      <w:tr>
        <w:tc>
          <w:tcPr>
            <w:tcW w:type="dxa" w:w="2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50</w:t>
            </w:r>
          </w:p>
        </w:tc>
        <w:tc>
          <w:tcPr>
            <w:tcW w:type="dxa" w:w="2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24,252.00</w:t>
            </w:r>
          </w:p>
        </w:tc>
        <w:tc>
          <w:tcPr>
            <w:tcW w:type="dxa" w:w="21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24,175.65</w:t>
            </w:r>
          </w:p>
        </w:tc>
        <w:tc>
          <w:tcPr>
            <w:tcW w:type="dxa" w:w="2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−76.35 pts (−0.31%)</w:t>
            </w:r>
          </w:p>
        </w:tc>
      </w:tr>
    </w:tbl>
    <w:p>
      <w:pPr>
        <w:spacing w:after="100" w:line="260"/>
      </w:pPr>
      <w:r>
        <w:rPr>
          <w:rFonts w:ascii="Calibri" w:cs="Calibri" w:eastAsia="Calibri" w:hAnsi="Calibri"/>
          <w:i/>
          <w:iCs/>
          <w:color w:val="6B6B63"/>
          <w:sz w:val="17"/>
          <w:szCs w:val="17"/>
        </w:rPr>
        <w:t xml:space="preserve">Third consecutive weekly loss for both indices — the longest losing streak in five months (Business Recorder/Reuters, 28 Aug 2026; Business Standard day-wraps, 21–28 Aug 2026).</w:t>
      </w:r>
    </w:p>
    <w:p>
      <w:pPr>
        <w:pStyle w:val="Heading2"/>
        <w:keepNext/>
        <w:spacing w:after="120" w:before="240"/>
      </w:pPr>
      <w:r>
        <w:rPr>
          <w:rFonts w:ascii="Calibri" w:cs="Calibri" w:eastAsia="Calibri" w:hAnsi="Calibri"/>
          <w:b/>
          <w:bCs/>
          <w:color w:val="123C32"/>
          <w:sz w:val="20"/>
          <w:szCs w:val="20"/>
        </w:rPr>
        <w:t xml:space="preserve">Day by Day</w:t>
      </w:r>
    </w:p>
    <w:p>
      <w:pPr>
        <w:spacing w:after="140" w:line="276"/>
      </w:pPr>
      <w:r>
        <w:rPr>
          <w:rFonts w:ascii="Calibri" w:cs="Calibri" w:eastAsia="Calibri" w:hAnsi="Calibri"/>
          <w:b/>
          <w:bCs/>
          <w:color w:val="252525"/>
          <w:sz w:val="20"/>
          <w:szCs w:val="20"/>
        </w:rPr>
        <w:t xml:space="preserve">Monday 24 Aug: </w:t>
      </w:r>
      <w:r>
        <w:rPr>
          <w:rFonts w:ascii="Calibri" w:cs="Calibri" w:eastAsia="Calibri" w:hAnsi="Calibri"/>
          <w:color w:val="252525"/>
          <w:sz w:val="20"/>
          <w:szCs w:val="20"/>
        </w:rPr>
        <w:t xml:space="preserve">Sensex −171.72 (−0.22%) to 77,369.11; Nifty −32.95 (−0.14%) to 24,219.05. Traders trimmed positions ahead of new US sanctions on Iran.</w:t>
      </w:r>
    </w:p>
    <w:p>
      <w:pPr>
        <w:spacing w:after="140" w:line="276"/>
      </w:pPr>
      <w:r>
        <w:rPr>
          <w:rFonts w:ascii="Calibri" w:cs="Calibri" w:eastAsia="Calibri" w:hAnsi="Calibri"/>
          <w:b/>
          <w:bCs/>
          <w:color w:val="252525"/>
          <w:sz w:val="20"/>
          <w:szCs w:val="20"/>
        </w:rPr>
        <w:t xml:space="preserve">Tuesday 25 Aug: </w:t>
      </w:r>
      <w:r>
        <w:rPr>
          <w:rFonts w:ascii="Calibri" w:cs="Calibri" w:eastAsia="Calibri" w:hAnsi="Calibri"/>
          <w:color w:val="252525"/>
          <w:sz w:val="20"/>
          <w:szCs w:val="20"/>
        </w:rPr>
        <w:t xml:space="preserve">Sensex +286.98 (+0.37%) to 77,656.09; Nifty +115.50 (+0.48%) to 24,334.55. Rebound led by healthcare, pharma and PSU bank stocks (Adani Enterprises, Max Healthcare, Apollo Hospitals among top gainers).</w:t>
      </w:r>
    </w:p>
    <w:p>
      <w:pPr>
        <w:spacing w:after="140" w:line="276"/>
      </w:pPr>
      <w:r>
        <w:rPr>
          <w:rFonts w:ascii="Calibri" w:cs="Calibri" w:eastAsia="Calibri" w:hAnsi="Calibri"/>
          <w:b/>
          <w:bCs/>
          <w:color w:val="252525"/>
          <w:sz w:val="20"/>
          <w:szCs w:val="20"/>
        </w:rPr>
        <w:t xml:space="preserve">Wednesday 26 Aug: </w:t>
      </w:r>
      <w:r>
        <w:rPr>
          <w:rFonts w:ascii="Calibri" w:cs="Calibri" w:eastAsia="Calibri" w:hAnsi="Calibri"/>
          <w:color w:val="252525"/>
          <w:sz w:val="20"/>
          <w:szCs w:val="20"/>
        </w:rPr>
        <w:t xml:space="preserve">Sensex −183.15 (−0.24%) to 77,472.94; Nifty −126.80 (−0.52%) to 24,207.75. IT, FMCG and auto stocks weighed as traders awaited Nvidia earnings and US inflation data.</w:t>
      </w:r>
    </w:p>
    <w:p>
      <w:pPr>
        <w:spacing w:after="140" w:line="276"/>
      </w:pPr>
      <w:r>
        <w:rPr>
          <w:rFonts w:ascii="Calibri" w:cs="Calibri" w:eastAsia="Calibri" w:hAnsi="Calibri"/>
          <w:b/>
          <w:bCs/>
          <w:color w:val="252525"/>
          <w:sz w:val="20"/>
          <w:szCs w:val="20"/>
        </w:rPr>
        <w:t xml:space="preserve">Thursday 27 Aug: </w:t>
      </w:r>
      <w:r>
        <w:rPr>
          <w:rFonts w:ascii="Calibri" w:cs="Calibri" w:eastAsia="Calibri" w:hAnsi="Calibri"/>
          <w:color w:val="252525"/>
          <w:sz w:val="20"/>
          <w:szCs w:val="20"/>
        </w:rPr>
        <w:t xml:space="preserve">Sensex −539.35 (−0.7%) to 76,933.59; Nifty −116.90 (−0.48%) to 24,090.85. Metal, PSU bank and cement stocks weighed; caution ahead of the Fed's Jackson Hole address. Same session saw the widest NSE–BSE closing-price divergence in decades (see below).</w:t>
      </w:r>
    </w:p>
    <w:p>
      <w:pPr>
        <w:spacing w:after="140" w:line="276"/>
      </w:pPr>
      <w:r>
        <w:rPr>
          <w:rFonts w:ascii="Calibri" w:cs="Calibri" w:eastAsia="Calibri" w:hAnsi="Calibri"/>
          <w:b/>
          <w:bCs/>
          <w:color w:val="252525"/>
          <w:sz w:val="20"/>
          <w:szCs w:val="20"/>
        </w:rPr>
        <w:t xml:space="preserve">Friday 28 Aug: </w:t>
      </w:r>
      <w:r>
        <w:rPr>
          <w:rFonts w:ascii="Calibri" w:cs="Calibri" w:eastAsia="Calibri" w:hAnsi="Calibri"/>
          <w:color w:val="252525"/>
          <w:sz w:val="20"/>
          <w:szCs w:val="20"/>
        </w:rPr>
        <w:t xml:space="preserve">Sensex +331 (+0.43%) to 77,264.51; Nifty +0.35% to 24,175.65. IT led the rebound (TCS +4.1%, Infosys +3.3%, Tech Mahindra +3.2%, HCL Tech +2.7%); Titan, Eternal, HDFC Bank, Axis Bank and Sun Pharma also gained over 1%. Laggards: ICICI Bank (−1.3%), UltraTech Cement (−1.2%), Asian Paints (−1.1%).</w:t>
      </w:r>
    </w:p>
    <w:p>
      <w:pPr>
        <w:pStyle w:val="Heading2"/>
        <w:keepNext/>
        <w:spacing w:after="120" w:before="240"/>
      </w:pPr>
      <w:r>
        <w:rPr>
          <w:rFonts w:ascii="Calibri" w:cs="Calibri" w:eastAsia="Calibri" w:hAnsi="Calibri"/>
          <w:b/>
          <w:bCs/>
          <w:color w:val="123C32"/>
          <w:sz w:val="20"/>
          <w:szCs w:val="20"/>
        </w:rPr>
        <w:t xml:space="preserve">Key Themes</w:t>
      </w:r>
    </w:p>
    <w:p>
      <w:pPr>
        <w:spacing w:after="140" w:line="276"/>
      </w:pPr>
      <w:r>
        <w:rPr>
          <w:rFonts w:ascii="Calibri" w:cs="Calibri" w:eastAsia="Calibri" w:hAnsi="Calibri"/>
          <w:b/>
          <w:bCs/>
          <w:color w:val="252525"/>
          <w:sz w:val="20"/>
          <w:szCs w:val="20"/>
        </w:rPr>
        <w:t xml:space="preserve">NSE/BSE Closing Auction Session (CAS) confusion: </w:t>
      </w:r>
      <w:r>
        <w:rPr>
          <w:rFonts w:ascii="Calibri" w:cs="Calibri" w:eastAsia="Calibri" w:hAnsi="Calibri"/>
          <w:color w:val="252525"/>
          <w:sz w:val="20"/>
          <w:szCs w:val="20"/>
        </w:rPr>
        <w:t xml:space="preserve">SEBI's new auction-based closing-price mechanism (live since 3 August 2026 for F&amp;O stocks) produced repeated volatility and NSE–BSE price divergence through the week. On Thursday's session, IndusInd Bank closed at ₹1,002.9 on NSE versus ₹970 on BSE — a roughly ₹33 gap, the widest in over 20 years; AU Small Finance Bank, IDFC First Bank and Federal Bank also showed large discrepancies. SEBI has said it sees no design flaws and isn't planning immediate changes. This is directly relevant to BSE Ltd, given its own volatile derivatives-expiry debut on the new system the same week (see Section 2).</w:t>
      </w:r>
    </w:p>
    <w:p>
      <w:pPr>
        <w:spacing w:after="140" w:line="276"/>
      </w:pPr>
      <w:r>
        <w:rPr>
          <w:rFonts w:ascii="Calibri" w:cs="Calibri" w:eastAsia="Calibri" w:hAnsi="Calibri"/>
          <w:b/>
          <w:bCs/>
          <w:color w:val="252525"/>
          <w:sz w:val="20"/>
          <w:szCs w:val="20"/>
        </w:rPr>
        <w:t xml:space="preserve">US–Iran sanctions escalation: </w:t>
      </w:r>
      <w:r>
        <w:rPr>
          <w:rFonts w:ascii="Calibri" w:cs="Calibri" w:eastAsia="Calibri" w:hAnsi="Calibri"/>
          <w:color w:val="252525"/>
          <w:sz w:val="20"/>
          <w:szCs w:val="20"/>
        </w:rPr>
        <w:t xml:space="preserve">US Treasury Secretary Scott Bessent's “economic D-Day” sanctions push against Iran (announced 24 Aug), with Iran threatening to seize vessels transiting the Strait of Hormuz, kept crude-oil-linked caution in the market through the week.</w:t>
      </w:r>
    </w:p>
    <w:p>
      <w:pPr>
        <w:spacing w:after="140" w:line="276"/>
      </w:pPr>
      <w:r>
        <w:rPr>
          <w:rFonts w:ascii="Calibri" w:cs="Calibri" w:eastAsia="Calibri" w:hAnsi="Calibri"/>
          <w:b/>
          <w:bCs/>
          <w:color w:val="252525"/>
          <w:sz w:val="20"/>
          <w:szCs w:val="20"/>
        </w:rPr>
        <w:t xml:space="preserve">Fed Chair Kevin Warsh's first Jackson Hole keynote (Fri 28 Aug): </w:t>
      </w:r>
      <w:r>
        <w:rPr>
          <w:rFonts w:ascii="Calibri" w:cs="Calibri" w:eastAsia="Calibri" w:hAnsi="Calibri"/>
          <w:color w:val="252525"/>
          <w:sz w:val="20"/>
          <w:szCs w:val="20"/>
        </w:rPr>
        <w:t xml:space="preserve">read as mildly hawkish — flagged inflation as still too high, said the Fed “has more work to do,” and market-implied odds of a September rate hike rose from 35% to 57% on the speech.</w:t>
      </w:r>
    </w:p>
    <w:p>
      <w:pPr>
        <w:spacing w:after="140" w:line="276"/>
      </w:pPr>
      <w:r>
        <w:rPr>
          <w:rFonts w:ascii="Calibri" w:cs="Calibri" w:eastAsia="Calibri" w:hAnsi="Calibri"/>
          <w:b/>
          <w:bCs/>
          <w:color w:val="252525"/>
          <w:sz w:val="20"/>
          <w:szCs w:val="20"/>
        </w:rPr>
        <w:t xml:space="preserve">FII/DII split: </w:t>
      </w:r>
      <w:r>
        <w:rPr>
          <w:rFonts w:ascii="Calibri" w:cs="Calibri" w:eastAsia="Calibri" w:hAnsi="Calibri"/>
          <w:color w:val="252525"/>
          <w:sz w:val="20"/>
          <w:szCs w:val="20"/>
        </w:rPr>
        <w:t xml:space="preserve">FIIs were net sellers all week (e.g. −₹5,040 cr cash on 28 Aug, −₹298 cr on 27 Aug) with a large net-short index-futures position; DIIs were consistent net buyers throughout (+₹5,184 cr on 28 Aug, +₹4,977 cr on 27 Aug, +₹5,101 cr on Monday), providing offsetting support.</w:t>
      </w:r>
    </w:p>
    <w:p>
      <w:pPr>
        <w:pStyle w:val="Heading1"/>
        <w:keepNext/>
        <w:spacing w:after="40" w:before="480"/>
      </w:pPr>
      <w:r>
        <w:rPr>
          <w:rFonts w:ascii="Calibri" w:cs="Calibri" w:eastAsia="Calibri" w:hAnsi="Calibri"/>
          <w:b/>
          <w:bCs/>
          <w:color w:val="C8A96B"/>
          <w:sz w:val="22"/>
          <w:szCs w:val="22"/>
        </w:rPr>
        <w:t xml:space="preserve">02  </w:t>
      </w:r>
      <w:r>
        <w:rPr>
          <w:rFonts w:ascii="Calibri" w:cs="Calibri" w:eastAsia="Calibri" w:hAnsi="Calibri"/>
          <w:b/>
          <w:bCs/>
          <w:color w:val="123C32"/>
          <w:spacing w:val="12"/>
          <w:sz w:val="22"/>
          <w:szCs w:val="22"/>
        </w:rPr>
        <w:t xml:space="preserve">WATCHLIST — WEEKLY WRAP</w:t>
      </w:r>
    </w:p>
    <w:p>
      <w:pPr>
        <w:keepNext/>
        <w:pBdr>
          <w:bottom w:val="single" w:color="C8A96B" w:sz="6" w:space="1"/>
        </w:pBdr>
        <w:spacing w:after="200" w:before="60"/>
      </w:pPr>
    </w:p>
    <w:p>
      <w:pPr>
        <w:spacing w:after="100" w:line="260"/>
      </w:pPr>
      <w:r>
        <w:rPr>
          <w:rFonts w:ascii="Calibri" w:cs="Calibri" w:eastAsia="Calibri" w:hAnsi="Calibri"/>
          <w:i/>
          <w:iCs/>
          <w:color w:val="6B6B63"/>
          <w:sz w:val="17"/>
          <w:szCs w:val="17"/>
        </w:rPr>
        <w:t xml:space="preserve">Prices and % change below are the latest settled close from the watchlist's live feed (Friday 28 August 2026 session), read fresh today. This is a weekly wrap, not new weekend price action — Indian equity markets do not trade on weekends.</w:t>
      </w:r>
    </w:p>
    <w:tbl>
      <w:tblPr>
        <w:tblW w:type="dxa" w:w="10000"/>
        <w:tblBorders>
          <w:top w:val="single" w:color="D9D2C2" w:sz="4"/>
          <w:left w:val="none"/>
          <w:bottom w:val="single" w:color="D9D2C2" w:sz="4"/>
          <w:right w:val="none"/>
          <w:insideH w:val="single" w:color="E7E1D2" w:sz="2"/>
          <w:insideV w:val="none"/>
        </w:tblBorders>
      </w:tblPr>
      <w:tblGrid>
        <w:gridCol w:w="3600"/>
        <w:gridCol w:w="1700"/>
        <w:gridCol w:w="1500"/>
        <w:gridCol w:w="1500"/>
        <w:gridCol w:w="1700"/>
      </w:tblGrid>
      <w:tr>
        <w:trPr>
          <w:tblHeader/>
        </w:trPr>
        <w:tc>
          <w:tcPr>
            <w:tcW w:type="dxa" w:w="3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Name</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Ticker</w:t>
            </w:r>
          </w:p>
        </w:tc>
        <w:tc>
          <w:tcPr>
            <w:tcW w:type="dxa" w:w="15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Close</w:t>
            </w:r>
          </w:p>
        </w:tc>
        <w:tc>
          <w:tcPr>
            <w:tcW w:type="dxa" w:w="15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Change %</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Signal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Jio Financial Services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JIOFIN</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238.00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−0.04%</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Hindustan Copper</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HINDCOPPER</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532.95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−0.62%</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C2C Advanced Systems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C2C</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1,067.00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−3.17%</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Bearish</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SUZLON</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46.80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−0.02%</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Black Box</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BBOX</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160.02</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+1.34%</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Aeroflex Industries</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AEROFLEX</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541.75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+3.76%</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Bullish</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Sandur Manganese &amp; Iron Ores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SANDUMA</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205.02</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−0.93%</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Tirupati Forge</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TIRUPATIFL</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70.00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+2.76%</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Wockhardt</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WOCKPHARMA</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1,975.00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+0.66%</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Bullish</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PNGS Reva Diamond Jewellery</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PNGSREVA</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544.35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+0.27%</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Bluspring Enterprises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BLUSPRING</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128.00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−2.71%</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Powergrid Infrastructure InvIT</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543290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100.05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+0.37%</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K.P. Energy</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539686</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249.00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+1.53%</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BSE Ltd</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BSE</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3,406.50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+2.36%</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Bullish</w:t>
            </w:r>
          </w:p>
        </w:tc>
      </w:tr>
    </w:tbl>
    <w:p>
      <w:pPr>
        <w:pStyle w:val="Heading2"/>
        <w:keepNext/>
        <w:spacing w:after="120" w:before="240"/>
      </w:pPr>
      <w:r>
        <w:rPr>
          <w:rFonts w:ascii="Calibri" w:cs="Calibri" w:eastAsia="Calibri" w:hAnsi="Calibri"/>
          <w:b/>
          <w:bCs/>
          <w:color w:val="123C32"/>
          <w:sz w:val="20"/>
          <w:szCs w:val="20"/>
        </w:rPr>
        <w:t xml:space="preserve">BSE Ltd — the name to watch into next week</w:t>
      </w:r>
    </w:p>
    <w:p>
      <w:pPr>
        <w:spacing w:after="140" w:line="276"/>
      </w:pPr>
      <w:r>
        <w:rPr>
          <w:rFonts w:ascii="Calibri" w:cs="Calibri" w:eastAsia="Calibri" w:hAnsi="Calibri"/>
          <w:b w:val="false"/>
          <w:bCs w:val="false"/>
          <w:i w:val="false"/>
          <w:iCs w:val="false"/>
          <w:color w:val="252525"/>
          <w:sz w:val="20"/>
          <w:szCs w:val="20"/>
        </w:rPr>
        <w:t xml:space="preserve">BSE Ltd closed the week +2.36% and Bullish-signaled, notably strong against a weak broader tape. This followed the volatile derivatives-expiry debut of its new Closing Auction System on Thursday 27 Aug, and comes as the CAS mechanism drew wider scrutiny this week over the NSE–BSE price-divergence story detailed in Section 1 — a Bloomberg piece specifically examining that divergence published Saturday 29 Aug 2026, the one item that surfaced in this weekend's news window. Worth watching how regulatory commentary on CAS develops into next week, given the direct relevance to BSE's own market-infrastructure narrative.</w:t>
      </w:r>
    </w:p>
    <w:p>
      <w:pPr>
        <w:spacing w:after="140" w:line="276"/>
      </w:pPr>
      <w:r>
        <w:rPr>
          <w:rFonts w:ascii="Calibri" w:cs="Calibri" w:eastAsia="Calibri" w:hAnsi="Calibri"/>
          <w:b w:val="false"/>
          <w:bCs w:val="false"/>
          <w:i w:val="false"/>
          <w:iCs w:val="false"/>
          <w:color w:val="252525"/>
          <w:sz w:val="20"/>
          <w:szCs w:val="20"/>
        </w:rPr>
        <w:t xml:space="preserve">For the rest of the watchlist, no fresh Friday-evening or weekend-specific company announcements were found — Jio Financial Services, Hindustan Copper, C2C Advanced Systems, Suzlon Energy, Black Box, Aeroflex Industries, Sandur Manganese &amp; Iron Ores, Tirupati Forge, Wockhardt, PNGS Reva Diamond Jewellery, Bluspring Enterprises, Powergrid Infrastructure InvIT and K.P. Energy all had their most recent material news dated within the regular trading week (through Friday 28 Aug) or earlier — see last Friday's Market Pulse for that detail. Bluspring's 2nd AGM remains scheduled for Monday 31 Aug, with e-voting open 27–30 Aug — a standing calendar item, not new weekend news.</w:t>
      </w:r>
    </w:p>
    <w:p>
      <w:pPr>
        <w:pStyle w:val="Heading1"/>
        <w:keepNext/>
        <w:spacing w:after="40" w:before="480"/>
      </w:pPr>
      <w:r>
        <w:rPr>
          <w:rFonts w:ascii="Calibri" w:cs="Calibri" w:eastAsia="Calibri" w:hAnsi="Calibri"/>
          <w:b/>
          <w:bCs/>
          <w:color w:val="C8A96B"/>
          <w:sz w:val="22"/>
          <w:szCs w:val="22"/>
        </w:rPr>
        <w:t xml:space="preserve">03  </w:t>
      </w:r>
      <w:r>
        <w:rPr>
          <w:rFonts w:ascii="Calibri" w:cs="Calibri" w:eastAsia="Calibri" w:hAnsi="Calibri"/>
          <w:b/>
          <w:bCs/>
          <w:color w:val="123C32"/>
          <w:spacing w:val="12"/>
          <w:sz w:val="22"/>
          <w:szCs w:val="22"/>
        </w:rPr>
        <w:t xml:space="preserve">WEEKEND NEWS &amp; GLOBAL CUES</w:t>
      </w:r>
    </w:p>
    <w:p>
      <w:pPr>
        <w:keepNext/>
        <w:pBdr>
          <w:bottom w:val="single" w:color="C8A96B" w:sz="6" w:space="1"/>
        </w:pBdr>
        <w:spacing w:after="200" w:before="60"/>
      </w:pPr>
    </w:p>
    <w:p>
      <w:pPr>
        <w:pStyle w:val="Heading2"/>
        <w:keepNext/>
        <w:spacing w:after="120" w:before="240"/>
      </w:pPr>
      <w:r>
        <w:rPr>
          <w:rFonts w:ascii="Calibri" w:cs="Calibri" w:eastAsia="Calibri" w:hAnsi="Calibri"/>
          <w:b/>
          <w:bCs/>
          <w:color w:val="123C32"/>
          <w:sz w:val="20"/>
          <w:szCs w:val="20"/>
        </w:rPr>
        <w:t xml:space="preserve">Global Markets</w:t>
      </w:r>
    </w:p>
    <w:p>
      <w:pPr>
        <w:spacing w:after="140" w:line="276"/>
      </w:pPr>
      <w:r>
        <w:rPr>
          <w:rFonts w:ascii="Calibri" w:cs="Calibri" w:eastAsia="Calibri" w:hAnsi="Calibri"/>
          <w:b/>
          <w:bCs/>
          <w:color w:val="252525"/>
          <w:sz w:val="20"/>
          <w:szCs w:val="20"/>
        </w:rPr>
        <w:t xml:space="preserve">US equities (Fri 28 Aug close): </w:t>
      </w:r>
      <w:r>
        <w:rPr>
          <w:rFonts w:ascii="Calibri" w:cs="Calibri" w:eastAsia="Calibri" w:hAnsi="Calibri"/>
          <w:color w:val="252525"/>
          <w:sz w:val="20"/>
          <w:szCs w:val="20"/>
        </w:rPr>
        <w:t xml:space="preserve">Dow ended roughly flat; S&amp;P 500 −0.3%; Nasdaq −0.5% — all three still closed the week higher, reacting to Warsh's Jackson Hole speech and the jump in September rate-hike odds.</w:t>
      </w:r>
    </w:p>
    <w:p>
      <w:pPr>
        <w:spacing w:after="140" w:line="276"/>
      </w:pPr>
      <w:r>
        <w:rPr>
          <w:rFonts w:ascii="Calibri" w:cs="Calibri" w:eastAsia="Calibri" w:hAnsi="Calibri"/>
          <w:b/>
          <w:bCs/>
          <w:color w:val="252525"/>
          <w:sz w:val="20"/>
          <w:szCs w:val="20"/>
        </w:rPr>
        <w:t xml:space="preserve">Crude oil: </w:t>
      </w:r>
      <w:r>
        <w:rPr>
          <w:rFonts w:ascii="Calibri" w:cs="Calibri" w:eastAsia="Calibri" w:hAnsi="Calibri"/>
          <w:color w:val="252525"/>
          <w:sz w:val="20"/>
          <w:szCs w:val="20"/>
        </w:rPr>
        <w:t xml:space="preserve">Brent settled around $88–89/bbl on Friday (Trading Economics: $88.29, −0.26% on the day), extending a weekly decline of over 5% as markets increasingly read the US–Iran standoff as a sanctions/economic conflict rather than an imminent physical-supply threat. One source cited a higher ~$93/bbl Asian-session figure in a different context — the $88–89 Friday-close figures are the better-corroborated data point.</w:t>
      </w:r>
    </w:p>
    <w:p>
      <w:pPr>
        <w:spacing w:after="140" w:line="276"/>
      </w:pPr>
      <w:r>
        <w:rPr>
          <w:rFonts w:ascii="Calibri" w:cs="Calibri" w:eastAsia="Calibri" w:hAnsi="Calibri"/>
          <w:b/>
          <w:bCs/>
          <w:color w:val="252525"/>
          <w:sz w:val="20"/>
          <w:szCs w:val="20"/>
        </w:rPr>
        <w:t xml:space="preserve">Gold: </w:t>
      </w:r>
      <w:r>
        <w:rPr>
          <w:rFonts w:ascii="Calibri" w:cs="Calibri" w:eastAsia="Calibri" w:hAnsi="Calibri"/>
          <w:color w:val="252525"/>
          <w:sz w:val="20"/>
          <w:szCs w:val="20"/>
        </w:rPr>
        <w:t xml:space="preserve">traded in a ~$4,494–4,608/oz range Friday (volatile intraday, down over 2% from the day's high); no trading over the weekend, with Monday 31 Aug expected range cited as $4,577–$4,698.</w:t>
      </w:r>
    </w:p>
    <w:p>
      <w:pPr>
        <w:spacing w:after="140" w:line="276"/>
      </w:pPr>
      <w:r>
        <w:rPr>
          <w:rFonts w:ascii="Calibri" w:cs="Calibri" w:eastAsia="Calibri" w:hAnsi="Calibri"/>
          <w:b/>
          <w:bCs/>
          <w:color w:val="252525"/>
          <w:sz w:val="20"/>
          <w:szCs w:val="20"/>
        </w:rPr>
        <w:t xml:space="preserve">Geopolitics: </w:t>
      </w:r>
      <w:r>
        <w:rPr>
          <w:rFonts w:ascii="Calibri" w:cs="Calibri" w:eastAsia="Calibri" w:hAnsi="Calibri"/>
          <w:color w:val="252525"/>
          <w:sz w:val="20"/>
          <w:szCs w:val="20"/>
        </w:rPr>
        <w:t xml:space="preserve">US–Iran tensions remain the dominant overhang — Bessent's sanctions campaign targeting Iran's digital-asset, tech, gold, aviation and shipping sectors, with Iran threatening to seize vessels transiting the Strait of Hormuz. No new escalation specifically reported in the 28–29 Aug weekend window beyond the ongoing situation.</w:t>
      </w:r>
    </w:p>
    <w:p>
      <w:pPr>
        <w:spacing w:after="140" w:line="276"/>
      </w:pPr>
      <w:r>
        <w:rPr>
          <w:rFonts w:ascii="Calibri" w:cs="Calibri" w:eastAsia="Calibri" w:hAnsi="Calibri"/>
          <w:b/>
          <w:bCs/>
          <w:color w:val="252525"/>
          <w:sz w:val="20"/>
          <w:szCs w:val="20"/>
        </w:rPr>
        <w:t xml:space="preserve">Asia-Pacific: </w:t>
      </w:r>
      <w:r>
        <w:rPr>
          <w:rFonts w:ascii="Calibri" w:cs="Calibri" w:eastAsia="Calibri" w:hAnsi="Calibri"/>
          <w:color w:val="252525"/>
          <w:sz w:val="20"/>
          <w:szCs w:val="20"/>
        </w:rPr>
        <w:t xml:space="preserve">Nikkei, Kospi, Shanghai and Hang Seng traded mixed-to-lower through the prior week — a cautious regional backdrop heading into the new week. Specific Monday 31 Aug futures levels were not available at research time.</w:t>
      </w:r>
    </w:p>
    <w:p>
      <w:pPr>
        <w:pStyle w:val="Heading2"/>
        <w:keepNext/>
        <w:spacing w:after="120" w:before="240"/>
      </w:pPr>
      <w:r>
        <w:rPr>
          <w:rFonts w:ascii="Calibri" w:cs="Calibri" w:eastAsia="Calibri" w:hAnsi="Calibri"/>
          <w:b/>
          <w:bCs/>
          <w:color w:val="123C32"/>
          <w:sz w:val="20"/>
          <w:szCs w:val="20"/>
        </w:rPr>
        <w:t xml:space="preserve">Weekend-Specific News (Friday evening 28 Aug – Saturday 29 Aug)</w:t>
      </w:r>
    </w:p>
    <w:p>
      <w:pPr>
        <w:spacing w:after="140" w:line="276"/>
      </w:pPr>
      <w:r>
        <w:rPr>
          <w:rFonts w:ascii="Calibri" w:cs="Calibri" w:eastAsia="Calibri" w:hAnsi="Calibri"/>
          <w:b w:val="false"/>
          <w:bCs w:val="false"/>
          <w:i w:val="false"/>
          <w:iCs w:val="false"/>
          <w:color w:val="252525"/>
          <w:sz w:val="20"/>
          <w:szCs w:val="20"/>
        </w:rPr>
        <w:t xml:space="preserve">Beyond the BSE/CAS story noted in Section 2, no fresh weekend-specific company announcements or sector/regulatory news were found for the watchlist or its sectors (NBFC/Financial Services, Metals &amp; Mining, IT, Renewable Energy/Power, Industrial/Defence, Pharma, Jewellery Retail) in the Friday-evening-through-Saturday window.</w:t>
      </w:r>
    </w:p>
    <w:p>
      <w:pPr>
        <w:spacing w:after="100" w:line="260"/>
      </w:pPr>
      <w:r>
        <w:rPr>
          <w:rFonts w:ascii="Calibri" w:cs="Calibri" w:eastAsia="Calibri" w:hAnsi="Calibri"/>
          <w:i/>
          <w:iCs/>
          <w:color w:val="6B6B63"/>
          <w:sz w:val="17"/>
          <w:szCs w:val="17"/>
        </w:rPr>
        <w:t xml:space="preserve">Several primary sources (5paisa, Bloomberg, Business Standard, Business Recorder, exchange filing pages) were blocked by this session's network egress policy for direct fetch; figures above are corroborated across independent web search results from multiple outlets reporting the same numbers, but a direct-source re-check is advisable if that access becomes available. Weekend company filings that sometimes post Friday evening could not be exhaustively verified beyond what surfaced in indexed news coverage.</w:t>
      </w:r>
    </w:p>
    <w:p>
      <w:pPr>
        <w:pStyle w:val="Heading1"/>
        <w:keepNext/>
        <w:spacing w:after="40" w:before="480"/>
      </w:pPr>
      <w:r>
        <w:rPr>
          <w:rFonts w:ascii="Calibri" w:cs="Calibri" w:eastAsia="Calibri" w:hAnsi="Calibri"/>
          <w:b/>
          <w:bCs/>
          <w:color w:val="C8A96B"/>
          <w:sz w:val="22"/>
          <w:szCs w:val="22"/>
        </w:rPr>
        <w:t xml:space="preserve">04  </w:t>
      </w:r>
      <w:r>
        <w:rPr>
          <w:rFonts w:ascii="Calibri" w:cs="Calibri" w:eastAsia="Calibri" w:hAnsi="Calibri"/>
          <w:b/>
          <w:bCs/>
          <w:color w:val="123C32"/>
          <w:spacing w:val="12"/>
          <w:sz w:val="22"/>
          <w:szCs w:val="22"/>
        </w:rPr>
        <w:t xml:space="preserve">WHAT'S ON THE CALENDAR — WEEK OF 31 AUG – 4 SEP</w:t>
      </w:r>
    </w:p>
    <w:p>
      <w:pPr>
        <w:keepNext/>
        <w:pBdr>
          <w:bottom w:val="single" w:color="C8A96B" w:sz="6" w:space="1"/>
        </w:pBdr>
        <w:spacing w:after="200" w:before="60"/>
      </w:pPr>
    </w:p>
    <w:tbl>
      <w:tblPr>
        <w:tblW w:type="dxa" w:w="8500"/>
        <w:tblBorders>
          <w:top w:val="single" w:color="D9D2C2" w:sz="4"/>
          <w:left w:val="none"/>
          <w:bottom w:val="single" w:color="D9D2C2" w:sz="4"/>
          <w:right w:val="none"/>
          <w:insideH w:val="single" w:color="E7E1D2" w:sz="2"/>
          <w:insideV w:val="none"/>
        </w:tblBorders>
      </w:tblPr>
      <w:tblGrid>
        <w:gridCol w:w="2900"/>
        <w:gridCol w:w="4200"/>
        <w:gridCol w:w="1400"/>
      </w:tblGrid>
      <w:tr>
        <w:trPr>
          <w:tblHeader/>
        </w:trPr>
        <w:tc>
          <w:tcPr>
            <w:tcW w:type="dxa" w:w="29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Item</w:t>
            </w:r>
          </w:p>
        </w:tc>
        <w:tc>
          <w:tcPr>
            <w:tcW w:type="dxa" w:w="42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Detail</w:t>
            </w:r>
          </w:p>
        </w:tc>
        <w:tc>
          <w:tcPr>
            <w:tcW w:type="dxa" w:w="14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Date</w:t>
            </w:r>
          </w:p>
        </w:tc>
      </w:tr>
      <w:tr>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India Q1 FY27 GDP (NSO)</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Consensus expects growth eased to a 4-quarter low of roughly 7–7.2%, from 7.8% in Q4 FY26, on delayed monsoon and softer services growth</w:t>
            </w:r>
          </w:p>
        </w:tc>
        <w:tc>
          <w:tcPr>
            <w:tcW w:type="dxa" w:w="1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 Aug 2026</w:t>
            </w:r>
          </w:p>
        </w:tc>
      </w:tr>
      <w:tr>
        <w:tc>
          <w:tcPr>
            <w:tcW w:type="dxa" w:w="29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India fiscal deficit &amp; core-sector output (Jul 2026)</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Typically released alongside GDP data; exact figures not yet published at research time</w:t>
            </w:r>
          </w:p>
        </w:tc>
        <w:tc>
          <w:tcPr>
            <w:tcW w:type="dxa" w:w="1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 Aug 2026</w:t>
            </w:r>
          </w:p>
        </w:tc>
      </w:tr>
      <w:tr>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India Manufacturing PMI (final, Aug)</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Per the regular S&amp;P Global/HSBC release schedule</w:t>
            </w:r>
          </w:p>
        </w:tc>
        <w:tc>
          <w:tcPr>
            <w:tcW w:type="dxa" w:w="1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 Sep 2026</w:t>
            </w:r>
          </w:p>
        </w:tc>
      </w:tr>
      <w:tr>
        <w:tc>
          <w:tcPr>
            <w:tcW w:type="dxa" w:w="29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Auto wholesale/retail sales (Aug)</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Companies typically report monthly dispatch numbers</w:t>
            </w:r>
          </w:p>
        </w:tc>
        <w:tc>
          <w:tcPr>
            <w:tcW w:type="dxa" w:w="1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 Sep 2026</w:t>
            </w:r>
          </w:p>
        </w:tc>
      </w:tr>
      <w:tr>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US ISM Manufacturing PMI</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c>
          <w:tcPr>
            <w:tcW w:type="dxa" w:w="1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~1–2 Sep 2026</w:t>
            </w:r>
          </w:p>
        </w:tc>
      </w:tr>
      <w:tr>
        <w:tc>
          <w:tcPr>
            <w:tcW w:type="dxa" w:w="29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Bluspring Enterprises 2nd AGM</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e-voting window 27–30 Aug</w:t>
            </w:r>
          </w:p>
        </w:tc>
        <w:tc>
          <w:tcPr>
            <w:tcW w:type="dxa" w:w="1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 Aug 2026</w:t>
            </w:r>
          </w:p>
        </w:tc>
      </w:tr>
      <w:tr>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BSE Ltd — Elara India Dialogue 2026</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Investor conference, Mumbai</w:t>
            </w:r>
          </w:p>
        </w:tc>
        <w:tc>
          <w:tcPr>
            <w:tcW w:type="dxa" w:w="1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 Sep 2026</w:t>
            </w:r>
          </w:p>
        </w:tc>
      </w:tr>
      <w:tr>
        <w:tc>
          <w:tcPr>
            <w:tcW w:type="dxa" w:w="29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 — record date for 31st AGM</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c>
          <w:tcPr>
            <w:tcW w:type="dxa" w:w="1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 Sep 2026</w:t>
            </w:r>
          </w:p>
        </w:tc>
      </w:tr>
    </w:tbl>
    <w:p>
      <w:pPr>
        <w:spacing w:after="100" w:line="260"/>
      </w:pPr>
      <w:r>
        <w:rPr>
          <w:rFonts w:ascii="Calibri" w:cs="Calibri" w:eastAsia="Calibri" w:hAnsi="Calibri"/>
          <w:i/>
          <w:iCs/>
          <w:color w:val="6B6B63"/>
          <w:sz w:val="17"/>
          <w:szCs w:val="17"/>
        </w:rPr>
        <w:t xml:space="preserve">Nifty technical context into the week: consolidating around the 24,190–24,200 pivot; a decisive move above ~24,380/24,450 needed to shift bias upward, while 24,000–23,800 is cited as broader support (Bajaj Broking Trade Setup, published for 31 Aug 2026).</w:t>
      </w:r>
    </w:p>
    <w:sectPr>
      <w:headerReference w:type="default" r:id="rId11"/>
      <w:headerReference w:type="first" r:id="rId12"/>
      <w:footerReference w:type="default" r:id="rId13"/>
      <w:footerReference w:type="first" r:id="rId14"/>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4" w:space="6"/>
      </w:pBdr>
      <w:tabs>
        <w:tab w:val="right" w:pos="9540"/>
      </w:tabs>
      <w:spacing w:before="120"/>
    </w:pPr>
    <w:r>
      <w:rPr>
        <w:rFonts w:ascii="Calibri" w:cs="Calibri" w:eastAsia="Calibri" w:hAnsi="Calibri"/>
        <w:color w:val="6B6B63"/>
        <w:sz w:val="15"/>
        <w:szCs w:val="15"/>
      </w:rPr>
      <w:t xml:space="preserve">Internal — Confidential</w:t>
    </w:r>
    <w:r>
      <w:rPr>
        <w:rFonts w:ascii="Calibri" w:cs="Calibri" w:eastAsia="Calibri" w:hAnsi="Calibri"/>
        <w:sz w:val="15"/>
        <w:szCs w:val="15"/>
      </w:rPr>
      <w:t xml:space="preserve">	</w:t>
    </w:r>
    <w:r>
      <w:rPr>
        <w:rFonts w:ascii="Calibri" w:cs="Calibri" w:eastAsia="Calibri" w:hAnsi="Calibri"/>
        <w:color w:val="6B6B63"/>
        <w:sz w:val="15"/>
        <w:szCs w:val="15"/>
      </w:rPr>
      <w:t xml:space="preserve">Page </w:t>
    </w:r>
    <w:r>
      <w:rPr>
        <w:rFonts w:ascii="Calibri" w:cs="Calibri" w:eastAsia="Calibri" w:hAnsi="Calibri"/>
        <w:color w:val="6B6B63"/>
        <w:sz w:val="15"/>
        <w:szCs w:val="15"/>
      </w:rPr>
      <w:fldChar w:fldCharType="begin"/>
      <w:instrText xml:space="preserve">PAGE</w:instrText>
      <w:fldChar w:fldCharType="separate"/>
      <w:fldChar w:fldCharType="end"/>
    </w:r>
    <w:r>
      <w:rPr>
        <w:rFonts w:ascii="Calibri" w:cs="Calibri" w:eastAsia="Calibri" w:hAnsi="Calibri"/>
        <w:color w:val="6B6B63"/>
        <w:sz w:val="15"/>
        <w:szCs w:val="15"/>
      </w:rPr>
      <w:t xml:space="preserve"> of </w:t>
    </w:r>
    <w:r>
      <w:rPr>
        <w:rFonts w:ascii="Calibri" w:cs="Calibri" w:eastAsia="Calibri" w:hAnsi="Calibri"/>
        <w:color w:val="6B6B63"/>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4" w:space="6"/>
      </w:pBdr>
      <w:tabs>
        <w:tab w:val="right" w:pos="9540"/>
      </w:tabs>
      <w:spacing w:before="120"/>
    </w:pPr>
    <w:r>
      <w:rPr>
        <w:rFonts w:ascii="Calibri" w:cs="Calibri" w:eastAsia="Calibri" w:hAnsi="Calibri"/>
        <w:color w:val="6B6B63"/>
        <w:sz w:val="15"/>
        <w:szCs w:val="15"/>
      </w:rPr>
      <w:t xml:space="preserve">Internal — Confidential</w:t>
    </w:r>
    <w:r>
      <w:rPr>
        <w:rFonts w:ascii="Calibri" w:cs="Calibri" w:eastAsia="Calibri" w:hAnsi="Calibri"/>
        <w:sz w:val="15"/>
        <w:szCs w:val="15"/>
      </w:rPr>
      <w:t xml:space="preserve">	</w:t>
    </w:r>
    <w:r>
      <w:rPr>
        <w:rFonts w:ascii="Calibri" w:cs="Calibri" w:eastAsia="Calibri" w:hAnsi="Calibri"/>
        <w:color w:val="6B6B63"/>
        <w:sz w:val="15"/>
        <w:szCs w:val="15"/>
      </w:rPr>
      <w:t xml:space="preserve">Page </w:t>
    </w:r>
    <w:r>
      <w:rPr>
        <w:rFonts w:ascii="Calibri" w:cs="Calibri" w:eastAsia="Calibri" w:hAnsi="Calibri"/>
        <w:color w:val="6B6B63"/>
        <w:sz w:val="15"/>
        <w:szCs w:val="15"/>
      </w:rPr>
      <w:fldChar w:fldCharType="begin"/>
      <w:instrText xml:space="preserve">PAGE</w:instrText>
      <w:fldChar w:fldCharType="separate"/>
      <w:fldChar w:fldCharType="end"/>
    </w:r>
    <w:r>
      <w:rPr>
        <w:rFonts w:ascii="Calibri" w:cs="Calibri" w:eastAsia="Calibri" w:hAnsi="Calibri"/>
        <w:color w:val="6B6B63"/>
        <w:sz w:val="15"/>
        <w:szCs w:val="15"/>
      </w:rPr>
      <w:t xml:space="preserve"> of </w:t>
    </w:r>
    <w:r>
      <w:rPr>
        <w:rFonts w:ascii="Calibri" w:cs="Calibri" w:eastAsia="Calibri" w:hAnsi="Calibri"/>
        <w:color w:val="6B6B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B" w:sz="4" w:space="8"/>
      </w:pBdr>
      <w:spacing w:after="120"/>
      <w:jc w:val="right"/>
    </w:pPr>
    <w:r>
      <w:rPr>
        <w:rFonts w:ascii="Calibri" w:cs="Calibri" w:eastAsia="Calibri" w:hAnsi="Calibri"/>
        <w:b/>
        <w:bCs/>
        <w:color w:val="123C32"/>
        <w:spacing w:val="10"/>
        <w:sz w:val="15"/>
        <w:szCs w:val="15"/>
      </w:rPr>
      <w:t xml:space="preserve">WEEKEND ROUNDUP</w:t>
    </w:r>
    <w:r>
      <w:rPr>
        <w:rFonts w:ascii="Calibri" w:cs="Calibri" w:eastAsia="Calibri" w:hAnsi="Calibri"/>
        <w:b/>
        <w:bCs/>
        <w:color w:val="C8A96B"/>
        <w:spacing w:val="10"/>
        <w:sz w:val="15"/>
        <w:szCs w:val="15"/>
      </w:rPr>
      <w:t xml:space="preserve">   ·   29 AUGUST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B" w:sz="4" w:space="8"/>
      </w:pBdr>
      <w:spacing w:after="120"/>
      <w:jc w:val="right"/>
    </w:pPr>
    <w:r>
      <w:rPr>
        <w:rFonts w:ascii="Calibri" w:cs="Calibri" w:eastAsia="Calibri" w:hAnsi="Calibri"/>
        <w:b/>
        <w:bCs/>
        <w:color w:val="123C32"/>
        <w:spacing w:val="10"/>
        <w:sz w:val="15"/>
        <w:szCs w:val="15"/>
      </w:rPr>
      <w:t xml:space="preserve">WEEKEND ROUNDUP</w:t>
    </w:r>
    <w:r>
      <w:rPr>
        <w:rFonts w:ascii="Calibri" w:cs="Calibri" w:eastAsia="Calibri" w:hAnsi="Calibri"/>
        <w:b/>
        <w:bCs/>
        <w:color w:val="C8A96B"/>
        <w:spacing w:val="10"/>
        <w:sz w:val="15"/>
        <w:szCs w:val="15"/>
      </w:rPr>
      <w:t xml:space="preserve">   ·   29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480"/>
    </w:pPr>
    <w:rPr>
      <w:rFonts w:ascii="Calibri" w:cs="Calibri" w:eastAsia="Calibri" w:hAnsi="Calibri"/>
      <w:b/>
      <w:bCs/>
      <w:color w:val="123C32"/>
      <w:sz w:val="22"/>
      <w:szCs w:val="22"/>
    </w:rPr>
  </w:style>
  <w:style w:type="paragraph" w:styleId="Heading2">
    <w:name w:val="Heading 2"/>
    <w:basedOn w:val="Normal"/>
    <w:next w:val="Normal"/>
    <w:qFormat/>
    <w:pPr>
      <w:spacing w:after="120" w:before="240"/>
    </w:pPr>
    <w:rPr>
      <w:rFonts w:ascii="Calibri" w:cs="Calibri" w:eastAsia="Calibri" w:hAnsi="Calibri"/>
      <w:b/>
      <w:bCs/>
      <w:color w:val="123C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2026-08-29T05:21:42.487Z</dcterms:created>
  <dcterms:modified xsi:type="dcterms:W3CDTF">2026-08-29T05:21:42.488Z</dcterms:modified>
</cp:coreProperties>
</file>

<file path=docProps/custom.xml><?xml version="1.0" encoding="utf-8"?>
<Properties xmlns="http://schemas.openxmlformats.org/officeDocument/2006/custom-properties" xmlns:vt="http://schemas.openxmlformats.org/officeDocument/2006/docPropsVTypes"/>
</file>