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20B2" w14:textId="77777777" w:rsidR="003705A8" w:rsidRPr="001A7A82" w:rsidRDefault="003705A8" w:rsidP="003705A8">
      <w:pPr>
        <w:rPr>
          <w:rFonts w:ascii="Arial" w:hAnsi="Arial" w:cs="Arial"/>
          <w:b/>
          <w:sz w:val="28"/>
          <w:szCs w:val="20"/>
          <w:lang w:val="en-US" w:eastAsia="en-US"/>
        </w:rPr>
      </w:pPr>
      <w:bookmarkStart w:id="0" w:name="_Hlk46484759"/>
      <w:r w:rsidRPr="001A7A82">
        <w:rPr>
          <w:rFonts w:ascii="Arial" w:hAnsi="Arial" w:cs="Arial"/>
          <w:b/>
          <w:sz w:val="28"/>
          <w:szCs w:val="20"/>
          <w:lang w:val="en-US" w:eastAsia="en-US"/>
        </w:rPr>
        <w:t>Essay Questions</w:t>
      </w:r>
    </w:p>
    <w:p w14:paraId="62712D18" w14:textId="77777777" w:rsidR="003705A8" w:rsidRDefault="003705A8" w:rsidP="003705A8">
      <w:pPr>
        <w:rPr>
          <w:rFonts w:ascii="Arial" w:hAnsi="Arial" w:cs="Arial"/>
          <w:sz w:val="20"/>
          <w:szCs w:val="20"/>
          <w:lang w:val="en-US" w:eastAsia="en-US"/>
        </w:rPr>
      </w:pPr>
    </w:p>
    <w:p w14:paraId="2ADBE928" w14:textId="77777777" w:rsidR="003705A8" w:rsidRPr="002F655F" w:rsidRDefault="003705A8" w:rsidP="003705A8">
      <w:pPr>
        <w:rPr>
          <w:rFonts w:ascii="Arial" w:hAnsi="Arial" w:cs="Arial"/>
          <w:b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>Essay questions are listed below. There are also further reading lists below for those questions not adequately addressed by the tutorial reading lists.</w:t>
      </w:r>
      <w:r w:rsidRPr="002F655F">
        <w:rPr>
          <w:rFonts w:ascii="Arial" w:hAnsi="Arial" w:cs="Arial"/>
          <w:b/>
          <w:sz w:val="20"/>
          <w:szCs w:val="20"/>
          <w:lang w:val="en-US" w:eastAsia="en-US"/>
        </w:rPr>
        <w:t xml:space="preserve"> Please note: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You may not choose a</w:t>
      </w:r>
      <w:r>
        <w:rPr>
          <w:rFonts w:ascii="Arial" w:hAnsi="Arial" w:cs="Arial"/>
          <w:sz w:val="20"/>
          <w:szCs w:val="20"/>
          <w:lang w:val="en-US" w:eastAsia="en-US"/>
        </w:rPr>
        <w:t>n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Essay Question on the same theme as your Essay Structuring Exercise (</w:t>
      </w:r>
      <w:proofErr w:type="gramStart"/>
      <w:r w:rsidRPr="002F655F">
        <w:rPr>
          <w:rFonts w:ascii="Arial" w:hAnsi="Arial" w:cs="Arial"/>
          <w:sz w:val="20"/>
          <w:szCs w:val="20"/>
          <w:lang w:val="en-US" w:eastAsia="en-US"/>
        </w:rPr>
        <w:t>e.g.</w:t>
      </w:r>
      <w:proofErr w:type="gram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if you wrote your Essay Structuring Exercise on the Aztecs, you may not write your Major Essay on the Aztecs also).</w:t>
      </w:r>
    </w:p>
    <w:p w14:paraId="518C6B89" w14:textId="77777777" w:rsidR="003705A8" w:rsidRPr="002F655F" w:rsidRDefault="003705A8" w:rsidP="003705A8">
      <w:pPr>
        <w:rPr>
          <w:rFonts w:ascii="Arial" w:hAnsi="Arial" w:cs="Arial"/>
          <w:b/>
          <w:sz w:val="20"/>
          <w:szCs w:val="20"/>
          <w:lang w:val="en-US" w:eastAsia="en-US"/>
        </w:rPr>
      </w:pPr>
    </w:p>
    <w:p w14:paraId="130655F7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1. </w:t>
      </w:r>
      <w:r w:rsidRPr="002F655F">
        <w:rPr>
          <w:rFonts w:ascii="Arial" w:hAnsi="Arial" w:cs="Arial"/>
          <w:sz w:val="20"/>
          <w:szCs w:val="20"/>
          <w:lang w:eastAsia="en-US"/>
        </w:rPr>
        <w:t>How did Amerindians interpret the epidemics of measles and smallpox that devastated Mesoamerica in the sixteenth century? To what degree was disease responsible for the Spanish victory?</w:t>
      </w:r>
    </w:p>
    <w:p w14:paraId="751CAD7C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>2. Did pirates and buccaneers make the sea an ‘alternative world’ to the power relations being developed by the seventeenth-century English maritime state?</w:t>
      </w:r>
    </w:p>
    <w:p w14:paraId="6838563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Primary sources </w:t>
      </w:r>
    </w:p>
    <w:p w14:paraId="544FA896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Alexandre Olivier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Exquemelin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>, T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he Buccaneers of America 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(London, 1972). </w:t>
      </w:r>
    </w:p>
    <w:p w14:paraId="0F0355F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Daniel Defoe ‘The Life of Captain Roberts,’ in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General History of the Robberies and Murders of the Most Notorious Pirates 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(Guilford, Conn., c2002), </w:t>
      </w:r>
    </w:p>
    <w:p w14:paraId="0E05A58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Defoe, ‘The Life of Mary Reed,’ in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General History of the … Most Notorious Pirates, </w:t>
      </w:r>
    </w:p>
    <w:p w14:paraId="09ACA3E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Defoe, ‘The Life of Anne Bonny,’ in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General History of the … Most Notorious Pirates, </w:t>
      </w:r>
    </w:p>
    <w:p w14:paraId="3F18D00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Secondary sources </w:t>
      </w:r>
    </w:p>
    <w:p w14:paraId="35F160BB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Peter Linebaugh and Marcus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Rediker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>, ‘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Hydrarchy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: Sailors, Pirates, and the Maritime State,’ in Linebaugh and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Rediker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The Many-Headed Hydra: Sailors, Slaves, Commoners, and the Hidden History of the Revolutionary Atlantic 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(2000), 143-73. </w:t>
      </w:r>
    </w:p>
    <w:p w14:paraId="0818A4A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Marcus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Rediker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Villains of all Nations: Atlantic Pirates in the Golden Age 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(Boston, 2004) </w:t>
      </w:r>
    </w:p>
    <w:p w14:paraId="34714F6B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Gabriel Kuhn,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>Life Under the Jolly Roger: Reflections on Golden Age Piracy (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Chicago, 2009). </w:t>
      </w:r>
    </w:p>
    <w:p w14:paraId="7A0090E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C. R. Pennell (ed.),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Bandits at Sea: A Pirates Reader 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(New York, 2001). </w:t>
      </w:r>
    </w:p>
    <w:p w14:paraId="02C44112" w14:textId="77777777" w:rsidR="003705A8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Marcus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Rediker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, ‘Under the Banner of King Death,’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>William &amp; Mary Quarterly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, 38.2 (1981), 203-27. </w:t>
      </w:r>
    </w:p>
    <w:p w14:paraId="3E00FDEC" w14:textId="77777777" w:rsidR="003705A8" w:rsidRPr="00A02E9C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bookmarkStart w:id="1" w:name="_Hlk46484652"/>
      <w:r w:rsidRPr="00A02E9C">
        <w:rPr>
          <w:rFonts w:ascii="Arial" w:hAnsi="Arial" w:cs="Arial"/>
          <w:sz w:val="20"/>
          <w:szCs w:val="20"/>
          <w:lang w:eastAsia="en-US"/>
        </w:rPr>
        <w:t xml:space="preserve">Marcus </w:t>
      </w:r>
      <w:proofErr w:type="spellStart"/>
      <w:r w:rsidRPr="00A02E9C">
        <w:rPr>
          <w:rFonts w:ascii="Arial" w:hAnsi="Arial" w:cs="Arial"/>
          <w:sz w:val="20"/>
          <w:szCs w:val="20"/>
          <w:lang w:eastAsia="en-US"/>
        </w:rPr>
        <w:t>Rediker</w:t>
      </w:r>
      <w:proofErr w:type="spellEnd"/>
      <w:r w:rsidRPr="00A02E9C">
        <w:rPr>
          <w:rFonts w:ascii="Arial" w:hAnsi="Arial" w:cs="Arial"/>
          <w:sz w:val="20"/>
          <w:szCs w:val="20"/>
          <w:lang w:eastAsia="en-US"/>
        </w:rPr>
        <w:t xml:space="preserve">, “The Pirate and the Gallows: An Atlantic </w:t>
      </w:r>
      <w:proofErr w:type="spellStart"/>
      <w:r w:rsidRPr="00A02E9C">
        <w:rPr>
          <w:rFonts w:ascii="Arial" w:hAnsi="Arial" w:cs="Arial"/>
          <w:sz w:val="20"/>
          <w:szCs w:val="20"/>
          <w:lang w:eastAsia="en-US"/>
        </w:rPr>
        <w:t>Theater</w:t>
      </w:r>
      <w:proofErr w:type="spellEnd"/>
      <w:r w:rsidRPr="00A02E9C">
        <w:rPr>
          <w:rFonts w:ascii="Arial" w:hAnsi="Arial" w:cs="Arial"/>
          <w:sz w:val="20"/>
          <w:szCs w:val="20"/>
          <w:lang w:eastAsia="en-US"/>
        </w:rPr>
        <w:t xml:space="preserve"> of Terror and Resistance,” American Historical Association, 2003: </w:t>
      </w:r>
      <w:hyperlink r:id="rId4" w:history="1">
        <w:r w:rsidRPr="00A02E9C">
          <w:rPr>
            <w:rStyle w:val="Hyperlink"/>
            <w:rFonts w:ascii="Arial" w:hAnsi="Arial" w:cs="Arial"/>
            <w:sz w:val="20"/>
            <w:szCs w:val="20"/>
            <w:lang w:eastAsia="en-US"/>
          </w:rPr>
          <w:t>http://webdoc.sub.gwdg.de/ebook/p/2005/history_cooperative/www.historycooperative.org/proceedings/seascapes/rediker.html</w:t>
        </w:r>
      </w:hyperlink>
    </w:p>
    <w:p w14:paraId="471A0AEC" w14:textId="77777777" w:rsidR="003705A8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E34A1E">
        <w:rPr>
          <w:rFonts w:ascii="Arial" w:hAnsi="Arial" w:cs="Arial"/>
          <w:sz w:val="20"/>
          <w:szCs w:val="20"/>
          <w:lang w:eastAsia="en-US"/>
        </w:rPr>
        <w:t xml:space="preserve">Crystal Williams, "Nascent Socialists or Resourceful Criminals? A Reconsideration of Transatlantic Piracy, 1690-1726." In </w:t>
      </w:r>
      <w:r w:rsidRPr="00E34A1E">
        <w:rPr>
          <w:rFonts w:ascii="Arial" w:hAnsi="Arial" w:cs="Arial"/>
          <w:i/>
          <w:iCs/>
          <w:sz w:val="20"/>
          <w:szCs w:val="20"/>
          <w:lang w:eastAsia="en-US"/>
        </w:rPr>
        <w:t>Pirates, Jack Tar, and Memory: New Directions in American Maritime History</w:t>
      </w:r>
      <w:r w:rsidRPr="00E34A1E">
        <w:rPr>
          <w:rFonts w:ascii="Arial" w:hAnsi="Arial" w:cs="Arial"/>
          <w:sz w:val="20"/>
          <w:szCs w:val="20"/>
          <w:lang w:eastAsia="en-US"/>
        </w:rPr>
        <w:t xml:space="preserve">, ed. Paul A. Gilje and William </w:t>
      </w:r>
      <w:proofErr w:type="spellStart"/>
      <w:r w:rsidRPr="00E34A1E">
        <w:rPr>
          <w:rFonts w:ascii="Arial" w:hAnsi="Arial" w:cs="Arial"/>
          <w:sz w:val="20"/>
          <w:szCs w:val="20"/>
          <w:lang w:eastAsia="en-US"/>
        </w:rPr>
        <w:t>Pencak</w:t>
      </w:r>
      <w:proofErr w:type="spellEnd"/>
      <w:r w:rsidRPr="00E34A1E">
        <w:rPr>
          <w:rFonts w:ascii="Arial" w:hAnsi="Arial" w:cs="Arial"/>
          <w:sz w:val="20"/>
          <w:szCs w:val="20"/>
          <w:lang w:eastAsia="en-US"/>
        </w:rPr>
        <w:t xml:space="preserve"> (Mystic: Mystic Seaport, 2007), 31-50.</w:t>
      </w:r>
    </w:p>
    <w:bookmarkEnd w:id="1"/>
    <w:p w14:paraId="4D21D574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Nuala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Zahedieh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, “The Wickedest City in the World: Port Royal, Commercial Hub of the Seventeenth-Century,” in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Working Slavery, Pricing Freedom: Perspectives from the Caribbean, Africa, and the African </w:t>
      </w:r>
      <w:proofErr w:type="spellStart"/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>Diapsora</w:t>
      </w:r>
      <w:proofErr w:type="spellEnd"/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 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(London, 2002), 3-20 </w:t>
      </w:r>
    </w:p>
    <w:p w14:paraId="26069530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Ulrike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Klausmann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et. al., </w:t>
      </w:r>
      <w:r w:rsidRPr="002F655F">
        <w:rPr>
          <w:rFonts w:ascii="Arial" w:hAnsi="Arial" w:cs="Arial"/>
          <w:i/>
          <w:iCs/>
          <w:sz w:val="20"/>
          <w:szCs w:val="20"/>
          <w:lang w:val="en-US" w:eastAsia="en-US"/>
        </w:rPr>
        <w:t xml:space="preserve">Women Pirates and the Politics of the Jolly Roger 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(Montreal, 1997). </w:t>
      </w:r>
    </w:p>
    <w:p w14:paraId="6596284E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3. </w:t>
      </w:r>
      <w:r w:rsidRPr="002F655F">
        <w:rPr>
          <w:rFonts w:ascii="Arial" w:hAnsi="Arial" w:cs="Arial"/>
          <w:sz w:val="20"/>
          <w:szCs w:val="20"/>
          <w:lang w:eastAsia="en-US"/>
        </w:rPr>
        <w:t>Were there differences in how European powers used African slavery in their early empires? Why?</w:t>
      </w:r>
    </w:p>
    <w:p w14:paraId="4C951852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>4. To what degree were the American, French and Haitian Revolutions “Atlantic”?</w:t>
      </w:r>
    </w:p>
    <w:p w14:paraId="0ED2CF6B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>5. What were the factors that led to the abolition of the Atlantic Slave Trade? Which factors were most influential and why?</w:t>
      </w:r>
    </w:p>
    <w:p w14:paraId="486BF63D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>6. Why was the Dutch East India Company established? How did it compare with other European trading companies - including the English (British) East India Company - in terms of where and how it conducted its business?</w:t>
      </w:r>
    </w:p>
    <w:p w14:paraId="70D26F1A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Primary sources</w:t>
      </w:r>
    </w:p>
    <w:p w14:paraId="53FD3CB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B Harlow and M Carter (eds),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Archives of Empire: Vol I. From The East India Company to the Suez Canal </w:t>
      </w:r>
      <w:r w:rsidRPr="002F655F">
        <w:rPr>
          <w:rFonts w:ascii="Arial" w:hAnsi="Arial" w:cs="Arial"/>
          <w:sz w:val="20"/>
          <w:szCs w:val="20"/>
          <w:lang w:eastAsia="en-US"/>
        </w:rPr>
        <w:t>(Durham, 2004), Pt I.</w:t>
      </w:r>
    </w:p>
    <w:p w14:paraId="350E4312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lastRenderedPageBreak/>
        <w:t>Secondary sources</w:t>
      </w:r>
    </w:p>
    <w:p w14:paraId="7F2FCB2C" w14:textId="77777777" w:rsidR="003705A8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Philip D. Curtin,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Cross-Cultural Trade in World History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(Cambridge 1984), chs.6-8. </w:t>
      </w:r>
    </w:p>
    <w:p w14:paraId="67925BAE" w14:textId="77777777" w:rsidR="003705A8" w:rsidRPr="001A7A82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Leonard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Blussé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and Femme Gaastra (eds.), </w:t>
      </w:r>
      <w:r>
        <w:rPr>
          <w:rFonts w:ascii="Arial" w:hAnsi="Arial" w:cs="Arial"/>
          <w:i/>
          <w:iCs/>
          <w:sz w:val="20"/>
          <w:szCs w:val="20"/>
          <w:lang w:eastAsia="en-US"/>
        </w:rPr>
        <w:t xml:space="preserve">Companies and Trade </w:t>
      </w:r>
      <w:r w:rsidRPr="002F655F">
        <w:rPr>
          <w:rFonts w:ascii="Arial" w:hAnsi="Arial" w:cs="Arial"/>
          <w:sz w:val="20"/>
          <w:szCs w:val="20"/>
          <w:lang w:eastAsia="en-US"/>
        </w:rPr>
        <w:t>(Leiden, 1981).</w:t>
      </w:r>
    </w:p>
    <w:p w14:paraId="74D4166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H. V. Bowen, et al.,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Worlds of the East India Company </w:t>
      </w:r>
      <w:r w:rsidRPr="002F655F">
        <w:rPr>
          <w:rFonts w:ascii="Arial" w:hAnsi="Arial" w:cs="Arial"/>
          <w:sz w:val="20"/>
          <w:szCs w:val="20"/>
          <w:lang w:eastAsia="en-US"/>
        </w:rPr>
        <w:t>(2002).</w:t>
      </w:r>
    </w:p>
    <w:p w14:paraId="076D22E0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H. V. Bowen,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Business of Empire: The East India Company and Imperial Britain, 1756-1833 </w:t>
      </w:r>
      <w:r w:rsidRPr="002F655F">
        <w:rPr>
          <w:rFonts w:ascii="Arial" w:hAnsi="Arial" w:cs="Arial"/>
          <w:sz w:val="20"/>
          <w:szCs w:val="20"/>
          <w:lang w:eastAsia="en-US"/>
        </w:rPr>
        <w:t>(Cambridge, 2005).</w:t>
      </w:r>
    </w:p>
    <w:p w14:paraId="00DFA5C0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K. N. Chaudhuri,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Trade and Civilisation in the Indian Ocean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(1985),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chs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>. 4 and 10.</w:t>
      </w:r>
    </w:p>
    <w:p w14:paraId="1EE656F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Sushil Chaudhury and Michel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Morineau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Merchants, Companies and Trade. Europe and Asia in the Early Modern Era </w:t>
      </w:r>
      <w:r w:rsidRPr="002F655F">
        <w:rPr>
          <w:rFonts w:ascii="Arial" w:hAnsi="Arial" w:cs="Arial"/>
          <w:sz w:val="20"/>
          <w:szCs w:val="20"/>
          <w:lang w:eastAsia="en-US"/>
        </w:rPr>
        <w:t>(Cambridge, 1999).</w:t>
      </w:r>
    </w:p>
    <w:p w14:paraId="05A345F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K. N. Chaudhuri,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Trading World of </w:t>
      </w:r>
      <w:proofErr w:type="gramStart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Asia</w:t>
      </w:r>
      <w:proofErr w:type="gramEnd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 and the English East India Company, 1660-1760 </w:t>
      </w:r>
      <w:r w:rsidRPr="002F655F">
        <w:rPr>
          <w:rFonts w:ascii="Arial" w:hAnsi="Arial" w:cs="Arial"/>
          <w:sz w:val="20"/>
          <w:szCs w:val="20"/>
          <w:lang w:eastAsia="en-US"/>
        </w:rPr>
        <w:t>(Cambridge, 1978).</w:t>
      </w:r>
    </w:p>
    <w:p w14:paraId="63C08403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Sudipta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Sen,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Empire of free trade: the East India Company and the making of the colonial marketplace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(Philadelphia, 1998). </w:t>
      </w:r>
    </w:p>
    <w:p w14:paraId="6B9556C5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proofErr w:type="gramStart"/>
      <w:r w:rsidRPr="002F655F">
        <w:rPr>
          <w:rFonts w:ascii="Arial" w:hAnsi="Arial" w:cs="Arial"/>
          <w:sz w:val="20"/>
          <w:szCs w:val="20"/>
          <w:lang w:eastAsia="en-US"/>
        </w:rPr>
        <w:t>Curtin,J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>.</w:t>
      </w:r>
      <w:proofErr w:type="gramEnd"/>
      <w:r w:rsidRPr="002F655F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Cross-Cultural Trade in World History </w:t>
      </w:r>
      <w:r w:rsidRPr="002F655F">
        <w:rPr>
          <w:rFonts w:ascii="Arial" w:hAnsi="Arial" w:cs="Arial"/>
          <w:sz w:val="20"/>
          <w:szCs w:val="20"/>
          <w:lang w:eastAsia="en-US"/>
        </w:rPr>
        <w:t>(Cambridge, 1984).</w:t>
      </w:r>
    </w:p>
    <w:p w14:paraId="5B2EA678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George D.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Winius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&amp;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MarcusM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.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Vink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Merchant-Warrior Pacified. The VOC (Dutch East India Co.) and its changing Political Economy in India </w:t>
      </w:r>
      <w:r w:rsidRPr="002F655F">
        <w:rPr>
          <w:rFonts w:ascii="Arial" w:hAnsi="Arial" w:cs="Arial"/>
          <w:sz w:val="20"/>
          <w:szCs w:val="20"/>
          <w:lang w:eastAsia="en-US"/>
        </w:rPr>
        <w:t>(Delhi and Oxford, 1991).</w:t>
      </w:r>
    </w:p>
    <w:p w14:paraId="27B540CE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Indrani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Ray (ed.),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French East India Company and the Trade of the Indian Ocean </w:t>
      </w:r>
      <w:r w:rsidRPr="002F655F">
        <w:rPr>
          <w:rFonts w:ascii="Arial" w:hAnsi="Arial" w:cs="Arial"/>
          <w:sz w:val="20"/>
          <w:szCs w:val="20"/>
          <w:lang w:eastAsia="en-US"/>
        </w:rPr>
        <w:t>(Mumbai, 1999).</w:t>
      </w:r>
    </w:p>
    <w:p w14:paraId="6F83F84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Donald C. Wellington,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French East India Companies: An Historical Account and Record of Trade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(London, 2006). </w:t>
      </w:r>
    </w:p>
    <w:p w14:paraId="34D9772B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Philip Lawson,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East India Company: A History </w:t>
      </w:r>
      <w:r w:rsidRPr="002F655F">
        <w:rPr>
          <w:rFonts w:ascii="Arial" w:hAnsi="Arial" w:cs="Arial"/>
          <w:sz w:val="20"/>
          <w:szCs w:val="20"/>
          <w:lang w:eastAsia="en-US"/>
        </w:rPr>
        <w:t>(London, 1993).</w:t>
      </w:r>
    </w:p>
    <w:p w14:paraId="15BD7455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proofErr w:type="gramStart"/>
      <w:r w:rsidRPr="002F655F">
        <w:rPr>
          <w:rFonts w:ascii="Arial" w:hAnsi="Arial" w:cs="Arial"/>
          <w:sz w:val="20"/>
          <w:szCs w:val="20"/>
          <w:lang w:eastAsia="en-US"/>
        </w:rPr>
        <w:t>Marshall,J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>.</w:t>
      </w:r>
      <w:proofErr w:type="gramEnd"/>
      <w:r w:rsidRPr="002F655F">
        <w:rPr>
          <w:rFonts w:ascii="Arial" w:hAnsi="Arial" w:cs="Arial"/>
          <w:sz w:val="20"/>
          <w:szCs w:val="20"/>
          <w:lang w:eastAsia="en-US"/>
        </w:rPr>
        <w:t xml:space="preserve">, ‘The British in Asia: Trade to Dominion, 1700-1765’,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inJ.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Marshall,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The Eighteenth Century. The Oxford History of the British Empire</w:t>
      </w:r>
      <w:r w:rsidRPr="002F655F">
        <w:rPr>
          <w:rFonts w:ascii="Arial" w:hAnsi="Arial" w:cs="Arial"/>
          <w:sz w:val="20"/>
          <w:szCs w:val="20"/>
          <w:lang w:eastAsia="en-US"/>
        </w:rPr>
        <w:t>, Vol. II, 487-508 – also in H.V.</w:t>
      </w:r>
    </w:p>
    <w:p w14:paraId="20248DD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J. Marshall,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Making and Unmaking of Empires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(Oxford and New York, 2005),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chs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. 4 and 8. </w:t>
      </w:r>
    </w:p>
    <w:p w14:paraId="356223F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Anthony Farrington,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Trading Places: The East India Company and Asia 1600-1834 </w:t>
      </w:r>
      <w:r w:rsidRPr="002F655F">
        <w:rPr>
          <w:rFonts w:ascii="Arial" w:hAnsi="Arial" w:cs="Arial"/>
          <w:sz w:val="20"/>
          <w:szCs w:val="20"/>
          <w:lang w:eastAsia="en-US"/>
        </w:rPr>
        <w:t>(London, 2002).</w:t>
      </w:r>
    </w:p>
    <w:p w14:paraId="110B3AD7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7</w:t>
      </w:r>
      <w:r w:rsidRPr="002F655F">
        <w:rPr>
          <w:rFonts w:ascii="Arial" w:hAnsi="Arial" w:cs="Arial"/>
          <w:sz w:val="20"/>
          <w:szCs w:val="20"/>
          <w:lang w:eastAsia="en-US"/>
        </w:rPr>
        <w:t>. What were the consequences of the Sepoy Rebellion for the way the British ruled India? How did the Rebellion change Indian attitudes towards the British?</w:t>
      </w:r>
    </w:p>
    <w:p w14:paraId="76DCF7BC" w14:textId="77777777" w:rsidR="003705A8" w:rsidRPr="002F655F" w:rsidRDefault="003705A8" w:rsidP="003705A8">
      <w:pPr>
        <w:ind w:left="284"/>
        <w:rPr>
          <w:rFonts w:ascii="Arial" w:hAnsi="Arial" w:cs="Arial"/>
          <w:b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b/>
          <w:iCs/>
          <w:sz w:val="20"/>
          <w:szCs w:val="20"/>
          <w:lang w:eastAsia="en-US"/>
        </w:rPr>
        <w:t>On the Sepoy Rebellion</w:t>
      </w:r>
    </w:p>
    <w:p w14:paraId="1618D8E4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Primary sources</w:t>
      </w:r>
    </w:p>
    <w:p w14:paraId="52456464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Adelaide Case,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Day by Day at Lucknow: A Journal of the Siege of Lucknow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(London, 2005). </w:t>
      </w:r>
    </w:p>
    <w:p w14:paraId="4B2927B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Charles Napier North,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Journal of an English Officer in India </w:t>
      </w:r>
      <w:r w:rsidRPr="002F655F">
        <w:rPr>
          <w:rFonts w:ascii="Arial" w:hAnsi="Arial" w:cs="Arial"/>
          <w:sz w:val="20"/>
          <w:szCs w:val="20"/>
          <w:lang w:eastAsia="en-US"/>
        </w:rPr>
        <w:t>(London, 2009).</w:t>
      </w:r>
    </w:p>
    <w:p w14:paraId="04E4A991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Secondary sources</w:t>
      </w:r>
    </w:p>
    <w:p w14:paraId="5349C13E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Denis Judd,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Empire: The British Imperial Experience, from 1765 to the present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(London, 1996),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ch.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7.</w:t>
      </w:r>
    </w:p>
    <w:p w14:paraId="4F874FC0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Andrew Ward,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‘Our Bones are Scattered’: The Cawnpore Massacres and the Indian Mutiny of 1857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(London, 1996). </w:t>
      </w:r>
    </w:p>
    <w:p w14:paraId="150B45A1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William Dalrymple,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Last Mughal: The Fall of a Dynasty: Delhi, 1857 </w:t>
      </w:r>
      <w:r w:rsidRPr="002F655F">
        <w:rPr>
          <w:rFonts w:ascii="Arial" w:hAnsi="Arial" w:cs="Arial"/>
          <w:sz w:val="20"/>
          <w:szCs w:val="20"/>
          <w:lang w:eastAsia="en-US"/>
        </w:rPr>
        <w:t>(London, 2007).</w:t>
      </w:r>
    </w:p>
    <w:p w14:paraId="6C7AF2E6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Lawrence James,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Raj; The Making </w:t>
      </w:r>
      <w:proofErr w:type="gramStart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And</w:t>
      </w:r>
      <w:proofErr w:type="gramEnd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 Unmaking Of British India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(London, 1998), Part IV. </w:t>
      </w:r>
    </w:p>
    <w:p w14:paraId="43C5515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Ainslie T.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Embree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1857 in India: Mutiny or War of Independence </w:t>
      </w:r>
      <w:r w:rsidRPr="002F655F">
        <w:rPr>
          <w:rFonts w:ascii="Arial" w:hAnsi="Arial" w:cs="Arial"/>
          <w:sz w:val="20"/>
          <w:szCs w:val="20"/>
          <w:lang w:eastAsia="en-US"/>
        </w:rPr>
        <w:t>(Boston, 1963).</w:t>
      </w:r>
    </w:p>
    <w:p w14:paraId="03CE9D7A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Fisher (ed),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Politics of the British Annexation of India, 1757-1857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(Delhi, 1997). </w:t>
      </w:r>
    </w:p>
    <w:p w14:paraId="287BF224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Rudrangshu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Mukherjee,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Awadh in Revolt, 1857-1858 </w:t>
      </w:r>
      <w:r w:rsidRPr="002F655F">
        <w:rPr>
          <w:rFonts w:ascii="Arial" w:hAnsi="Arial" w:cs="Arial"/>
          <w:sz w:val="20"/>
          <w:szCs w:val="20"/>
          <w:lang w:eastAsia="en-US"/>
        </w:rPr>
        <w:t>(Delhi, 1984).</w:t>
      </w:r>
    </w:p>
    <w:p w14:paraId="360517F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Pemble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J.,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Raj, the Indian Mutiny, and the Kingdom of Oudh, 1801-1859 </w:t>
      </w:r>
      <w:r w:rsidRPr="002F655F">
        <w:rPr>
          <w:rFonts w:ascii="Arial" w:hAnsi="Arial" w:cs="Arial"/>
          <w:sz w:val="20"/>
          <w:szCs w:val="20"/>
          <w:lang w:eastAsia="en-US"/>
        </w:rPr>
        <w:t>(1977)</w:t>
      </w:r>
    </w:p>
    <w:p w14:paraId="7C75EE44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Eric Stokes, ‘Traditional Elites in the Great Rebellion of 1857’, in Edmund Leach and S. N. Mukherjee (eds),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Elites in South Asia </w:t>
      </w:r>
      <w:r w:rsidRPr="002F655F">
        <w:rPr>
          <w:rFonts w:ascii="Arial" w:hAnsi="Arial" w:cs="Arial"/>
          <w:sz w:val="20"/>
          <w:szCs w:val="20"/>
          <w:lang w:eastAsia="en-US"/>
        </w:rPr>
        <w:t>(Cambridge, 1970), 16-32.</w:t>
      </w:r>
    </w:p>
    <w:p w14:paraId="5342B118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lastRenderedPageBreak/>
        <w:t>Rudrangshu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Mukherjee, “Satan let loose upon Earth’: the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Kunpur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massacres in India in the revolt of 1857’,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Past &amp; Present</w:t>
      </w:r>
      <w:r w:rsidRPr="002F655F">
        <w:rPr>
          <w:rFonts w:ascii="Arial" w:hAnsi="Arial" w:cs="Arial"/>
          <w:sz w:val="20"/>
          <w:szCs w:val="20"/>
          <w:lang w:eastAsia="en-US"/>
        </w:rPr>
        <w:t>, 128 (1990), 92-116.</w:t>
      </w:r>
    </w:p>
    <w:p w14:paraId="4090D27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Eric Stokes, ‘Rural Revolt in the Great Rebellion of 1857’,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Historical Journal</w:t>
      </w:r>
      <w:r w:rsidRPr="002F655F">
        <w:rPr>
          <w:rFonts w:ascii="Arial" w:hAnsi="Arial" w:cs="Arial"/>
          <w:sz w:val="20"/>
          <w:szCs w:val="20"/>
          <w:lang w:eastAsia="en-US"/>
        </w:rPr>
        <w:t>, 12 (1969), 696-727.</w:t>
      </w:r>
    </w:p>
    <w:p w14:paraId="0EE6020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B. English, ‘Debate: The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Kunpur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Massacres in India in the revolt of 1857’,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Past &amp; Present</w:t>
      </w:r>
      <w:r w:rsidRPr="002F655F">
        <w:rPr>
          <w:rFonts w:ascii="Arial" w:hAnsi="Arial" w:cs="Arial"/>
          <w:sz w:val="20"/>
          <w:szCs w:val="20"/>
          <w:lang w:eastAsia="en-US"/>
        </w:rPr>
        <w:t>, 142 (1994), 169-78.</w:t>
      </w:r>
    </w:p>
    <w:p w14:paraId="28E8C39A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Eric Stokes, ‘Traditional Resistance Movements and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Afroasian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Nationalism: the context of the 1857 Indian Mutiny Rebellion in India’,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Past &amp; Present</w:t>
      </w:r>
      <w:r w:rsidRPr="002F655F">
        <w:rPr>
          <w:rFonts w:ascii="Arial" w:hAnsi="Arial" w:cs="Arial"/>
          <w:sz w:val="20"/>
          <w:szCs w:val="20"/>
          <w:lang w:eastAsia="en-US"/>
        </w:rPr>
        <w:t>, 48 (1970), 100-18.</w:t>
      </w:r>
    </w:p>
    <w:p w14:paraId="04A4A47F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David Baker, ‘Colonial beginnings and the Indian response: the revolt of 1857-58 in Madhya Pradesh’,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Modern Asian Studies</w:t>
      </w:r>
      <w:r w:rsidRPr="002F655F">
        <w:rPr>
          <w:rFonts w:ascii="Arial" w:hAnsi="Arial" w:cs="Arial"/>
          <w:sz w:val="20"/>
          <w:szCs w:val="20"/>
          <w:lang w:eastAsia="en-US"/>
        </w:rPr>
        <w:t>, 25, (1991), 511-43.</w:t>
      </w:r>
    </w:p>
    <w:p w14:paraId="3B473C6E" w14:textId="77777777" w:rsidR="003705A8" w:rsidRPr="002F655F" w:rsidRDefault="003705A8" w:rsidP="003705A8">
      <w:pPr>
        <w:ind w:left="284"/>
        <w:rPr>
          <w:rFonts w:ascii="Arial" w:hAnsi="Arial" w:cs="Arial"/>
          <w:b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b/>
          <w:iCs/>
          <w:sz w:val="20"/>
          <w:szCs w:val="20"/>
          <w:lang w:eastAsia="en-US"/>
        </w:rPr>
        <w:t>Sources on Imperial attitudes</w:t>
      </w:r>
    </w:p>
    <w:p w14:paraId="36E62CD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Thomas R. Metcalf,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Ideologies of the Raj </w:t>
      </w:r>
      <w:r w:rsidRPr="002F655F">
        <w:rPr>
          <w:rFonts w:ascii="Arial" w:hAnsi="Arial" w:cs="Arial"/>
          <w:sz w:val="20"/>
          <w:szCs w:val="20"/>
          <w:lang w:eastAsia="en-US"/>
        </w:rPr>
        <w:t>(Cambridge, 1994).</w:t>
      </w:r>
    </w:p>
    <w:p w14:paraId="3752142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David E.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Omissi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Sepoy and the Raj: The Indian Army, 1860-1940 </w:t>
      </w:r>
      <w:r w:rsidRPr="002F655F">
        <w:rPr>
          <w:rFonts w:ascii="Arial" w:hAnsi="Arial" w:cs="Arial"/>
          <w:sz w:val="20"/>
          <w:szCs w:val="20"/>
          <w:lang w:eastAsia="en-US"/>
        </w:rPr>
        <w:t>(London, 1998).</w:t>
      </w:r>
    </w:p>
    <w:p w14:paraId="62DB3DC2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Heather Streets,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Martial Races: The Military, Race and Masculinity in British Imperial Culture, 1857-1914 </w:t>
      </w:r>
      <w:r w:rsidRPr="002F655F">
        <w:rPr>
          <w:rFonts w:ascii="Arial" w:hAnsi="Arial" w:cs="Arial"/>
          <w:sz w:val="20"/>
          <w:szCs w:val="20"/>
          <w:lang w:eastAsia="en-US"/>
        </w:rPr>
        <w:t>(Manchester, 2005).</w:t>
      </w:r>
    </w:p>
    <w:p w14:paraId="0FDD1A6A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Kaushik Roy, ‘Recruitment doctrines of the colonial Indian Army’,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Indian Economic and Social History Review</w:t>
      </w:r>
      <w:r w:rsidRPr="002F655F">
        <w:rPr>
          <w:rFonts w:ascii="Arial" w:hAnsi="Arial" w:cs="Arial"/>
          <w:sz w:val="20"/>
          <w:szCs w:val="20"/>
          <w:lang w:eastAsia="en-US"/>
        </w:rPr>
        <w:t>, 34 (1997), 321-54.</w:t>
      </w:r>
    </w:p>
    <w:p w14:paraId="304B0D4E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Douglas Peers, ‘“The habitual nobility of being”: British officers and the social construction of the Bengal Army in the early nineteenth century’,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Modern Asian Studies</w:t>
      </w:r>
      <w:r w:rsidRPr="002F655F">
        <w:rPr>
          <w:rFonts w:ascii="Arial" w:hAnsi="Arial" w:cs="Arial"/>
          <w:sz w:val="20"/>
          <w:szCs w:val="20"/>
          <w:lang w:eastAsia="en-US"/>
        </w:rPr>
        <w:t>, 25 (1991), 545-69.</w:t>
      </w:r>
    </w:p>
    <w:p w14:paraId="4A4A370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Douglas Peers, ‘Sepoys, soldiers and the lash: Race, caste and army discipline in India, 1820-50’,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Journal of Imperial and Commonwealth History</w:t>
      </w:r>
      <w:r w:rsidRPr="002F655F">
        <w:rPr>
          <w:rFonts w:ascii="Arial" w:hAnsi="Arial" w:cs="Arial"/>
          <w:sz w:val="20"/>
          <w:szCs w:val="20"/>
          <w:lang w:eastAsia="en-US"/>
        </w:rPr>
        <w:t>, 23 (1995), 379-94.</w:t>
      </w:r>
    </w:p>
    <w:p w14:paraId="1C2E3BF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A. McClintock,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Imperial Leather: Race, Gender and Sexuality in the Colonial Contest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(New York and London, 1995). </w:t>
      </w:r>
    </w:p>
    <w:p w14:paraId="34BF81EB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Clare Midgley (ed.),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Gender and Imperialism </w:t>
      </w:r>
      <w:r w:rsidRPr="002F655F">
        <w:rPr>
          <w:rFonts w:ascii="Arial" w:hAnsi="Arial" w:cs="Arial"/>
          <w:sz w:val="20"/>
          <w:szCs w:val="20"/>
          <w:lang w:eastAsia="en-US"/>
        </w:rPr>
        <w:t>(Manchester, 1998).</w:t>
      </w:r>
    </w:p>
    <w:p w14:paraId="31E7F2A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Margaret Strobel,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European </w:t>
      </w:r>
      <w:proofErr w:type="gramStart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Women</w:t>
      </w:r>
      <w:proofErr w:type="gramEnd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 and the Second British Empire (</w:t>
      </w:r>
      <w:r w:rsidRPr="002F655F">
        <w:rPr>
          <w:rFonts w:ascii="Arial" w:hAnsi="Arial" w:cs="Arial"/>
          <w:sz w:val="20"/>
          <w:szCs w:val="20"/>
          <w:lang w:eastAsia="en-US"/>
        </w:rPr>
        <w:t>Bloomington, 1991).</w:t>
      </w:r>
    </w:p>
    <w:p w14:paraId="2A53F7A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Strobel, Margaret and Nupur Chaudhuri, (eds),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Western Women and Imperialism: Complicity and Resistance </w:t>
      </w:r>
      <w:r w:rsidRPr="002F655F">
        <w:rPr>
          <w:rFonts w:ascii="Arial" w:hAnsi="Arial" w:cs="Arial"/>
          <w:sz w:val="20"/>
          <w:szCs w:val="20"/>
          <w:lang w:eastAsia="en-US"/>
        </w:rPr>
        <w:t>(Bloomington, 1992)</w:t>
      </w:r>
    </w:p>
    <w:p w14:paraId="7250DAD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Andrew Thompson,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Empire Strikes </w:t>
      </w:r>
      <w:proofErr w:type="gramStart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Back?:</w:t>
      </w:r>
      <w:proofErr w:type="gramEnd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 The Impact of Imperialism on Britain from the Mid-Nineteenth Century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(London, 2005),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chs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2-4.</w:t>
      </w:r>
    </w:p>
    <w:p w14:paraId="22E78E9F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Andrew Thompson,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Imperial Britain: The Empire in British Politics, c. 1880-1932 </w:t>
      </w:r>
      <w:r w:rsidRPr="002F655F">
        <w:rPr>
          <w:rFonts w:ascii="Arial" w:hAnsi="Arial" w:cs="Arial"/>
          <w:sz w:val="20"/>
          <w:szCs w:val="20"/>
          <w:lang w:eastAsia="en-US"/>
        </w:rPr>
        <w:t>(London, 2000</w:t>
      </w:r>
      <w:proofErr w:type="gramStart"/>
      <w:r w:rsidRPr="002F655F">
        <w:rPr>
          <w:rFonts w:ascii="Arial" w:hAnsi="Arial" w:cs="Arial"/>
          <w:sz w:val="20"/>
          <w:szCs w:val="20"/>
          <w:lang w:eastAsia="en-US"/>
        </w:rPr>
        <w:t>),Ch.</w:t>
      </w:r>
      <w:proofErr w:type="gramEnd"/>
      <w:r w:rsidRPr="002F655F">
        <w:rPr>
          <w:rFonts w:ascii="Arial" w:hAnsi="Arial" w:cs="Arial"/>
          <w:sz w:val="20"/>
          <w:szCs w:val="20"/>
          <w:lang w:eastAsia="en-US"/>
        </w:rPr>
        <w:t>3</w:t>
      </w:r>
    </w:p>
    <w:p w14:paraId="285725A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Kaul Chandrika,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Reporting the Raj: The British Press and India, c. 1880-1922 </w:t>
      </w:r>
      <w:r w:rsidRPr="002F655F">
        <w:rPr>
          <w:rFonts w:ascii="Arial" w:hAnsi="Arial" w:cs="Arial"/>
          <w:sz w:val="20"/>
          <w:szCs w:val="20"/>
          <w:lang w:eastAsia="en-US"/>
        </w:rPr>
        <w:t>(New York, 2003).</w:t>
      </w:r>
    </w:p>
    <w:p w14:paraId="324B705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David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Cannadine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</w:t>
      </w:r>
      <w:proofErr w:type="spellStart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Ornamentalism</w:t>
      </w:r>
      <w:proofErr w:type="spellEnd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: How the British Saw their Empire </w:t>
      </w:r>
      <w:r w:rsidRPr="002F655F">
        <w:rPr>
          <w:rFonts w:ascii="Arial" w:hAnsi="Arial" w:cs="Arial"/>
          <w:sz w:val="20"/>
          <w:szCs w:val="20"/>
          <w:lang w:eastAsia="en-US"/>
        </w:rPr>
        <w:t>(London, 2002).</w:t>
      </w:r>
    </w:p>
    <w:p w14:paraId="1321DE8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A. McClintock,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Imperial Leather: Race, Gender and Sexuality in the Colonial Contest </w:t>
      </w:r>
      <w:r w:rsidRPr="002F655F">
        <w:rPr>
          <w:rFonts w:ascii="Arial" w:hAnsi="Arial" w:cs="Arial"/>
          <w:sz w:val="20"/>
          <w:szCs w:val="20"/>
          <w:lang w:eastAsia="en-US"/>
        </w:rPr>
        <w:t>(New York and London, 1995).</w:t>
      </w:r>
    </w:p>
    <w:p w14:paraId="15628C8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Bernard Porter,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Absent-Minded Imperialists: Empire, Society, and Culture in Britain </w:t>
      </w:r>
      <w:r w:rsidRPr="002F655F">
        <w:rPr>
          <w:rFonts w:ascii="Arial" w:hAnsi="Arial" w:cs="Arial"/>
          <w:sz w:val="20"/>
          <w:szCs w:val="20"/>
          <w:lang w:eastAsia="en-US"/>
        </w:rPr>
        <w:t>(Oxford, 2004).</w:t>
      </w:r>
    </w:p>
    <w:p w14:paraId="00B4F1D5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James R. Ryan,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Picturing Empire: Photography and the Visualization of the British Empire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(London, 1997). </w:t>
      </w:r>
    </w:p>
    <w:p w14:paraId="38AE1800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Jim English, ‘Empire Day in Britain, 1904-1958,’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Historical Journal</w:t>
      </w:r>
      <w:r w:rsidRPr="002F655F">
        <w:rPr>
          <w:rFonts w:ascii="Arial" w:hAnsi="Arial" w:cs="Arial"/>
          <w:sz w:val="20"/>
          <w:szCs w:val="20"/>
          <w:lang w:eastAsia="en-US"/>
        </w:rPr>
        <w:t>, 49:1 (2006), 247-76.</w:t>
      </w:r>
    </w:p>
    <w:p w14:paraId="09DB8482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8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. Contrast western and Chinese views of the causes and outcomes of the Boxer Rebellion. </w:t>
      </w:r>
    </w:p>
    <w:p w14:paraId="45771943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Primary sources</w:t>
      </w:r>
    </w:p>
    <w:p w14:paraId="0510F55D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Mary Hooker,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Behind the Scenes in Peking </w:t>
      </w:r>
      <w:r w:rsidRPr="002F655F">
        <w:rPr>
          <w:rFonts w:ascii="Arial" w:hAnsi="Arial" w:cs="Arial"/>
          <w:sz w:val="20"/>
          <w:szCs w:val="20"/>
          <w:lang w:eastAsia="en-US"/>
        </w:rPr>
        <w:t>(Hong Kong, 1987).</w:t>
      </w:r>
    </w:p>
    <w:p w14:paraId="76A191FA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Eva Jane Price,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China Journal 1889-1900: An American Missionary Family during the Boxer Rebellion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(New York, 1989). </w:t>
      </w:r>
    </w:p>
    <w:p w14:paraId="2F6A0F9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Frederic A.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Sharf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and Peter Harrington (eds),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China 1900: The Eyewitnesses Speak </w:t>
      </w:r>
      <w:r w:rsidRPr="002F655F">
        <w:rPr>
          <w:rFonts w:ascii="Arial" w:hAnsi="Arial" w:cs="Arial"/>
          <w:sz w:val="20"/>
          <w:szCs w:val="20"/>
          <w:lang w:eastAsia="en-US"/>
        </w:rPr>
        <w:t>(London, 2006).</w:t>
      </w:r>
    </w:p>
    <w:p w14:paraId="12E40F4F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Secondary sources</w:t>
      </w:r>
    </w:p>
    <w:p w14:paraId="522C172D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lastRenderedPageBreak/>
        <w:t xml:space="preserve">Susanna Ashton, ‘Compound Walls: Eva Jane Price’s Letters from a Chinese Mission, 1890-1900,’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Frontiers: A Journal of Women Studies</w:t>
      </w:r>
      <w:r w:rsidRPr="002F655F">
        <w:rPr>
          <w:rFonts w:ascii="Arial" w:hAnsi="Arial" w:cs="Arial"/>
          <w:sz w:val="20"/>
          <w:szCs w:val="20"/>
          <w:lang w:eastAsia="en-US"/>
        </w:rPr>
        <w:t>, 17 (1996), 80-94</w:t>
      </w:r>
    </w:p>
    <w:p w14:paraId="0081EC26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Henrietta Harrison, ‘Justice on Behalf of Heaven,’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History Today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, 50.9 (2000), 44-51. </w:t>
      </w:r>
    </w:p>
    <w:p w14:paraId="134D1645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Patricia Buckley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Ebrey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Cambridge Illustrated History of China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(Cambridge, 1996), </w:t>
      </w:r>
    </w:p>
    <w:p w14:paraId="0F5C0BD8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>Immanuel Chung-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yueh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Hsu,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Rise of Modern China </w:t>
      </w:r>
      <w:r w:rsidRPr="002F655F">
        <w:rPr>
          <w:rFonts w:ascii="Arial" w:hAnsi="Arial" w:cs="Arial"/>
          <w:sz w:val="20"/>
          <w:szCs w:val="20"/>
          <w:lang w:eastAsia="en-US"/>
        </w:rPr>
        <w:t>(Oxford, 2000),</w:t>
      </w:r>
    </w:p>
    <w:p w14:paraId="593F13FA" w14:textId="77777777" w:rsidR="003705A8" w:rsidRPr="002F655F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Diana Preston,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Boxer Rebellion: The Dramatic Story of China's War on Foreigners that Shook the World in the Summer of 1900 </w:t>
      </w:r>
      <w:r w:rsidRPr="002F655F">
        <w:rPr>
          <w:rFonts w:ascii="Arial" w:hAnsi="Arial" w:cs="Arial"/>
          <w:sz w:val="20"/>
          <w:szCs w:val="20"/>
          <w:lang w:eastAsia="en-US"/>
        </w:rPr>
        <w:t>(New York, 2000).</w:t>
      </w:r>
    </w:p>
    <w:p w14:paraId="63EE505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Paul Cohen,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History in Three Keys: The Boxers as Event, Experience, and Myth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(New York, 1998). </w:t>
      </w:r>
    </w:p>
    <w:p w14:paraId="488D457E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Joseph W.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Esherick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Origins of the Boxer Uprising </w:t>
      </w:r>
      <w:r w:rsidRPr="002F655F">
        <w:rPr>
          <w:rFonts w:ascii="Arial" w:hAnsi="Arial" w:cs="Arial"/>
          <w:sz w:val="20"/>
          <w:szCs w:val="20"/>
          <w:lang w:eastAsia="en-US"/>
        </w:rPr>
        <w:t>(Berkeley, Calif., 1987), 1-37.</w:t>
      </w:r>
    </w:p>
    <w:p w14:paraId="6EAFC07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Henry Keown-Boyd,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Fists of Righteous Harmony: A History of the Boxer Uprising in China in the Year 1900 </w:t>
      </w:r>
      <w:r w:rsidRPr="002F655F">
        <w:rPr>
          <w:rFonts w:ascii="Arial" w:hAnsi="Arial" w:cs="Arial"/>
          <w:sz w:val="20"/>
          <w:szCs w:val="20"/>
          <w:lang w:eastAsia="en-US"/>
        </w:rPr>
        <w:t>(London, 1991).</w:t>
      </w:r>
    </w:p>
    <w:p w14:paraId="6777C9A8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Sterling Seagrave,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Dragon Lady: The Life and Legend of the Last Empress of China </w:t>
      </w:r>
      <w:r w:rsidRPr="002F655F">
        <w:rPr>
          <w:rFonts w:ascii="Arial" w:hAnsi="Arial" w:cs="Arial"/>
          <w:sz w:val="20"/>
          <w:szCs w:val="20"/>
          <w:lang w:eastAsia="en-US"/>
        </w:rPr>
        <w:t>(New York, 1992).</w:t>
      </w:r>
    </w:p>
    <w:p w14:paraId="79801ADA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Marina Warner,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Dragon Empress </w:t>
      </w:r>
      <w:proofErr w:type="gramStart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The</w:t>
      </w:r>
      <w:proofErr w:type="gramEnd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 Life and Times of </w:t>
      </w:r>
      <w:proofErr w:type="spellStart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Tz'u-hsi</w:t>
      </w:r>
      <w:proofErr w:type="spellEnd"/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, 1835-1908, Empress Dowager of China </w:t>
      </w:r>
      <w:r w:rsidRPr="002F655F">
        <w:rPr>
          <w:rFonts w:ascii="Arial" w:hAnsi="Arial" w:cs="Arial"/>
          <w:sz w:val="20"/>
          <w:szCs w:val="20"/>
          <w:lang w:eastAsia="en-US"/>
        </w:rPr>
        <w:t>(London, 1972).</w:t>
      </w:r>
    </w:p>
    <w:p w14:paraId="429321D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Lanxin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Xiang,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Origins of the Boxer War: A Multinational Study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(London, 2003). </w:t>
      </w:r>
    </w:p>
    <w:p w14:paraId="21853C40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Nat Brandt,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Massacre in Shansi </w:t>
      </w:r>
      <w:r w:rsidRPr="002F655F">
        <w:rPr>
          <w:rFonts w:ascii="Arial" w:hAnsi="Arial" w:cs="Arial"/>
          <w:sz w:val="20"/>
          <w:szCs w:val="20"/>
          <w:lang w:eastAsia="en-US"/>
        </w:rPr>
        <w:t>(Syracuse, 1999).</w:t>
      </w:r>
    </w:p>
    <w:p w14:paraId="0F65174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Victor Purcell,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Boxer Uprising: A Background Study 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(Cambridge, 1963). </w:t>
      </w:r>
    </w:p>
    <w:p w14:paraId="3439CE5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Peter Fleming,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 xml:space="preserve">The Siege at Peking </w:t>
      </w:r>
      <w:r w:rsidRPr="002F655F">
        <w:rPr>
          <w:rFonts w:ascii="Arial" w:hAnsi="Arial" w:cs="Arial"/>
          <w:sz w:val="20"/>
          <w:szCs w:val="20"/>
          <w:lang w:eastAsia="en-US"/>
        </w:rPr>
        <w:t>(London, 1959).</w:t>
      </w:r>
    </w:p>
    <w:p w14:paraId="28AD9C26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Paul Cohen, ‘The Contested Past: </w:t>
      </w:r>
      <w:proofErr w:type="gramStart"/>
      <w:r w:rsidRPr="002F655F">
        <w:rPr>
          <w:rFonts w:ascii="Arial" w:hAnsi="Arial" w:cs="Arial"/>
          <w:sz w:val="20"/>
          <w:szCs w:val="20"/>
          <w:lang w:eastAsia="en-US"/>
        </w:rPr>
        <w:t>the</w:t>
      </w:r>
      <w:proofErr w:type="gramEnd"/>
      <w:r w:rsidRPr="002F655F">
        <w:rPr>
          <w:rFonts w:ascii="Arial" w:hAnsi="Arial" w:cs="Arial"/>
          <w:sz w:val="20"/>
          <w:szCs w:val="20"/>
          <w:lang w:eastAsia="en-US"/>
        </w:rPr>
        <w:t xml:space="preserve"> Boxers as History and Myth,’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Journal of Asian Studies</w:t>
      </w:r>
      <w:r w:rsidRPr="002F655F">
        <w:rPr>
          <w:rFonts w:ascii="Arial" w:hAnsi="Arial" w:cs="Arial"/>
          <w:sz w:val="20"/>
          <w:szCs w:val="20"/>
          <w:lang w:eastAsia="en-US"/>
        </w:rPr>
        <w:t>, 51 (1992), 82-113.</w:t>
      </w:r>
    </w:p>
    <w:p w14:paraId="274C2EA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Jane Elliott, ‘Who Seeks the Truth Should Be of No Country: The British and American Press Report the Boxer Rebellion, June 1900,’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American Journalism</w:t>
      </w:r>
      <w:r w:rsidRPr="002F655F">
        <w:rPr>
          <w:rFonts w:ascii="Arial" w:hAnsi="Arial" w:cs="Arial"/>
          <w:sz w:val="20"/>
          <w:szCs w:val="20"/>
          <w:lang w:eastAsia="en-US"/>
        </w:rPr>
        <w:t>, 13.3 (1996), 255-85.</w:t>
      </w:r>
    </w:p>
    <w:p w14:paraId="30A6962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Michael H. Hunt, ‘The Forgotten Occupation: Peking, 1900–1901,’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Pacific Historical Review</w:t>
      </w:r>
      <w:r w:rsidRPr="002F655F">
        <w:rPr>
          <w:rFonts w:ascii="Arial" w:hAnsi="Arial" w:cs="Arial"/>
          <w:sz w:val="20"/>
          <w:szCs w:val="20"/>
          <w:lang w:eastAsia="en-US"/>
        </w:rPr>
        <w:t>, 48 (1979), 501–29.</w:t>
      </w:r>
    </w:p>
    <w:p w14:paraId="01DA6B8D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Diana Preston, ‘The Boxer Rising,’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Asian Affairs</w:t>
      </w:r>
      <w:r w:rsidRPr="002F655F">
        <w:rPr>
          <w:rFonts w:ascii="Arial" w:hAnsi="Arial" w:cs="Arial"/>
          <w:sz w:val="20"/>
          <w:szCs w:val="20"/>
          <w:lang w:eastAsia="en-US"/>
        </w:rPr>
        <w:t>, 31 (2000), 26-36.</w:t>
      </w:r>
    </w:p>
    <w:p w14:paraId="335CA17E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G. Tiedemann, ‘Boxers, Christians and the Culture of Violence in North China,’ </w:t>
      </w:r>
      <w:r w:rsidRPr="002F655F">
        <w:rPr>
          <w:rFonts w:ascii="Arial" w:hAnsi="Arial" w:cs="Arial"/>
          <w:i/>
          <w:iCs/>
          <w:sz w:val="20"/>
          <w:szCs w:val="20"/>
          <w:lang w:eastAsia="en-US"/>
        </w:rPr>
        <w:t>Journal of Peasant Studies</w:t>
      </w:r>
      <w:r w:rsidRPr="002F655F">
        <w:rPr>
          <w:rFonts w:ascii="Arial" w:hAnsi="Arial" w:cs="Arial"/>
          <w:sz w:val="20"/>
          <w:szCs w:val="20"/>
          <w:lang w:eastAsia="en-US"/>
        </w:rPr>
        <w:t>, 25 (1998), 150-60.</w:t>
      </w:r>
    </w:p>
    <w:p w14:paraId="03AC2B22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</w:t>
      </w:r>
      <w:r w:rsidRPr="002F655F">
        <w:rPr>
          <w:rFonts w:ascii="Arial" w:hAnsi="Arial" w:cs="Arial"/>
          <w:sz w:val="20"/>
          <w:szCs w:val="20"/>
          <w:lang w:eastAsia="en-US"/>
        </w:rPr>
        <w:t>. What were the major factors contributing to the outbreak of the Turkish genocide against the minority Armenian population? How and why was the context of World War One significant?</w:t>
      </w:r>
    </w:p>
    <w:p w14:paraId="7EFF5EFC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>1</w:t>
      </w:r>
      <w:r>
        <w:rPr>
          <w:rFonts w:ascii="Arial" w:hAnsi="Arial" w:cs="Arial"/>
          <w:sz w:val="20"/>
          <w:szCs w:val="20"/>
          <w:lang w:eastAsia="en-US"/>
        </w:rPr>
        <w:t>0</w:t>
      </w:r>
      <w:r w:rsidRPr="002F655F">
        <w:rPr>
          <w:rFonts w:ascii="Arial" w:hAnsi="Arial" w:cs="Arial"/>
          <w:sz w:val="20"/>
          <w:szCs w:val="20"/>
          <w:lang w:eastAsia="en-US"/>
        </w:rPr>
        <w:t>. Why was Palestine partitioned? What were the immediate consequences and why?</w:t>
      </w:r>
    </w:p>
    <w:p w14:paraId="25EBED1F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>1</w:t>
      </w:r>
      <w:r>
        <w:rPr>
          <w:rFonts w:ascii="Arial" w:hAnsi="Arial" w:cs="Arial"/>
          <w:sz w:val="20"/>
          <w:szCs w:val="20"/>
          <w:lang w:eastAsia="en-US"/>
        </w:rPr>
        <w:t>1</w:t>
      </w:r>
      <w:r w:rsidRPr="002F655F">
        <w:rPr>
          <w:rFonts w:ascii="Arial" w:hAnsi="Arial" w:cs="Arial"/>
          <w:sz w:val="20"/>
          <w:szCs w:val="20"/>
          <w:lang w:eastAsia="en-US"/>
        </w:rPr>
        <w:t>. To what extent did the Vietnamese, both North and South, see America’s Vietnam War as a new form of external oppression not unlike French imperialism?</w:t>
      </w:r>
    </w:p>
    <w:p w14:paraId="66F4969A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i/>
          <w:sz w:val="20"/>
          <w:szCs w:val="20"/>
          <w:lang w:val="en-US"/>
        </w:rPr>
      </w:pPr>
      <w:r w:rsidRPr="002F655F">
        <w:rPr>
          <w:rFonts w:ascii="Arial" w:hAnsi="Arial" w:cs="Arial"/>
          <w:i/>
          <w:sz w:val="20"/>
          <w:szCs w:val="20"/>
          <w:lang w:val="en-US"/>
        </w:rPr>
        <w:t>Further Readings:</w:t>
      </w:r>
    </w:p>
    <w:p w14:paraId="504271B4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Robert Aldrich, </w:t>
      </w:r>
      <w:r w:rsidRPr="002F655F">
        <w:rPr>
          <w:rFonts w:ascii="Arial" w:hAnsi="Arial" w:cs="Arial"/>
          <w:i/>
          <w:sz w:val="20"/>
          <w:szCs w:val="20"/>
          <w:lang w:val="en-US"/>
        </w:rPr>
        <w:t>Greater France: A History of French Overseas Expansion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 (Basingstoke, 1996), pp. 266-306. </w:t>
      </w:r>
    </w:p>
    <w:p w14:paraId="2010E57A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bCs/>
          <w:sz w:val="20"/>
          <w:szCs w:val="20"/>
        </w:rPr>
      </w:pPr>
      <w:r w:rsidRPr="002F655F">
        <w:rPr>
          <w:rFonts w:ascii="Arial" w:hAnsi="Arial" w:cs="Arial"/>
          <w:bCs/>
          <w:sz w:val="20"/>
          <w:szCs w:val="20"/>
        </w:rPr>
        <w:t xml:space="preserve">Geneviève De </w:t>
      </w:r>
      <w:proofErr w:type="spellStart"/>
      <w:r w:rsidRPr="002F655F">
        <w:rPr>
          <w:rFonts w:ascii="Arial" w:hAnsi="Arial" w:cs="Arial"/>
          <w:bCs/>
          <w:sz w:val="20"/>
          <w:szCs w:val="20"/>
        </w:rPr>
        <w:t>Galard</w:t>
      </w:r>
      <w:proofErr w:type="spellEnd"/>
      <w:r w:rsidRPr="002F655F">
        <w:rPr>
          <w:rFonts w:ascii="Arial" w:hAnsi="Arial" w:cs="Arial"/>
          <w:bCs/>
          <w:sz w:val="20"/>
          <w:szCs w:val="20"/>
        </w:rPr>
        <w:t xml:space="preserve">, ‘An Angel enters Hell at </w:t>
      </w:r>
      <w:proofErr w:type="spellStart"/>
      <w:r w:rsidRPr="002F655F">
        <w:rPr>
          <w:rFonts w:ascii="Arial" w:hAnsi="Arial" w:cs="Arial"/>
          <w:bCs/>
          <w:sz w:val="20"/>
          <w:szCs w:val="20"/>
        </w:rPr>
        <w:t>Dien</w:t>
      </w:r>
      <w:proofErr w:type="spellEnd"/>
      <w:r w:rsidRPr="002F655F">
        <w:rPr>
          <w:rFonts w:ascii="Arial" w:hAnsi="Arial" w:cs="Arial"/>
          <w:bCs/>
          <w:sz w:val="20"/>
          <w:szCs w:val="20"/>
        </w:rPr>
        <w:t xml:space="preserve"> Bien </w:t>
      </w:r>
      <w:proofErr w:type="spellStart"/>
      <w:r w:rsidRPr="002F655F">
        <w:rPr>
          <w:rFonts w:ascii="Arial" w:hAnsi="Arial" w:cs="Arial"/>
          <w:bCs/>
          <w:sz w:val="20"/>
          <w:szCs w:val="20"/>
        </w:rPr>
        <w:t>Phu</w:t>
      </w:r>
      <w:proofErr w:type="spellEnd"/>
      <w:r w:rsidRPr="002F655F">
        <w:rPr>
          <w:rFonts w:ascii="Arial" w:hAnsi="Arial" w:cs="Arial"/>
          <w:bCs/>
          <w:sz w:val="20"/>
          <w:szCs w:val="20"/>
        </w:rPr>
        <w:t xml:space="preserve">’, </w:t>
      </w:r>
      <w:r w:rsidRPr="002F655F">
        <w:rPr>
          <w:rFonts w:ascii="Arial" w:hAnsi="Arial" w:cs="Arial"/>
          <w:bCs/>
          <w:i/>
          <w:iCs/>
          <w:sz w:val="20"/>
          <w:szCs w:val="20"/>
        </w:rPr>
        <w:t xml:space="preserve">Vietnam </w:t>
      </w:r>
      <w:r w:rsidRPr="002F655F">
        <w:rPr>
          <w:rFonts w:ascii="Arial" w:hAnsi="Arial" w:cs="Arial"/>
          <w:bCs/>
          <w:sz w:val="20"/>
          <w:szCs w:val="20"/>
        </w:rPr>
        <w:t>23, 6, 2011: 44-49 [extract of a memoir].</w:t>
      </w:r>
    </w:p>
    <w:p w14:paraId="4340400E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bCs/>
          <w:sz w:val="20"/>
          <w:szCs w:val="20"/>
          <w:lang w:val="en-US"/>
        </w:rPr>
      </w:pPr>
      <w:r w:rsidRPr="002F655F">
        <w:rPr>
          <w:rFonts w:ascii="Arial" w:hAnsi="Arial" w:cs="Arial"/>
          <w:bCs/>
          <w:sz w:val="20"/>
          <w:szCs w:val="20"/>
          <w:lang w:val="en-US"/>
        </w:rPr>
        <w:t xml:space="preserve">Martin Thomas, ‘People’s War and the Collapse of French Indochina,’ in Martin Thomas et al (eds), </w:t>
      </w:r>
      <w:r w:rsidRPr="002F655F">
        <w:rPr>
          <w:rFonts w:ascii="Arial" w:hAnsi="Arial" w:cs="Arial"/>
          <w:bCs/>
          <w:i/>
          <w:sz w:val="20"/>
          <w:szCs w:val="20"/>
          <w:lang w:val="en-US"/>
        </w:rPr>
        <w:t xml:space="preserve">Crises of Empire: Decolonization and Europe’s Imperial States, 1918-1975 </w:t>
      </w:r>
      <w:r w:rsidRPr="002F655F">
        <w:rPr>
          <w:rFonts w:ascii="Arial" w:hAnsi="Arial" w:cs="Arial"/>
          <w:bCs/>
          <w:sz w:val="20"/>
          <w:szCs w:val="20"/>
          <w:lang w:val="en-US"/>
        </w:rPr>
        <w:t xml:space="preserve">(London: Hodder Education, 2008), pp. 182-208. </w:t>
      </w:r>
    </w:p>
    <w:p w14:paraId="12E61E8C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bCs/>
          <w:sz w:val="20"/>
          <w:szCs w:val="20"/>
        </w:rPr>
      </w:pPr>
      <w:r w:rsidRPr="002F655F">
        <w:rPr>
          <w:rFonts w:ascii="Arial" w:hAnsi="Arial" w:cs="Arial"/>
          <w:bCs/>
          <w:sz w:val="20"/>
          <w:szCs w:val="20"/>
        </w:rPr>
        <w:t>William J. Duiker, ‘</w:t>
      </w:r>
      <w:r w:rsidRPr="002F655F">
        <w:rPr>
          <w:rFonts w:ascii="Arial" w:hAnsi="Arial" w:cs="Arial"/>
          <w:sz w:val="20"/>
          <w:szCs w:val="20"/>
        </w:rPr>
        <w:t>Ho Chi Minh and the Strategy of People's War’,</w:t>
      </w:r>
      <w:r w:rsidRPr="002F655F">
        <w:rPr>
          <w:rFonts w:ascii="Arial" w:hAnsi="Arial" w:cs="Arial"/>
          <w:bCs/>
          <w:sz w:val="20"/>
          <w:szCs w:val="20"/>
        </w:rPr>
        <w:t xml:space="preserve"> in Mark Atwood Lawrence and Fredrik </w:t>
      </w:r>
      <w:proofErr w:type="spellStart"/>
      <w:r w:rsidRPr="002F655F">
        <w:rPr>
          <w:rFonts w:ascii="Arial" w:hAnsi="Arial" w:cs="Arial"/>
          <w:bCs/>
          <w:sz w:val="20"/>
          <w:szCs w:val="20"/>
        </w:rPr>
        <w:t>Logevall</w:t>
      </w:r>
      <w:proofErr w:type="spellEnd"/>
      <w:r w:rsidRPr="002F655F">
        <w:rPr>
          <w:rFonts w:ascii="Arial" w:hAnsi="Arial" w:cs="Arial"/>
          <w:bCs/>
          <w:sz w:val="20"/>
          <w:szCs w:val="20"/>
        </w:rPr>
        <w:t xml:space="preserve"> (eds), </w:t>
      </w:r>
      <w:r w:rsidRPr="002F655F">
        <w:rPr>
          <w:rFonts w:ascii="Arial" w:hAnsi="Arial" w:cs="Arial"/>
          <w:bCs/>
          <w:i/>
          <w:sz w:val="20"/>
          <w:szCs w:val="20"/>
        </w:rPr>
        <w:t xml:space="preserve">The First Vietnam War: Colonial Conflict and Cold War Crisis </w:t>
      </w:r>
      <w:r w:rsidRPr="002F655F">
        <w:rPr>
          <w:rFonts w:ascii="Arial" w:hAnsi="Arial" w:cs="Arial"/>
          <w:bCs/>
          <w:sz w:val="20"/>
          <w:szCs w:val="20"/>
        </w:rPr>
        <w:t>(Cambridge, MA., 2007), pp. 152-74.</w:t>
      </w:r>
    </w:p>
    <w:p w14:paraId="212EA2F3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Stein </w:t>
      </w:r>
      <w:proofErr w:type="spellStart"/>
      <w:r w:rsidRPr="002F655F">
        <w:rPr>
          <w:rFonts w:ascii="Arial" w:hAnsi="Arial" w:cs="Arial"/>
          <w:sz w:val="20"/>
          <w:szCs w:val="20"/>
          <w:lang w:val="en-US"/>
        </w:rPr>
        <w:t>Tonnesson</w:t>
      </w:r>
      <w:proofErr w:type="spellEnd"/>
      <w:r w:rsidRPr="002F655F">
        <w:rPr>
          <w:rFonts w:ascii="Arial" w:hAnsi="Arial" w:cs="Arial"/>
          <w:sz w:val="20"/>
          <w:szCs w:val="20"/>
          <w:lang w:val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Vietnam 1946: How the War Began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(Berkeley, 2009), 1-10. </w:t>
      </w:r>
    </w:p>
    <w:p w14:paraId="152DFFB3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bCs/>
          <w:sz w:val="20"/>
          <w:szCs w:val="20"/>
          <w:lang w:val="en-US"/>
        </w:rPr>
      </w:pPr>
      <w:r w:rsidRPr="002F655F">
        <w:rPr>
          <w:rFonts w:ascii="Arial" w:hAnsi="Arial" w:cs="Arial"/>
          <w:bCs/>
          <w:sz w:val="20"/>
          <w:szCs w:val="20"/>
          <w:lang w:val="en-US"/>
        </w:rPr>
        <w:t xml:space="preserve">George C. Herring, </w:t>
      </w:r>
      <w:r w:rsidRPr="002F655F">
        <w:rPr>
          <w:rFonts w:ascii="Arial" w:hAnsi="Arial" w:cs="Arial"/>
          <w:bCs/>
          <w:i/>
          <w:sz w:val="20"/>
          <w:szCs w:val="20"/>
          <w:lang w:val="en-US"/>
        </w:rPr>
        <w:t>America’s Longest War: The United States and Vietnam, 1950-1975</w:t>
      </w:r>
      <w:r w:rsidRPr="002F655F">
        <w:rPr>
          <w:rFonts w:ascii="Arial" w:hAnsi="Arial" w:cs="Arial"/>
          <w:bCs/>
          <w:sz w:val="20"/>
          <w:szCs w:val="20"/>
          <w:lang w:val="en-US"/>
        </w:rPr>
        <w:t xml:space="preserve"> (New York: McGraw-Hill, 1996), pp. 3-52.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Mark Atwood Lawrence, ‘Explaining the Early Decisions; The United States and the French War, 1945-1954,’ in Mark Philip Bradley (ed.),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Making Sense of the Vietnam Wars: Local, National, and Transnational Perspectives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(Oxford, 2008), 23-44. </w:t>
      </w:r>
    </w:p>
    <w:p w14:paraId="20B72B14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lastRenderedPageBreak/>
        <w:t xml:space="preserve">Martin Shipway,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The Road to War: France and Vietnam, 1944-1947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(Oxford, 2003). </w:t>
      </w:r>
    </w:p>
    <w:p w14:paraId="2DFC68D2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Kevin Ruane,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War and Revolution in Vietnam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(London, 1998), 19-26. </w:t>
      </w:r>
    </w:p>
    <w:p w14:paraId="474E0FDD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Mark Atwood Lawrence,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Assuming the Burden: Europe and the American Commitment to Vietnam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(Berkeley, 2005). </w:t>
      </w:r>
    </w:p>
    <w:p w14:paraId="18C36761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Robert D. </w:t>
      </w:r>
      <w:proofErr w:type="spellStart"/>
      <w:r w:rsidRPr="002F655F">
        <w:rPr>
          <w:rFonts w:ascii="Arial" w:hAnsi="Arial" w:cs="Arial"/>
          <w:sz w:val="20"/>
          <w:szCs w:val="20"/>
          <w:lang w:val="en-US"/>
        </w:rPr>
        <w:t>Schulzinger</w:t>
      </w:r>
      <w:proofErr w:type="spellEnd"/>
      <w:r w:rsidRPr="002F655F">
        <w:rPr>
          <w:rFonts w:ascii="Arial" w:hAnsi="Arial" w:cs="Arial"/>
          <w:sz w:val="20"/>
          <w:szCs w:val="20"/>
          <w:lang w:val="en-US"/>
        </w:rPr>
        <w:t xml:space="preserve">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A Time for War: The United States and Vietnam, 1941-1975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(New York, 1997), </w:t>
      </w:r>
      <w:proofErr w:type="spellStart"/>
      <w:r w:rsidRPr="002F655F">
        <w:rPr>
          <w:rFonts w:ascii="Arial" w:hAnsi="Arial" w:cs="Arial"/>
          <w:sz w:val="20"/>
          <w:szCs w:val="20"/>
          <w:lang w:val="en-US"/>
        </w:rPr>
        <w:t>chs</w:t>
      </w:r>
      <w:proofErr w:type="spellEnd"/>
      <w:r w:rsidRPr="002F655F">
        <w:rPr>
          <w:rFonts w:ascii="Arial" w:hAnsi="Arial" w:cs="Arial"/>
          <w:sz w:val="20"/>
          <w:szCs w:val="20"/>
          <w:lang w:val="en-US"/>
        </w:rPr>
        <w:t xml:space="preserve">. 1-2. </w:t>
      </w:r>
    </w:p>
    <w:p w14:paraId="1B61C2C4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Mark Atwood Lawrence and Fredrik </w:t>
      </w:r>
      <w:proofErr w:type="spellStart"/>
      <w:r w:rsidRPr="002F655F">
        <w:rPr>
          <w:rFonts w:ascii="Arial" w:hAnsi="Arial" w:cs="Arial"/>
          <w:sz w:val="20"/>
          <w:szCs w:val="20"/>
          <w:lang w:val="en-US"/>
        </w:rPr>
        <w:t>Logevall</w:t>
      </w:r>
      <w:proofErr w:type="spellEnd"/>
      <w:r w:rsidRPr="002F655F">
        <w:rPr>
          <w:rFonts w:ascii="Arial" w:hAnsi="Arial" w:cs="Arial"/>
          <w:sz w:val="20"/>
          <w:szCs w:val="20"/>
          <w:lang w:val="en-US"/>
        </w:rPr>
        <w:t xml:space="preserve"> (eds),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The First Vietnam War: Colonial Conflict and Cold War Crisis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(Cambridge, Mass., 2007). </w:t>
      </w:r>
    </w:p>
    <w:p w14:paraId="10799A78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David G. Marr,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Vietnam, 1945: The Quest for Power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(Berkeley, 1995). </w:t>
      </w:r>
    </w:p>
    <w:p w14:paraId="2427A917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Martin Windrow,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The Last Valley: </w:t>
      </w:r>
      <w:proofErr w:type="spellStart"/>
      <w:r w:rsidRPr="002F655F">
        <w:rPr>
          <w:rFonts w:ascii="Arial" w:hAnsi="Arial" w:cs="Arial"/>
          <w:i/>
          <w:iCs/>
          <w:sz w:val="20"/>
          <w:szCs w:val="20"/>
          <w:lang w:val="en-US"/>
        </w:rPr>
        <w:t>Dien</w:t>
      </w:r>
      <w:proofErr w:type="spellEnd"/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 Bien </w:t>
      </w:r>
      <w:proofErr w:type="spellStart"/>
      <w:r w:rsidRPr="002F655F">
        <w:rPr>
          <w:rFonts w:ascii="Arial" w:hAnsi="Arial" w:cs="Arial"/>
          <w:i/>
          <w:iCs/>
          <w:sz w:val="20"/>
          <w:szCs w:val="20"/>
          <w:lang w:val="en-US"/>
        </w:rPr>
        <w:t>Phu</w:t>
      </w:r>
      <w:proofErr w:type="spellEnd"/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 and the French Defeat in Vietnam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(London, 2004). </w:t>
      </w:r>
    </w:p>
    <w:p w14:paraId="208E9360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Ted Morgan,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Valley of Death: The Tragedy at </w:t>
      </w:r>
      <w:proofErr w:type="spellStart"/>
      <w:r w:rsidRPr="002F655F">
        <w:rPr>
          <w:rFonts w:ascii="Arial" w:hAnsi="Arial" w:cs="Arial"/>
          <w:i/>
          <w:iCs/>
          <w:sz w:val="20"/>
          <w:szCs w:val="20"/>
          <w:lang w:val="en-US"/>
        </w:rPr>
        <w:t>Dien</w:t>
      </w:r>
      <w:proofErr w:type="spellEnd"/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 Bien </w:t>
      </w:r>
      <w:proofErr w:type="spellStart"/>
      <w:r w:rsidRPr="002F655F">
        <w:rPr>
          <w:rFonts w:ascii="Arial" w:hAnsi="Arial" w:cs="Arial"/>
          <w:i/>
          <w:iCs/>
          <w:sz w:val="20"/>
          <w:szCs w:val="20"/>
          <w:lang w:val="en-US"/>
        </w:rPr>
        <w:t>Phu</w:t>
      </w:r>
      <w:proofErr w:type="spellEnd"/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 That Led America into the Vietnam War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(New York, 2010). </w:t>
      </w:r>
    </w:p>
    <w:p w14:paraId="18B8904F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 xml:space="preserve">Lloyd Gardner,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Approaching Vietnam: From World War II through </w:t>
      </w:r>
      <w:proofErr w:type="spellStart"/>
      <w:r w:rsidRPr="002F655F">
        <w:rPr>
          <w:rFonts w:ascii="Arial" w:hAnsi="Arial" w:cs="Arial"/>
          <w:i/>
          <w:iCs/>
          <w:sz w:val="20"/>
          <w:szCs w:val="20"/>
          <w:lang w:val="en-US"/>
        </w:rPr>
        <w:t>Dienbienphu</w:t>
      </w:r>
      <w:proofErr w:type="spellEnd"/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(New York, 1989). </w:t>
      </w:r>
    </w:p>
    <w:p w14:paraId="7B84F6A5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before="120" w:after="12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2F655F">
        <w:rPr>
          <w:rFonts w:ascii="Arial" w:hAnsi="Arial" w:cs="Arial"/>
          <w:sz w:val="20"/>
          <w:szCs w:val="20"/>
          <w:lang w:val="en-US"/>
        </w:rPr>
        <w:t>Nikki Cooper, ‘</w:t>
      </w:r>
      <w:proofErr w:type="spellStart"/>
      <w:r w:rsidRPr="002F655F">
        <w:rPr>
          <w:rFonts w:ascii="Arial" w:hAnsi="Arial" w:cs="Arial"/>
          <w:sz w:val="20"/>
          <w:szCs w:val="20"/>
          <w:lang w:val="en-US"/>
        </w:rPr>
        <w:t>Dien</w:t>
      </w:r>
      <w:proofErr w:type="spellEnd"/>
      <w:r w:rsidRPr="002F655F">
        <w:rPr>
          <w:rFonts w:ascii="Arial" w:hAnsi="Arial" w:cs="Arial"/>
          <w:sz w:val="20"/>
          <w:szCs w:val="20"/>
          <w:lang w:val="en-US"/>
        </w:rPr>
        <w:t xml:space="preserve"> Bien </w:t>
      </w:r>
      <w:proofErr w:type="spellStart"/>
      <w:r w:rsidRPr="002F655F">
        <w:rPr>
          <w:rFonts w:ascii="Arial" w:hAnsi="Arial" w:cs="Arial"/>
          <w:sz w:val="20"/>
          <w:szCs w:val="20"/>
          <w:lang w:val="en-US"/>
        </w:rPr>
        <w:t>Phu</w:t>
      </w:r>
      <w:proofErr w:type="spellEnd"/>
      <w:r w:rsidRPr="002F655F">
        <w:rPr>
          <w:rFonts w:ascii="Arial" w:hAnsi="Arial" w:cs="Arial"/>
          <w:sz w:val="20"/>
          <w:szCs w:val="20"/>
          <w:lang w:val="en-US"/>
        </w:rPr>
        <w:t xml:space="preserve"> – fifty years on’, </w:t>
      </w:r>
      <w:r w:rsidRPr="002F655F">
        <w:rPr>
          <w:rFonts w:ascii="Arial" w:hAnsi="Arial" w:cs="Arial"/>
          <w:i/>
          <w:iCs/>
          <w:sz w:val="20"/>
          <w:szCs w:val="20"/>
          <w:lang w:val="en-US"/>
        </w:rPr>
        <w:t xml:space="preserve">Modern &amp; Contemporary </w:t>
      </w:r>
      <w:r w:rsidRPr="002F655F">
        <w:rPr>
          <w:rFonts w:ascii="Arial" w:hAnsi="Arial" w:cs="Arial"/>
          <w:sz w:val="20"/>
          <w:szCs w:val="20"/>
          <w:lang w:val="en-US"/>
        </w:rPr>
        <w:t xml:space="preserve">France, Vol. 12, No. 4, 2004, pp. 445–57. </w:t>
      </w:r>
    </w:p>
    <w:p w14:paraId="36F710E0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>1</w:t>
      </w:r>
      <w:r>
        <w:rPr>
          <w:rFonts w:ascii="Arial" w:hAnsi="Arial" w:cs="Arial"/>
          <w:sz w:val="20"/>
          <w:szCs w:val="20"/>
          <w:lang w:val="en-US" w:eastAsia="en-US"/>
        </w:rPr>
        <w:t>2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. </w:t>
      </w:r>
      <w:r w:rsidRPr="002F655F">
        <w:rPr>
          <w:rFonts w:ascii="Arial" w:hAnsi="Arial" w:cs="Arial"/>
          <w:sz w:val="20"/>
          <w:szCs w:val="20"/>
          <w:lang w:eastAsia="en-US"/>
        </w:rPr>
        <w:t>How has decolonisation of French imperial possessions been remembered in France?</w:t>
      </w:r>
    </w:p>
    <w:p w14:paraId="3F4F41CF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>1</w:t>
      </w:r>
      <w:r>
        <w:rPr>
          <w:rFonts w:ascii="Arial" w:hAnsi="Arial" w:cs="Arial"/>
          <w:sz w:val="20"/>
          <w:szCs w:val="20"/>
          <w:lang w:eastAsia="en-US"/>
        </w:rPr>
        <w:t>3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. Focusing on </w:t>
      </w:r>
      <w:r w:rsidRPr="002F655F">
        <w:rPr>
          <w:rFonts w:ascii="Arial" w:hAnsi="Arial" w:cs="Arial"/>
          <w:sz w:val="20"/>
          <w:szCs w:val="20"/>
          <w:lang w:val="en-US" w:eastAsia="en-US"/>
        </w:rPr>
        <w:t>Africa in the later nineteenth century, was colonialism fundamentally genocidal?</w:t>
      </w:r>
    </w:p>
    <w:p w14:paraId="5E9C7345" w14:textId="77777777" w:rsidR="003705A8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>1</w:t>
      </w:r>
      <w:r>
        <w:rPr>
          <w:rFonts w:ascii="Arial" w:hAnsi="Arial" w:cs="Arial"/>
          <w:sz w:val="20"/>
          <w:szCs w:val="20"/>
          <w:lang w:eastAsia="en-US"/>
        </w:rPr>
        <w:t>4</w:t>
      </w:r>
      <w:r w:rsidRPr="002F655F">
        <w:rPr>
          <w:rFonts w:ascii="Arial" w:hAnsi="Arial" w:cs="Arial"/>
          <w:sz w:val="20"/>
          <w:szCs w:val="20"/>
          <w:lang w:eastAsia="en-US"/>
        </w:rPr>
        <w:t>. What led to the South African (or Boer War) of 1899 to 1902? How did the war affect Indigenous Africans? Discuss the use of concentration camps in this war.</w:t>
      </w:r>
    </w:p>
    <w:p w14:paraId="32FF0C70" w14:textId="77777777" w:rsidR="003705A8" w:rsidRPr="00994B73" w:rsidRDefault="003705A8" w:rsidP="003705A8">
      <w:pPr>
        <w:ind w:left="284"/>
        <w:rPr>
          <w:rFonts w:ascii="Arial" w:hAnsi="Arial" w:cs="Arial"/>
          <w:sz w:val="20"/>
          <w:szCs w:val="20"/>
        </w:rPr>
      </w:pPr>
      <w:proofErr w:type="spellStart"/>
      <w:r w:rsidRPr="00994B73">
        <w:rPr>
          <w:rFonts w:ascii="Arial" w:hAnsi="Arial" w:cs="Arial"/>
          <w:sz w:val="20"/>
          <w:szCs w:val="20"/>
        </w:rPr>
        <w:t>Benneyworth</w:t>
      </w:r>
      <w:proofErr w:type="spellEnd"/>
      <w:r w:rsidRPr="00994B73">
        <w:rPr>
          <w:rFonts w:ascii="Arial" w:hAnsi="Arial" w:cs="Arial"/>
          <w:sz w:val="20"/>
          <w:szCs w:val="20"/>
        </w:rPr>
        <w:t xml:space="preserve">, Garth Conan. "Land, Labour, War and </w:t>
      </w:r>
      <w:proofErr w:type="gramStart"/>
      <w:r w:rsidRPr="00994B73">
        <w:rPr>
          <w:rFonts w:ascii="Arial" w:hAnsi="Arial" w:cs="Arial"/>
          <w:sz w:val="20"/>
          <w:szCs w:val="20"/>
        </w:rPr>
        <w:t>Displacement :</w:t>
      </w:r>
      <w:proofErr w:type="gramEnd"/>
      <w:r w:rsidRPr="00994B73">
        <w:rPr>
          <w:rFonts w:ascii="Arial" w:hAnsi="Arial" w:cs="Arial"/>
          <w:sz w:val="20"/>
          <w:szCs w:val="20"/>
        </w:rPr>
        <w:t xml:space="preserve"> A History of Four Black Concentration Camps in the South African War (1899</w:t>
      </w:r>
      <w:r w:rsidRPr="00994B73">
        <w:rPr>
          <w:rFonts w:ascii="Cambria Math" w:hAnsi="Cambria Math" w:cs="Cambria Math"/>
          <w:sz w:val="20"/>
          <w:szCs w:val="20"/>
        </w:rPr>
        <w:t>‐</w:t>
      </w:r>
      <w:r w:rsidRPr="00994B73">
        <w:rPr>
          <w:rFonts w:ascii="Arial" w:hAnsi="Arial" w:cs="Arial"/>
          <w:sz w:val="20"/>
          <w:szCs w:val="20"/>
        </w:rPr>
        <w:t xml:space="preserve">1902)." </w:t>
      </w:r>
      <w:r w:rsidRPr="00994B73">
        <w:rPr>
          <w:rFonts w:ascii="Arial" w:hAnsi="Arial" w:cs="Arial"/>
          <w:i/>
          <w:iCs/>
          <w:sz w:val="20"/>
          <w:szCs w:val="20"/>
        </w:rPr>
        <w:t>Historia (Three Rivers)</w:t>
      </w:r>
      <w:r w:rsidRPr="00994B73">
        <w:rPr>
          <w:rFonts w:ascii="Arial" w:hAnsi="Arial" w:cs="Arial"/>
          <w:sz w:val="20"/>
          <w:szCs w:val="20"/>
        </w:rPr>
        <w:t xml:space="preserve"> 64, no. 2 (2019): 1-20.</w:t>
      </w:r>
    </w:p>
    <w:p w14:paraId="7D8CED84" w14:textId="77777777" w:rsidR="003705A8" w:rsidRPr="00994B73" w:rsidRDefault="003705A8" w:rsidP="003705A8">
      <w:pPr>
        <w:ind w:left="284"/>
        <w:rPr>
          <w:rFonts w:ascii="Arial" w:hAnsi="Arial" w:cs="Arial"/>
          <w:sz w:val="20"/>
          <w:szCs w:val="20"/>
        </w:rPr>
      </w:pPr>
      <w:r w:rsidRPr="00994B73">
        <w:rPr>
          <w:rFonts w:ascii="Arial" w:hAnsi="Arial" w:cs="Arial"/>
          <w:sz w:val="20"/>
          <w:szCs w:val="20"/>
        </w:rPr>
        <w:t>Gooch, John.</w:t>
      </w:r>
      <w:r w:rsidRPr="00994B73">
        <w:rPr>
          <w:rFonts w:ascii="Arial" w:hAnsi="Arial" w:cs="Arial"/>
          <w:i/>
          <w:iCs/>
          <w:sz w:val="20"/>
          <w:szCs w:val="20"/>
        </w:rPr>
        <w:t xml:space="preserve"> The Boer War: Direction, </w:t>
      </w:r>
      <w:proofErr w:type="gramStart"/>
      <w:r w:rsidRPr="00994B73">
        <w:rPr>
          <w:rFonts w:ascii="Arial" w:hAnsi="Arial" w:cs="Arial"/>
          <w:i/>
          <w:iCs/>
          <w:sz w:val="20"/>
          <w:szCs w:val="20"/>
        </w:rPr>
        <w:t>Experience</w:t>
      </w:r>
      <w:proofErr w:type="gramEnd"/>
      <w:r w:rsidRPr="00994B73">
        <w:rPr>
          <w:rFonts w:ascii="Arial" w:hAnsi="Arial" w:cs="Arial"/>
          <w:i/>
          <w:iCs/>
          <w:sz w:val="20"/>
          <w:szCs w:val="20"/>
        </w:rPr>
        <w:t xml:space="preserve"> and Image</w:t>
      </w:r>
      <w:r w:rsidRPr="00994B73">
        <w:rPr>
          <w:rFonts w:ascii="Arial" w:hAnsi="Arial" w:cs="Arial"/>
          <w:sz w:val="20"/>
          <w:szCs w:val="20"/>
        </w:rPr>
        <w:t>. 1st ed. Vol. 7. London: Routledge, 2000.</w:t>
      </w:r>
    </w:p>
    <w:p w14:paraId="2280D013" w14:textId="77777777" w:rsidR="003705A8" w:rsidRPr="00994B73" w:rsidRDefault="003705A8" w:rsidP="003705A8">
      <w:pPr>
        <w:ind w:left="284"/>
        <w:rPr>
          <w:rFonts w:ascii="Arial" w:hAnsi="Arial" w:cs="Arial"/>
          <w:sz w:val="20"/>
          <w:szCs w:val="20"/>
        </w:rPr>
      </w:pPr>
      <w:r w:rsidRPr="00994B73">
        <w:rPr>
          <w:rFonts w:ascii="Arial" w:hAnsi="Arial" w:cs="Arial"/>
          <w:sz w:val="20"/>
          <w:szCs w:val="20"/>
        </w:rPr>
        <w:t xml:space="preserve">Judd, Denis, Keith </w:t>
      </w:r>
      <w:proofErr w:type="spellStart"/>
      <w:r w:rsidRPr="00994B73">
        <w:rPr>
          <w:rFonts w:ascii="Arial" w:hAnsi="Arial" w:cs="Arial"/>
          <w:sz w:val="20"/>
          <w:szCs w:val="20"/>
        </w:rPr>
        <w:t>Surridge</w:t>
      </w:r>
      <w:proofErr w:type="spellEnd"/>
      <w:r w:rsidRPr="00994B73">
        <w:rPr>
          <w:rFonts w:ascii="Arial" w:hAnsi="Arial" w:cs="Arial"/>
          <w:sz w:val="20"/>
          <w:szCs w:val="20"/>
        </w:rPr>
        <w:t>.</w:t>
      </w:r>
      <w:r w:rsidRPr="00994B73">
        <w:rPr>
          <w:rFonts w:ascii="Arial" w:hAnsi="Arial" w:cs="Arial"/>
          <w:i/>
          <w:iCs/>
          <w:sz w:val="20"/>
          <w:szCs w:val="20"/>
        </w:rPr>
        <w:t xml:space="preserve"> Boer War: A History</w:t>
      </w:r>
      <w:r w:rsidRPr="00994B73">
        <w:rPr>
          <w:rFonts w:ascii="Arial" w:hAnsi="Arial" w:cs="Arial"/>
          <w:sz w:val="20"/>
          <w:szCs w:val="20"/>
        </w:rPr>
        <w:t>. 1st ed. London: I. B. Tauris &amp; Company, Limited, 2013.</w:t>
      </w:r>
    </w:p>
    <w:p w14:paraId="42BB2AC4" w14:textId="77777777" w:rsidR="003705A8" w:rsidRPr="00994B73" w:rsidRDefault="003705A8" w:rsidP="003705A8">
      <w:pPr>
        <w:ind w:left="284"/>
        <w:rPr>
          <w:rFonts w:ascii="Arial" w:hAnsi="Arial" w:cs="Arial"/>
          <w:sz w:val="20"/>
          <w:szCs w:val="20"/>
        </w:rPr>
      </w:pPr>
      <w:r w:rsidRPr="00994B73">
        <w:rPr>
          <w:rFonts w:ascii="Arial" w:hAnsi="Arial" w:cs="Arial"/>
          <w:sz w:val="20"/>
          <w:szCs w:val="20"/>
        </w:rPr>
        <w:t>Stone, Dan.</w:t>
      </w:r>
      <w:r w:rsidRPr="00994B73">
        <w:rPr>
          <w:rFonts w:ascii="Arial" w:hAnsi="Arial" w:cs="Arial"/>
          <w:i/>
          <w:iCs/>
          <w:sz w:val="20"/>
          <w:szCs w:val="20"/>
        </w:rPr>
        <w:t xml:space="preserve"> Concentration Camps: A Short History</w:t>
      </w:r>
      <w:r w:rsidRPr="00994B73">
        <w:rPr>
          <w:rFonts w:ascii="Arial" w:hAnsi="Arial" w:cs="Arial"/>
          <w:sz w:val="20"/>
          <w:szCs w:val="20"/>
        </w:rPr>
        <w:t>. First ed. Oxford: Oxford University Press, 2017.</w:t>
      </w:r>
    </w:p>
    <w:p w14:paraId="21646E15" w14:textId="77777777" w:rsidR="003705A8" w:rsidRPr="00994B73" w:rsidRDefault="003705A8" w:rsidP="003705A8">
      <w:pPr>
        <w:ind w:left="284"/>
        <w:rPr>
          <w:rFonts w:ascii="Arial" w:hAnsi="Arial" w:cs="Arial"/>
          <w:sz w:val="20"/>
          <w:szCs w:val="20"/>
        </w:rPr>
      </w:pPr>
      <w:r w:rsidRPr="00994B73">
        <w:rPr>
          <w:rFonts w:ascii="Arial" w:hAnsi="Arial" w:cs="Arial"/>
          <w:sz w:val="20"/>
          <w:szCs w:val="20"/>
        </w:rPr>
        <w:t xml:space="preserve">Van Heyningen, Elizabeth. "The Concentration Camps of the South African (Anglo-Boer) War, 1900-1902." </w:t>
      </w:r>
      <w:r w:rsidRPr="00994B73">
        <w:rPr>
          <w:rFonts w:ascii="Arial" w:hAnsi="Arial" w:cs="Arial"/>
          <w:i/>
          <w:iCs/>
          <w:sz w:val="20"/>
          <w:szCs w:val="20"/>
        </w:rPr>
        <w:t>History Compass</w:t>
      </w:r>
      <w:r w:rsidRPr="00994B73">
        <w:rPr>
          <w:rFonts w:ascii="Arial" w:hAnsi="Arial" w:cs="Arial"/>
          <w:sz w:val="20"/>
          <w:szCs w:val="20"/>
        </w:rPr>
        <w:t xml:space="preserve"> 7, no. 1 (2009): 22-43.</w:t>
      </w:r>
    </w:p>
    <w:p w14:paraId="24DFDD0B" w14:textId="77777777" w:rsidR="003705A8" w:rsidRPr="00994B73" w:rsidRDefault="003705A8" w:rsidP="003705A8">
      <w:pPr>
        <w:ind w:left="284"/>
        <w:rPr>
          <w:rFonts w:ascii="Arial" w:hAnsi="Arial" w:cs="Arial"/>
          <w:sz w:val="20"/>
          <w:szCs w:val="20"/>
        </w:rPr>
      </w:pPr>
      <w:r w:rsidRPr="00994B73">
        <w:rPr>
          <w:rFonts w:ascii="Arial" w:hAnsi="Arial" w:cs="Arial"/>
          <w:sz w:val="20"/>
          <w:szCs w:val="20"/>
        </w:rPr>
        <w:t xml:space="preserve">Van Heyningen, Elizabeth. "A Tool for Modernisation? the Boer Concentration Camps of the South African War, 1900–1902." </w:t>
      </w:r>
      <w:r w:rsidRPr="00994B73">
        <w:rPr>
          <w:rFonts w:ascii="Arial" w:hAnsi="Arial" w:cs="Arial"/>
          <w:i/>
          <w:iCs/>
          <w:sz w:val="20"/>
          <w:szCs w:val="20"/>
        </w:rPr>
        <w:t>South African Journal of Science</w:t>
      </w:r>
      <w:r w:rsidRPr="00994B73">
        <w:rPr>
          <w:rFonts w:ascii="Arial" w:hAnsi="Arial" w:cs="Arial"/>
          <w:sz w:val="20"/>
          <w:szCs w:val="20"/>
        </w:rPr>
        <w:t xml:space="preserve"> 106, no. 5/6 (2010).</w:t>
      </w:r>
    </w:p>
    <w:p w14:paraId="3B2FB86D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eastAsia="en-US"/>
        </w:rPr>
      </w:pPr>
    </w:p>
    <w:p w14:paraId="30C307BD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>15. Why do people commit suicide attacks? Are they fundamentally motivated by religious or political reasons?</w:t>
      </w:r>
    </w:p>
    <w:p w14:paraId="450CA4D8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>Randall D. Law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, Terrorism: A History (</w:t>
      </w:r>
      <w:r w:rsidRPr="002F655F">
        <w:rPr>
          <w:rFonts w:ascii="Arial" w:hAnsi="Arial" w:cs="Arial"/>
          <w:sz w:val="20"/>
          <w:szCs w:val="20"/>
          <w:lang w:val="en-US" w:eastAsia="en-US"/>
        </w:rPr>
        <w:t>Polity Press, 2009).</w:t>
      </w:r>
    </w:p>
    <w:p w14:paraId="111CBB6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Charles Townsend,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 xml:space="preserve">Terrorism: A Very Short Introduction 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(Oxford University Press, 2002). Brigitte L.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Nacos</w:t>
      </w:r>
      <w:proofErr w:type="spellEnd"/>
      <w:r w:rsidRPr="002F655F">
        <w:rPr>
          <w:rFonts w:ascii="Arial" w:hAnsi="Arial" w:cs="Arial"/>
          <w:i/>
          <w:sz w:val="20"/>
          <w:szCs w:val="20"/>
          <w:lang w:val="en-US" w:eastAsia="en-US"/>
        </w:rPr>
        <w:t>, Terrorism and Counterterrorism (</w:t>
      </w:r>
      <w:r w:rsidRPr="002F655F">
        <w:rPr>
          <w:rFonts w:ascii="Arial" w:hAnsi="Arial" w:cs="Arial"/>
          <w:sz w:val="20"/>
          <w:szCs w:val="20"/>
          <w:lang w:val="en-US" w:eastAsia="en-US"/>
        </w:rPr>
        <w:t>Penguin Academics, Fourth Edition, 2011).</w:t>
      </w:r>
    </w:p>
    <w:p w14:paraId="164D219A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Richard Jackson and Samuel Justin Sinclair (eds.)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 xml:space="preserve">Contemporary Debates on Terrorism </w:t>
      </w:r>
      <w:r w:rsidRPr="002F655F">
        <w:rPr>
          <w:rFonts w:ascii="Arial" w:hAnsi="Arial" w:cs="Arial"/>
          <w:sz w:val="20"/>
          <w:szCs w:val="20"/>
          <w:lang w:val="en-US" w:eastAsia="en-US"/>
        </w:rPr>
        <w:t>(Routledge, 2012).</w:t>
      </w:r>
    </w:p>
    <w:p w14:paraId="280ECE9D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Gérard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Chaliand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and Arnaud Blin (eds),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 xml:space="preserve">The History of Terrorism: From Antiquity to Al Qaeda </w:t>
      </w:r>
      <w:r w:rsidRPr="002F655F">
        <w:rPr>
          <w:rFonts w:ascii="Arial" w:hAnsi="Arial" w:cs="Arial"/>
          <w:sz w:val="20"/>
          <w:szCs w:val="20"/>
          <w:lang w:val="en-US" w:eastAsia="en-US"/>
        </w:rPr>
        <w:t>(Berkeley: University of California Press, 2007).</w:t>
      </w:r>
    </w:p>
    <w:p w14:paraId="5B19235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Assaf Moghadam, ‘Motives for Martyrdom; Al-Qaida, Salafi Jihad, and the Spread of Suicide Attacks’,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International Security</w:t>
      </w:r>
      <w:r w:rsidRPr="002F655F">
        <w:rPr>
          <w:rFonts w:ascii="Arial" w:hAnsi="Arial" w:cs="Arial"/>
          <w:sz w:val="20"/>
          <w:szCs w:val="20"/>
          <w:lang w:val="en-US" w:eastAsia="en-US"/>
        </w:rPr>
        <w:t>, 33.3 (2009): 46-78.</w:t>
      </w:r>
    </w:p>
    <w:p w14:paraId="6E6CC2C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Martha Crenshaw, ‘Explaining Suicide Terrorism: A review essay’,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Security Studies</w:t>
      </w:r>
      <w:r w:rsidRPr="002F655F">
        <w:rPr>
          <w:rFonts w:ascii="Arial" w:hAnsi="Arial" w:cs="Arial"/>
          <w:sz w:val="20"/>
          <w:szCs w:val="20"/>
          <w:lang w:val="en-US" w:eastAsia="en-US"/>
        </w:rPr>
        <w:t>, 16.1 (2007), pp. 133-162.</w:t>
      </w:r>
    </w:p>
    <w:p w14:paraId="5D7A0D4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Marc Sageman, ‘Islam and al-Qaeda’, in Ami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Pedahzur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(ed.),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 xml:space="preserve">Root Causes of Suicide Terrorism </w:t>
      </w:r>
      <w:r w:rsidRPr="002F655F">
        <w:rPr>
          <w:rFonts w:ascii="Arial" w:hAnsi="Arial" w:cs="Arial"/>
          <w:sz w:val="20"/>
          <w:szCs w:val="20"/>
          <w:lang w:val="en-US" w:eastAsia="en-US"/>
        </w:rPr>
        <w:t>(London, 2006), pp. 122- 131.</w:t>
      </w:r>
    </w:p>
    <w:p w14:paraId="2E5C890E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Assaf Moghadam, ‘Defining Suicide Terrorism’, in Ami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Pedahzur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(ed.),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Root Causes of Suicide Terrorism: The Globalization of Martyrdom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(London, 2006), pp. 1-19.</w:t>
      </w:r>
    </w:p>
    <w:p w14:paraId="2F02A844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Martha Crenshaw, ‘Intimations of Mortality or Production Lines? The Puzzle of “suicide terrorism”’,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Political Psychology</w:t>
      </w:r>
      <w:r w:rsidRPr="002F655F">
        <w:rPr>
          <w:rFonts w:ascii="Arial" w:hAnsi="Arial" w:cs="Arial"/>
          <w:sz w:val="20"/>
          <w:szCs w:val="20"/>
          <w:lang w:val="en-US" w:eastAsia="en-US"/>
        </w:rPr>
        <w:t>, 30.3 (2009), 359-64.</w:t>
      </w:r>
    </w:p>
    <w:p w14:paraId="13FE0BCD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lastRenderedPageBreak/>
        <w:t xml:space="preserve">Alex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Mintz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and David Brule. 2009. “Methodological Issues in Studying Suicide Terrorism.”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Political Psychology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30.3: 365- 371.</w:t>
      </w:r>
    </w:p>
    <w:p w14:paraId="14177BCF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Fathali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M. Moghaddam. 2009. “The New Global American Dilemma and Terrorism.”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Political Psychology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30.3: 373-380.</w:t>
      </w:r>
    </w:p>
    <w:p w14:paraId="63F580D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Jerrold M. Post. 2009. “Reframing of Martyrdom and Jihad and the Socialization of Suicide Terrorists.”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Political Psychology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30.3: 381-385.</w:t>
      </w:r>
    </w:p>
    <w:p w14:paraId="5C5CFE1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Jeff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Victoroff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. 2009. “Suicide Terrorism and the Biology of Significance.”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Political Psychology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30.3: 397-400.</w:t>
      </w:r>
    </w:p>
    <w:p w14:paraId="768BA7F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Robert A. Pape. 2003. “The Strategic Logic of Suicide Terrorism.”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American Political Science Review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97.3: 343-361.</w:t>
      </w:r>
    </w:p>
    <w:p w14:paraId="66B7AE1B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Assaf Moghadam. 2006. “Suicide Terrorism, Occupation, and the Globalization of Martyrdom: A Critique of Dying to Win.”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Studies in Conflict and Terrorism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29.8: 707-729.</w:t>
      </w:r>
    </w:p>
    <w:p w14:paraId="2F9F39E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Mia M. Bloom. 2004. “Palestinian Suicide Bombing: Public Support, Market Share, and Outbidding.”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Political Science Quarterly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119.1: 61-88.</w:t>
      </w:r>
    </w:p>
    <w:p w14:paraId="0A7DCCB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Robert J.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Brym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and Bader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Araj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. 2008. “Palestinian Suicide Bombing Revisited: A Critique of the Outbidding Thesis.”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Political Science Quarterly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123.3: 485-500.</w:t>
      </w:r>
    </w:p>
    <w:p w14:paraId="1723EC0A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Mohammed Hafez. 2006. “Dying </w:t>
      </w:r>
      <w:proofErr w:type="gramStart"/>
      <w:r w:rsidRPr="002F655F">
        <w:rPr>
          <w:rFonts w:ascii="Arial" w:hAnsi="Arial" w:cs="Arial"/>
          <w:sz w:val="20"/>
          <w:szCs w:val="20"/>
          <w:lang w:val="en-US" w:eastAsia="en-US"/>
        </w:rPr>
        <w:t>To</w:t>
      </w:r>
      <w:proofErr w:type="gram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Be Martyrs: The Symbolic Dimension of Suicide Terrorism." In Ami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Pedahzur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, ed.,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Root Causes of Suicide Terrorism: The Globalization of Martyrdom</w:t>
      </w:r>
      <w:r w:rsidRPr="002F655F">
        <w:rPr>
          <w:rFonts w:ascii="Arial" w:hAnsi="Arial" w:cs="Arial"/>
          <w:sz w:val="20"/>
          <w:szCs w:val="20"/>
          <w:lang w:val="en-US" w:eastAsia="en-US"/>
        </w:rPr>
        <w:t>. London: Routledge, 54-80.</w:t>
      </w:r>
    </w:p>
    <w:p w14:paraId="582307C2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Assaf Moghadam. 2003. “Palestinian Suicide Terrorism in the Second Intifada: Motivations and Organizational Aspects.”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Studies in Conflict and Terrorism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26.2: 65-92.</w:t>
      </w:r>
    </w:p>
    <w:p w14:paraId="52ED8C4B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Ami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Pedahzur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and Arie </w:t>
      </w:r>
      <w:proofErr w:type="spellStart"/>
      <w:r w:rsidRPr="002F655F">
        <w:rPr>
          <w:rFonts w:ascii="Arial" w:hAnsi="Arial" w:cs="Arial"/>
          <w:sz w:val="20"/>
          <w:szCs w:val="20"/>
          <w:lang w:val="en-US" w:eastAsia="en-US"/>
        </w:rPr>
        <w:t>Perliger</w:t>
      </w:r>
      <w:proofErr w:type="spellEnd"/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. 2006. "The Changing Nature of Suicide Attacks."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Social Forces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84.4: 1983-2000.</w:t>
      </w:r>
    </w:p>
    <w:p w14:paraId="7E2C0BE2" w14:textId="77777777" w:rsidR="003705A8" w:rsidRPr="002F655F" w:rsidRDefault="003705A8" w:rsidP="003705A8">
      <w:pPr>
        <w:rPr>
          <w:rFonts w:ascii="Arial" w:hAnsi="Arial" w:cs="Arial"/>
          <w:sz w:val="20"/>
          <w:szCs w:val="20"/>
          <w:lang w:val="en-US" w:eastAsia="en-US"/>
        </w:rPr>
      </w:pP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16. What impact did the October 1917 Russian Revolution have on the colonial world and why? In your answer, focus on one or two </w:t>
      </w:r>
      <w:r w:rsidRPr="00000BCC">
        <w:rPr>
          <w:rFonts w:ascii="Arial" w:hAnsi="Arial" w:cs="Arial"/>
          <w:sz w:val="20"/>
          <w:szCs w:val="20"/>
          <w:u w:val="single"/>
          <w:lang w:val="en-US" w:eastAsia="en-US"/>
        </w:rPr>
        <w:t>colonial</w:t>
      </w:r>
      <w:r w:rsidRPr="002F655F">
        <w:rPr>
          <w:rFonts w:ascii="Arial" w:hAnsi="Arial" w:cs="Arial"/>
          <w:sz w:val="20"/>
          <w:szCs w:val="20"/>
          <w:lang w:val="en-US" w:eastAsia="en-US"/>
        </w:rPr>
        <w:t xml:space="preserve"> countries.</w:t>
      </w:r>
      <w:r>
        <w:rPr>
          <w:rFonts w:ascii="Arial" w:hAnsi="Arial" w:cs="Arial"/>
          <w:sz w:val="20"/>
          <w:szCs w:val="20"/>
          <w:lang w:val="en-US" w:eastAsia="en-US"/>
        </w:rPr>
        <w:t xml:space="preserve"> [Please Note: </w:t>
      </w:r>
      <w:r w:rsidRPr="00000BCC">
        <w:rPr>
          <w:rFonts w:ascii="Arial" w:hAnsi="Arial" w:cs="Arial"/>
          <w:sz w:val="20"/>
          <w:szCs w:val="20"/>
          <w:u w:val="single"/>
          <w:lang w:val="en-US" w:eastAsia="en-US"/>
        </w:rPr>
        <w:t>do not</w:t>
      </w:r>
      <w:r>
        <w:rPr>
          <w:rFonts w:ascii="Arial" w:hAnsi="Arial" w:cs="Arial"/>
          <w:sz w:val="20"/>
          <w:szCs w:val="20"/>
          <w:lang w:val="en-US" w:eastAsia="en-US"/>
        </w:rPr>
        <w:t xml:space="preserve"> use the USSR or other European countries as your case studies.] </w:t>
      </w:r>
    </w:p>
    <w:p w14:paraId="7AD0D9DB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de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Wiel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Jérôme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aan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‘Ireland and the Bolshevik Revolution,’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History Ireland</w:t>
      </w:r>
      <w:r w:rsidRPr="002F655F">
        <w:rPr>
          <w:rFonts w:ascii="Arial" w:hAnsi="Arial" w:cs="Arial"/>
          <w:sz w:val="20"/>
          <w:szCs w:val="20"/>
          <w:lang w:eastAsia="en-US"/>
        </w:rPr>
        <w:t>, Nov/Dec 2017, Vol. 25 (6), pp. 38-42.</w:t>
      </w:r>
    </w:p>
    <w:p w14:paraId="39429108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Elleman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Bruce, </w:t>
      </w:r>
      <w:proofErr w:type="gramStart"/>
      <w:r w:rsidRPr="002F655F">
        <w:rPr>
          <w:rFonts w:ascii="Arial" w:hAnsi="Arial" w:cs="Arial"/>
          <w:i/>
          <w:sz w:val="20"/>
          <w:szCs w:val="20"/>
          <w:lang w:eastAsia="en-US"/>
        </w:rPr>
        <w:t>Wilson</w:t>
      </w:r>
      <w:proofErr w:type="gramEnd"/>
      <w:r w:rsidRPr="002F655F">
        <w:rPr>
          <w:rFonts w:ascii="Arial" w:hAnsi="Arial" w:cs="Arial"/>
          <w:i/>
          <w:sz w:val="20"/>
          <w:szCs w:val="20"/>
          <w:lang w:eastAsia="en-US"/>
        </w:rPr>
        <w:t xml:space="preserve"> and China: A Revised History of the Shandong Question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 (Abingdon, UK: Routledge 2015). </w:t>
      </w:r>
    </w:p>
    <w:p w14:paraId="49C2BE1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Gardner, Lloyd C., ‘The Geopolitics of Revolution’,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Diplomatic History</w:t>
      </w:r>
      <w:r w:rsidRPr="002F655F">
        <w:rPr>
          <w:rFonts w:ascii="Arial" w:hAnsi="Arial" w:cs="Arial"/>
          <w:sz w:val="20"/>
          <w:szCs w:val="20"/>
          <w:lang w:eastAsia="en-US"/>
        </w:rPr>
        <w:t>, Sept. 2014, Vol. 38 (4), pp. 737-50.</w:t>
      </w:r>
    </w:p>
    <w:p w14:paraId="4F035E8F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bookmarkStart w:id="2" w:name="rdm"/>
      <w:bookmarkEnd w:id="2"/>
      <w:r w:rsidRPr="002F655F">
        <w:rPr>
          <w:rFonts w:ascii="Arial" w:hAnsi="Arial" w:cs="Arial"/>
          <w:sz w:val="20"/>
          <w:szCs w:val="20"/>
          <w:lang w:eastAsia="en-US"/>
        </w:rPr>
        <w:t xml:space="preserve">Garfinkle, Adam, ‘The Fall of Empires and the Formation of the Modern Middle East,’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Orbis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 2016, 60 (2), pp. 204-216.</w:t>
      </w:r>
    </w:p>
    <w:p w14:paraId="4F4F647F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Gronowicz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>, Anthony, ‘</w:t>
      </w:r>
      <w:hyperlink r:id="rId5" w:tgtFrame="_blank" w:history="1">
        <w:r w:rsidRPr="002F655F">
          <w:rPr>
            <w:rFonts w:ascii="Arial" w:hAnsi="Arial" w:cs="Arial"/>
            <w:sz w:val="20"/>
            <w:szCs w:val="20"/>
            <w:u w:val="single"/>
            <w:lang w:eastAsia="en-US"/>
          </w:rPr>
          <w:t xml:space="preserve">The Global Significance of the Russian Revolution: Imperialism and the Socialist Resistance. </w:t>
        </w:r>
      </w:hyperlink>
      <w:r w:rsidRPr="002F655F">
        <w:rPr>
          <w:rFonts w:ascii="Arial" w:hAnsi="Arial" w:cs="Arial"/>
          <w:i/>
          <w:sz w:val="20"/>
          <w:szCs w:val="20"/>
          <w:lang w:eastAsia="en-US"/>
        </w:rPr>
        <w:t xml:space="preserve">Journal of </w:t>
      </w:r>
      <w:proofErr w:type="spellStart"/>
      <w:r w:rsidRPr="002F655F">
        <w:rPr>
          <w:rFonts w:ascii="Arial" w:hAnsi="Arial" w:cs="Arial"/>
          <w:i/>
          <w:sz w:val="20"/>
          <w:szCs w:val="20"/>
          <w:lang w:eastAsia="en-US"/>
        </w:rPr>
        <w:t>Labor</w:t>
      </w:r>
      <w:proofErr w:type="spellEnd"/>
      <w:r w:rsidRPr="002F655F">
        <w:rPr>
          <w:rFonts w:ascii="Arial" w:hAnsi="Arial" w:cs="Arial"/>
          <w:i/>
          <w:sz w:val="20"/>
          <w:szCs w:val="20"/>
          <w:lang w:eastAsia="en-US"/>
        </w:rPr>
        <w:t xml:space="preserve"> &amp; Society</w:t>
      </w:r>
      <w:r w:rsidRPr="002F655F">
        <w:rPr>
          <w:rFonts w:ascii="Arial" w:hAnsi="Arial" w:cs="Arial"/>
          <w:sz w:val="20"/>
          <w:szCs w:val="20"/>
          <w:lang w:eastAsia="en-US"/>
        </w:rPr>
        <w:t>. Sept 2017, Vol. 2, Issue 3, pp. 349-372.</w:t>
      </w:r>
    </w:p>
    <w:p w14:paraId="33CF4018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val="en-US"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Jianling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Jin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 &amp;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Momei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Zhang, ‘The South Society and the May Fourth Movement,’ </w:t>
      </w:r>
      <w:r w:rsidRPr="002F655F">
        <w:rPr>
          <w:rFonts w:ascii="Arial" w:hAnsi="Arial" w:cs="Arial"/>
          <w:i/>
          <w:sz w:val="20"/>
          <w:szCs w:val="20"/>
          <w:lang w:val="en-US" w:eastAsia="en-US"/>
        </w:rPr>
        <w:t>Chinese Studies in History</w:t>
      </w:r>
      <w:r w:rsidRPr="002F655F">
        <w:rPr>
          <w:rFonts w:ascii="Arial" w:hAnsi="Arial" w:cs="Arial"/>
          <w:sz w:val="20"/>
          <w:szCs w:val="20"/>
          <w:lang w:val="en-US" w:eastAsia="en-US"/>
        </w:rPr>
        <w:t>, vol. 48, no. 1, Fall 2014, pp. 82–97.</w:t>
      </w:r>
    </w:p>
    <w:p w14:paraId="30DA9809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Khalid, </w:t>
      </w: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Adeeb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‘Central Asia between the Ottoman and the Soviet Worlds,’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Kritika: Explorations in Russian &amp; Eurasian History</w:t>
      </w:r>
      <w:r w:rsidRPr="002F655F">
        <w:rPr>
          <w:rFonts w:ascii="Arial" w:hAnsi="Arial" w:cs="Arial"/>
          <w:sz w:val="20"/>
          <w:szCs w:val="20"/>
          <w:lang w:eastAsia="en-US"/>
        </w:rPr>
        <w:t>, Spring 2011, Vol. 12 (2), pp. 451-476.</w:t>
      </w:r>
    </w:p>
    <w:p w14:paraId="4D075767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Khodnev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>, Alexander S. ‘</w:t>
      </w:r>
      <w:hyperlink r:id="rId6" w:tgtFrame="_blank" w:history="1">
        <w:r w:rsidRPr="002F655F">
          <w:rPr>
            <w:rFonts w:ascii="Arial" w:hAnsi="Arial" w:cs="Arial"/>
            <w:sz w:val="20"/>
            <w:szCs w:val="20"/>
            <w:u w:val="single"/>
            <w:lang w:eastAsia="en-US"/>
          </w:rPr>
          <w:t xml:space="preserve">The legacies of Woodrow Wilson and the League of Nations in Russia,’. </w:t>
        </w:r>
      </w:hyperlink>
      <w:r w:rsidRPr="002F655F">
        <w:rPr>
          <w:rFonts w:ascii="Arial" w:hAnsi="Arial" w:cs="Arial"/>
          <w:i/>
          <w:sz w:val="20"/>
          <w:szCs w:val="20"/>
          <w:lang w:eastAsia="en-US"/>
        </w:rPr>
        <w:t>World Affairs,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 Summer 1995, Vol. 158 (1), pp. 18-25. </w:t>
      </w:r>
    </w:p>
    <w:p w14:paraId="2DB0E4D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iCs/>
          <w:sz w:val="20"/>
          <w:szCs w:val="20"/>
          <w:lang w:eastAsia="en-US"/>
        </w:rPr>
        <w:t>King, Francis, ‘</w:t>
      </w:r>
      <w:r w:rsidRPr="002F655F">
        <w:rPr>
          <w:rFonts w:ascii="Arial" w:hAnsi="Arial" w:cs="Arial"/>
          <w:bCs/>
          <w:sz w:val="20"/>
          <w:szCs w:val="20"/>
          <w:lang w:eastAsia="en-US"/>
        </w:rPr>
        <w:t xml:space="preserve">Dilemmas of a “democratic peace”: </w:t>
      </w:r>
      <w:r w:rsidRPr="002F655F">
        <w:rPr>
          <w:rFonts w:ascii="Arial" w:hAnsi="Arial" w:cs="Arial"/>
          <w:iCs/>
          <w:sz w:val="20"/>
          <w:szCs w:val="20"/>
          <w:lang w:eastAsia="en-US"/>
        </w:rPr>
        <w:t xml:space="preserve">World War One, the Zimmerwald Manifesto and the Russian Revolution,’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Socialist History</w:t>
      </w:r>
      <w:r w:rsidRPr="002F655F">
        <w:rPr>
          <w:rFonts w:ascii="Arial" w:hAnsi="Arial" w:cs="Arial"/>
          <w:sz w:val="20"/>
          <w:szCs w:val="20"/>
          <w:lang w:eastAsia="en-US"/>
        </w:rPr>
        <w:t>, 2015, Vol. 48, pp. 8-33.</w:t>
      </w:r>
    </w:p>
    <w:p w14:paraId="7648889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Kocho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-Williams, Alastair,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 xml:space="preserve">Russia's International Relations in the Twentieth Century </w:t>
      </w:r>
      <w:r w:rsidRPr="002F655F">
        <w:rPr>
          <w:rFonts w:ascii="Arial" w:hAnsi="Arial" w:cs="Arial"/>
          <w:sz w:val="20"/>
          <w:szCs w:val="20"/>
          <w:lang w:eastAsia="en-US"/>
        </w:rPr>
        <w:t>(Abingdon, UK: Routledge, 2013), Ch. 2: ‘The Russian Revolutions of 1917 and the Russian Civil War in International Context.’</w:t>
      </w:r>
    </w:p>
    <w:p w14:paraId="57ADCDD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Mark, Rudolf A. ‘National Self-Determination, as understood by Lenin and the Bolsheviks,’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Lithuanian Historical Studies</w:t>
      </w:r>
      <w:r w:rsidRPr="002F655F">
        <w:rPr>
          <w:rFonts w:ascii="Arial" w:hAnsi="Arial" w:cs="Arial"/>
          <w:sz w:val="20"/>
          <w:szCs w:val="20"/>
          <w:lang w:eastAsia="en-US"/>
        </w:rPr>
        <w:t>, 2008, Vol. 13, pp. 21-39.</w:t>
      </w:r>
    </w:p>
    <w:p w14:paraId="41BDC296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Pyrcz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Andrew A, ‘Lenin and the Question of Ukraine’,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Agora</w:t>
      </w:r>
      <w:r w:rsidRPr="002F655F">
        <w:rPr>
          <w:rFonts w:ascii="Arial" w:hAnsi="Arial" w:cs="Arial"/>
          <w:sz w:val="20"/>
          <w:szCs w:val="20"/>
          <w:lang w:eastAsia="en-US"/>
        </w:rPr>
        <w:t>, 2014, Vol. 49 (2), pp. 59-62.</w:t>
      </w:r>
    </w:p>
    <w:p w14:paraId="27DED168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Reynolds, Michael A.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Shattering empires: the clash and collapse of the Ottoman and Russian empires, 1908-1918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 (Cambridge, UK: Cambridge University Press, 2011). </w:t>
      </w:r>
    </w:p>
    <w:p w14:paraId="2A143F40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t xml:space="preserve">Rogan, Eugene,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The Fall of the Ottomans: The Great War in the Middle East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 (New York: Basic Books, 2015). </w:t>
      </w:r>
    </w:p>
    <w:p w14:paraId="65CB442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2F655F">
        <w:rPr>
          <w:rFonts w:ascii="Arial" w:hAnsi="Arial" w:cs="Arial"/>
          <w:sz w:val="20"/>
          <w:szCs w:val="20"/>
          <w:lang w:eastAsia="en-US"/>
        </w:rPr>
        <w:lastRenderedPageBreak/>
        <w:t>Share, Michael B. ‘</w:t>
      </w:r>
      <w:r w:rsidRPr="002F655F">
        <w:rPr>
          <w:rFonts w:ascii="Arial" w:hAnsi="Arial" w:cs="Arial"/>
          <w:sz w:val="20"/>
          <w:szCs w:val="20"/>
          <w:lang w:val="en-US" w:eastAsia="en-US"/>
        </w:rPr>
        <w:t>The Great Game Revisited: Three Empires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2F655F">
        <w:rPr>
          <w:rFonts w:ascii="Arial" w:hAnsi="Arial" w:cs="Arial"/>
          <w:sz w:val="20"/>
          <w:szCs w:val="20"/>
          <w:lang w:val="en-US" w:eastAsia="en-US"/>
        </w:rPr>
        <w:t>Collide in Chinese Turkestan (Xinjiang)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Europe-Asia Studies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 Sep 2015, Vol. 67 (7), pp. 1102-1129.</w:t>
      </w:r>
    </w:p>
    <w:p w14:paraId="42018393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Solenberger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Peter, ‘The Workers' Revolution Abroad: 1917 and the Colonial Revolution,’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Against the Current</w:t>
      </w:r>
      <w:r w:rsidRPr="002F655F">
        <w:rPr>
          <w:rFonts w:ascii="Arial" w:hAnsi="Arial" w:cs="Arial"/>
          <w:sz w:val="20"/>
          <w:szCs w:val="20"/>
          <w:lang w:eastAsia="en-US"/>
        </w:rPr>
        <w:t xml:space="preserve">, May/Jun2018, Vol. 33 (2), pp. 21-23. </w:t>
      </w:r>
    </w:p>
    <w:p w14:paraId="4F217338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Suny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Ronald Grigor, ‘An Empire to End Imperialism,’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Socialist History</w:t>
      </w:r>
      <w:r w:rsidRPr="002F655F">
        <w:rPr>
          <w:rFonts w:ascii="Arial" w:hAnsi="Arial" w:cs="Arial"/>
          <w:sz w:val="20"/>
          <w:szCs w:val="20"/>
          <w:lang w:eastAsia="en-US"/>
        </w:rPr>
        <w:t>, 2017, Vol. 52, pp. 95-102.</w:t>
      </w:r>
    </w:p>
    <w:p w14:paraId="514E1CDC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Trani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Eugene P. &amp; Davis, Donald E. ‘Woodrow Wilson and the Origins of The Cold War: A Hundred Years Later and Still Relevant,’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World Affairs</w:t>
      </w:r>
      <w:r w:rsidRPr="002F655F">
        <w:rPr>
          <w:rFonts w:ascii="Arial" w:hAnsi="Arial" w:cs="Arial"/>
          <w:sz w:val="20"/>
          <w:szCs w:val="20"/>
          <w:lang w:eastAsia="en-US"/>
        </w:rPr>
        <w:t>. Winter 2017, Vol. 180 (4), pp. 25-46.</w:t>
      </w:r>
    </w:p>
    <w:p w14:paraId="3CB604E1" w14:textId="77777777" w:rsidR="003705A8" w:rsidRPr="002F655F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F655F">
        <w:rPr>
          <w:rFonts w:ascii="Arial" w:hAnsi="Arial" w:cs="Arial"/>
          <w:sz w:val="20"/>
          <w:szCs w:val="20"/>
          <w:lang w:eastAsia="en-US"/>
        </w:rPr>
        <w:t>Yengoyan</w:t>
      </w:r>
      <w:proofErr w:type="spellEnd"/>
      <w:r w:rsidRPr="002F655F">
        <w:rPr>
          <w:rFonts w:ascii="Arial" w:hAnsi="Arial" w:cs="Arial"/>
          <w:sz w:val="20"/>
          <w:szCs w:val="20"/>
          <w:lang w:eastAsia="en-US"/>
        </w:rPr>
        <w:t xml:space="preserve">, Aram A. ‘“No War--No Peace": The Treaty of Brest-Litovsk,’ </w:t>
      </w:r>
      <w:r w:rsidRPr="002F655F">
        <w:rPr>
          <w:rFonts w:ascii="Arial" w:hAnsi="Arial" w:cs="Arial"/>
          <w:i/>
          <w:sz w:val="20"/>
          <w:szCs w:val="20"/>
          <w:lang w:eastAsia="en-US"/>
        </w:rPr>
        <w:t>Armenian Review</w:t>
      </w:r>
      <w:r w:rsidRPr="002F655F">
        <w:rPr>
          <w:rFonts w:ascii="Arial" w:hAnsi="Arial" w:cs="Arial"/>
          <w:sz w:val="20"/>
          <w:szCs w:val="20"/>
          <w:lang w:eastAsia="en-US"/>
        </w:rPr>
        <w:t>, 2010, V. 52, pp. 33-44.</w:t>
      </w:r>
    </w:p>
    <w:p w14:paraId="2DE6073A" w14:textId="77777777" w:rsidR="003705A8" w:rsidRPr="002F655F" w:rsidRDefault="003705A8" w:rsidP="003705A8">
      <w:pPr>
        <w:widowControl w:val="0"/>
        <w:autoSpaceDE w:val="0"/>
        <w:autoSpaceDN w:val="0"/>
        <w:adjustRightInd w:val="0"/>
        <w:spacing w:after="0" w:line="240" w:lineRule="auto"/>
        <w:ind w:left="127" w:right="127"/>
        <w:rPr>
          <w:rFonts w:ascii="Arial" w:hAnsi="Arial" w:cs="Arial"/>
          <w:color w:val="000000"/>
          <w:sz w:val="20"/>
          <w:szCs w:val="20"/>
        </w:rPr>
      </w:pPr>
    </w:p>
    <w:bookmarkEnd w:id="0"/>
    <w:p w14:paraId="6CB00D97" w14:textId="77777777" w:rsidR="003705A8" w:rsidRDefault="003705A8" w:rsidP="003705A8">
      <w:pPr>
        <w:rPr>
          <w:rFonts w:ascii="Arial" w:hAnsi="Arial" w:cs="Arial"/>
          <w:bCs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17: </w:t>
      </w:r>
      <w:r w:rsidRPr="002F655F">
        <w:rPr>
          <w:rFonts w:ascii="Arial" w:hAnsi="Arial" w:cs="Arial"/>
          <w:bCs/>
          <w:sz w:val="20"/>
          <w:szCs w:val="20"/>
          <w:lang w:eastAsia="en-US"/>
        </w:rPr>
        <w:t>Why was France so unwilling to grant Algeria independence</w:t>
      </w:r>
      <w:r>
        <w:rPr>
          <w:rFonts w:ascii="Arial" w:hAnsi="Arial" w:cs="Arial"/>
          <w:bCs/>
          <w:sz w:val="20"/>
          <w:szCs w:val="20"/>
          <w:lang w:eastAsia="en-US"/>
        </w:rPr>
        <w:t xml:space="preserve"> after the Second World War</w:t>
      </w:r>
      <w:r w:rsidRPr="002F655F">
        <w:rPr>
          <w:rFonts w:ascii="Arial" w:hAnsi="Arial" w:cs="Arial"/>
          <w:bCs/>
          <w:sz w:val="20"/>
          <w:szCs w:val="20"/>
          <w:lang w:eastAsia="en-US"/>
        </w:rPr>
        <w:t>?</w:t>
      </w:r>
    </w:p>
    <w:p w14:paraId="39064BAC" w14:textId="77777777" w:rsidR="003705A8" w:rsidRDefault="003705A8" w:rsidP="003705A8">
      <w:pPr>
        <w:ind w:left="284"/>
        <w:rPr>
          <w:rFonts w:ascii="Arial" w:hAnsi="Arial" w:cs="Arial"/>
          <w:bCs/>
          <w:sz w:val="20"/>
          <w:szCs w:val="20"/>
          <w:lang w:eastAsia="en-US"/>
        </w:rPr>
      </w:pPr>
    </w:p>
    <w:p w14:paraId="4191DC07" w14:textId="77777777" w:rsidR="003705A8" w:rsidRPr="00505203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 xml:space="preserve">Primary source </w:t>
      </w:r>
    </w:p>
    <w:p w14:paraId="13B2CA84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Paul </w:t>
      </w:r>
      <w:proofErr w:type="spellStart"/>
      <w:r w:rsidRPr="00505203">
        <w:rPr>
          <w:rFonts w:ascii="Arial" w:hAnsi="Arial" w:cs="Arial"/>
          <w:sz w:val="20"/>
          <w:szCs w:val="20"/>
          <w:lang w:eastAsia="en-US"/>
        </w:rPr>
        <w:t>Aussaresses</w:t>
      </w:r>
      <w:proofErr w:type="spellEnd"/>
      <w:r w:rsidRPr="00505203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 xml:space="preserve">The Battle of the Casbah: </w:t>
      </w:r>
      <w:proofErr w:type="gramStart"/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Counter-Terrorism</w:t>
      </w:r>
      <w:proofErr w:type="gramEnd"/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 xml:space="preserve"> and Torture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 (New York, 2005). </w:t>
      </w:r>
    </w:p>
    <w:p w14:paraId="4D0FF8DA" w14:textId="77777777" w:rsidR="003705A8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</w:p>
    <w:p w14:paraId="78CAA74C" w14:textId="77777777" w:rsidR="003705A8" w:rsidRPr="00505203" w:rsidRDefault="003705A8" w:rsidP="003705A8">
      <w:pPr>
        <w:ind w:left="284"/>
        <w:rPr>
          <w:rFonts w:ascii="Arial" w:hAnsi="Arial" w:cs="Arial"/>
          <w:i/>
          <w:iCs/>
          <w:sz w:val="20"/>
          <w:szCs w:val="20"/>
          <w:lang w:eastAsia="en-US"/>
        </w:rPr>
      </w:pP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 xml:space="preserve">Secondary sources </w:t>
      </w:r>
    </w:p>
    <w:p w14:paraId="1181023A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Charles–Robert </w:t>
      </w:r>
      <w:proofErr w:type="spellStart"/>
      <w:r w:rsidRPr="00505203">
        <w:rPr>
          <w:rFonts w:ascii="Arial" w:hAnsi="Arial" w:cs="Arial"/>
          <w:sz w:val="20"/>
          <w:szCs w:val="20"/>
          <w:lang w:eastAsia="en-US"/>
        </w:rPr>
        <w:t>Ageron</w:t>
      </w:r>
      <w:proofErr w:type="spellEnd"/>
      <w:r w:rsidRPr="00505203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Modern Algeria: A History from 1830 to the Present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, trans. by Michael Brett (London, 1991): 108–28 </w:t>
      </w:r>
    </w:p>
    <w:p w14:paraId="1D3F290A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Robert Aldrich,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Greater France: A History of French Overseas Expansion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 (Basingstoke, 1996). </w:t>
      </w:r>
    </w:p>
    <w:p w14:paraId="1B16206E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Alexander, Martin S., Martin </w:t>
      </w:r>
      <w:proofErr w:type="gramStart"/>
      <w:r w:rsidRPr="00505203">
        <w:rPr>
          <w:rFonts w:ascii="Arial" w:hAnsi="Arial" w:cs="Arial"/>
          <w:sz w:val="20"/>
          <w:szCs w:val="20"/>
          <w:lang w:eastAsia="en-US"/>
        </w:rPr>
        <w:t>Evans</w:t>
      </w:r>
      <w:proofErr w:type="gramEnd"/>
      <w:r w:rsidRPr="00505203">
        <w:rPr>
          <w:rFonts w:ascii="Arial" w:hAnsi="Arial" w:cs="Arial"/>
          <w:sz w:val="20"/>
          <w:szCs w:val="20"/>
          <w:lang w:eastAsia="en-US"/>
        </w:rPr>
        <w:t xml:space="preserve"> and J. F. V. </w:t>
      </w:r>
      <w:proofErr w:type="spellStart"/>
      <w:r w:rsidRPr="00505203">
        <w:rPr>
          <w:rFonts w:ascii="Arial" w:hAnsi="Arial" w:cs="Arial"/>
          <w:sz w:val="20"/>
          <w:szCs w:val="20"/>
          <w:lang w:eastAsia="en-US"/>
        </w:rPr>
        <w:t>Keiger</w:t>
      </w:r>
      <w:proofErr w:type="spellEnd"/>
      <w:r w:rsidRPr="00505203">
        <w:rPr>
          <w:rFonts w:ascii="Arial" w:hAnsi="Arial" w:cs="Arial"/>
          <w:sz w:val="20"/>
          <w:szCs w:val="20"/>
          <w:lang w:eastAsia="en-US"/>
        </w:rPr>
        <w:t xml:space="preserve"> (eds),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The Algerian War and the French Army, 1954–62. Experiences, Images, Testimonies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 (New York, 2002). </w:t>
      </w:r>
    </w:p>
    <w:p w14:paraId="3AE6CD7D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Raymond Betts, </w:t>
      </w:r>
      <w:proofErr w:type="gramStart"/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France</w:t>
      </w:r>
      <w:proofErr w:type="gramEnd"/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 xml:space="preserve"> and Decolonisation, 1900-1960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 (Basingstoke: Palgrave Macmillan 1991), </w:t>
      </w:r>
      <w:proofErr w:type="spellStart"/>
      <w:r w:rsidRPr="00505203">
        <w:rPr>
          <w:rFonts w:ascii="Arial" w:hAnsi="Arial" w:cs="Arial"/>
          <w:sz w:val="20"/>
          <w:szCs w:val="20"/>
          <w:lang w:eastAsia="en-US"/>
        </w:rPr>
        <w:t>chs</w:t>
      </w:r>
      <w:proofErr w:type="spellEnd"/>
      <w:r w:rsidRPr="00505203">
        <w:rPr>
          <w:rFonts w:ascii="Arial" w:hAnsi="Arial" w:cs="Arial"/>
          <w:sz w:val="20"/>
          <w:szCs w:val="20"/>
          <w:lang w:eastAsia="en-US"/>
        </w:rPr>
        <w:t xml:space="preserve"> 1-2. </w:t>
      </w:r>
    </w:p>
    <w:p w14:paraId="436610B9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Alistair Horne,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A Savage War of Peace: Algeria 1954–1962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 (London, 1977). </w:t>
      </w:r>
    </w:p>
    <w:p w14:paraId="3D9C5AA8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James D. Campbell, ‘French Algeria and British Northern Ireland: Legitimacy and the Rule of Law in Low-Intensity Conflict,’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Military Review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, 85.2 (2005), 2-5. </w:t>
      </w:r>
    </w:p>
    <w:p w14:paraId="324EA384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Joshua Cole, ‘Remembering the Battle of Paris: 17 October 1961 in French and Algerian Memory’,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French Politics, Culture &amp; Society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, 21(2003), 21-50. </w:t>
      </w:r>
    </w:p>
    <w:p w14:paraId="0DE3D98B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Julie </w:t>
      </w:r>
      <w:proofErr w:type="spellStart"/>
      <w:r w:rsidRPr="00505203">
        <w:rPr>
          <w:rFonts w:ascii="Arial" w:hAnsi="Arial" w:cs="Arial"/>
          <w:sz w:val="20"/>
          <w:szCs w:val="20"/>
          <w:lang w:eastAsia="en-US"/>
        </w:rPr>
        <w:t>Fette</w:t>
      </w:r>
      <w:proofErr w:type="spellEnd"/>
      <w:r w:rsidRPr="00505203">
        <w:rPr>
          <w:rFonts w:ascii="Arial" w:hAnsi="Arial" w:cs="Arial"/>
          <w:sz w:val="20"/>
          <w:szCs w:val="20"/>
          <w:lang w:eastAsia="en-US"/>
        </w:rPr>
        <w:t xml:space="preserve">, ‘Apology and the past in contemporary France’,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French Politics, Culture and Society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, 26 (2008), 78-114. </w:t>
      </w:r>
    </w:p>
    <w:p w14:paraId="791D741F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Benjamin </w:t>
      </w:r>
      <w:proofErr w:type="spellStart"/>
      <w:r w:rsidRPr="00505203">
        <w:rPr>
          <w:rFonts w:ascii="Arial" w:hAnsi="Arial" w:cs="Arial"/>
          <w:sz w:val="20"/>
          <w:szCs w:val="20"/>
          <w:lang w:eastAsia="en-US"/>
        </w:rPr>
        <w:t>Stora</w:t>
      </w:r>
      <w:proofErr w:type="spellEnd"/>
      <w:r w:rsidRPr="00505203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Algeria, 1830–2000: A Short History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 (Ithaca, 2001), Part I. </w:t>
      </w:r>
    </w:p>
    <w:p w14:paraId="79FCC62A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William B. Cohen, ‘The Algerian War and French Memory,’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Contemporary European History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, 9.3 (2000), pp: 489-500. </w:t>
      </w:r>
    </w:p>
    <w:p w14:paraId="714B31AA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Neil Macmaster, ‘Torture: From Algeria to Abu Ghraib,’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Race &amp; Class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, 46(2004), 1–21. </w:t>
      </w:r>
    </w:p>
    <w:p w14:paraId="6CBD4310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William B. Cohen, ‘The Algerian War and the Revision of France’s Overseas Mission’,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French Colonial History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, 4 (2003), 227–39 </w:t>
      </w:r>
    </w:p>
    <w:p w14:paraId="33C2A3D7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Matthew Connelly, ‘Taking off the Cold War Lens: Visions of North-South Conflict during the Algerian War of Independence,’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The American Historical Review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, 105 (2000), 739-69. </w:t>
      </w:r>
    </w:p>
    <w:p w14:paraId="4D143FA7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M Connelly,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A Diplomatic Revolution: Algeria’s Fight for Independence and the Origins of the Post-Cold War Era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 (New York, 2002). </w:t>
      </w:r>
    </w:p>
    <w:p w14:paraId="1CDACDA0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505203">
        <w:rPr>
          <w:rFonts w:ascii="Arial" w:hAnsi="Arial" w:cs="Arial"/>
          <w:sz w:val="20"/>
          <w:szCs w:val="20"/>
          <w:lang w:eastAsia="en-US"/>
        </w:rPr>
        <w:t>Marnia</w:t>
      </w:r>
      <w:proofErr w:type="spellEnd"/>
      <w:r w:rsidRPr="00505203">
        <w:rPr>
          <w:rFonts w:ascii="Arial" w:hAnsi="Arial" w:cs="Arial"/>
          <w:sz w:val="20"/>
          <w:szCs w:val="20"/>
          <w:lang w:eastAsia="en-US"/>
        </w:rPr>
        <w:t xml:space="preserve"> </w:t>
      </w:r>
      <w:proofErr w:type="spellStart"/>
      <w:r w:rsidRPr="00505203">
        <w:rPr>
          <w:rFonts w:ascii="Arial" w:hAnsi="Arial" w:cs="Arial"/>
          <w:sz w:val="20"/>
          <w:szCs w:val="20"/>
          <w:lang w:eastAsia="en-US"/>
        </w:rPr>
        <w:t>Lazreg</w:t>
      </w:r>
      <w:proofErr w:type="spellEnd"/>
      <w:r w:rsidRPr="00505203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Torture and the Twilight of Empire: From Algiers to Baghdad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 (Princeton, 2008). </w:t>
      </w:r>
    </w:p>
    <w:p w14:paraId="110F3271" w14:textId="77777777" w:rsidR="003705A8" w:rsidRPr="00505203" w:rsidRDefault="003705A8" w:rsidP="003705A8">
      <w:pPr>
        <w:ind w:left="284"/>
        <w:rPr>
          <w:rFonts w:ascii="Arial" w:hAnsi="Arial" w:cs="Arial"/>
          <w:sz w:val="20"/>
          <w:szCs w:val="20"/>
          <w:lang w:eastAsia="en-US"/>
        </w:rPr>
      </w:pPr>
      <w:r w:rsidRPr="00505203">
        <w:rPr>
          <w:rFonts w:ascii="Arial" w:hAnsi="Arial" w:cs="Arial"/>
          <w:sz w:val="20"/>
          <w:szCs w:val="20"/>
          <w:lang w:eastAsia="en-US"/>
        </w:rPr>
        <w:t xml:space="preserve">Evans, Martin, </w:t>
      </w:r>
      <w:r w:rsidRPr="00505203">
        <w:rPr>
          <w:rFonts w:ascii="Arial" w:hAnsi="Arial" w:cs="Arial"/>
          <w:i/>
          <w:iCs/>
          <w:sz w:val="20"/>
          <w:szCs w:val="20"/>
          <w:lang w:eastAsia="en-US"/>
        </w:rPr>
        <w:t>The Memory of Resistance. French Opposition to the Algerian War</w:t>
      </w:r>
      <w:r w:rsidRPr="00505203">
        <w:rPr>
          <w:rFonts w:ascii="Arial" w:hAnsi="Arial" w:cs="Arial"/>
          <w:sz w:val="20"/>
          <w:szCs w:val="20"/>
          <w:lang w:eastAsia="en-US"/>
        </w:rPr>
        <w:t xml:space="preserve"> (1954–1962) (Oxford, 1997).</w:t>
      </w:r>
    </w:p>
    <w:p w14:paraId="0F0EDF30" w14:textId="77777777" w:rsidR="003705A8" w:rsidRDefault="003705A8" w:rsidP="003705A8">
      <w:pPr>
        <w:widowControl w:val="0"/>
        <w:autoSpaceDE w:val="0"/>
        <w:autoSpaceDN w:val="0"/>
        <w:adjustRightInd w:val="0"/>
        <w:spacing w:after="0" w:line="240" w:lineRule="auto"/>
        <w:ind w:left="127" w:right="127"/>
        <w:rPr>
          <w:rFonts w:ascii="Arial" w:hAnsi="Arial" w:cs="Arial"/>
          <w:color w:val="000000"/>
          <w:sz w:val="20"/>
          <w:szCs w:val="20"/>
        </w:rPr>
      </w:pPr>
    </w:p>
    <w:p w14:paraId="5DE90649" w14:textId="77777777" w:rsidR="00A361D7" w:rsidRDefault="00A361D7"/>
    <w:sectPr w:rsidR="00A361D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560" w:right="440" w:bottom="560" w:left="440" w:header="567" w:footer="567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D0FD" w14:textId="77777777" w:rsidR="00ED298F" w:rsidRDefault="003705A8">
    <w:pPr>
      <w:widowControl w:val="0"/>
      <w:pBdr>
        <w:top w:val="single" w:sz="4" w:space="1" w:color="auto"/>
      </w:pBdr>
      <w:tabs>
        <w:tab w:val="center" w:pos="4621"/>
        <w:tab w:val="right" w:pos="9134"/>
      </w:tabs>
      <w:autoSpaceDE w:val="0"/>
      <w:autoSpaceDN w:val="0"/>
      <w:adjustRightInd w:val="0"/>
      <w:spacing w:after="0" w:line="240" w:lineRule="auto"/>
      <w:ind w:left="127" w:right="127"/>
      <w:jc w:val="right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Page </w:t>
    </w:r>
    <w:r>
      <w:rPr>
        <w:rFonts w:ascii="Arial" w:hAnsi="Arial" w:cs="Arial"/>
        <w:color w:val="000000"/>
        <w:sz w:val="20"/>
        <w:szCs w:val="20"/>
      </w:rPr>
      <w:pgNum/>
    </w:r>
    <w:r>
      <w:rPr>
        <w:rFonts w:ascii="Arial" w:hAnsi="Arial" w:cs="Arial"/>
        <w:color w:val="000000"/>
        <w:sz w:val="20"/>
        <w:szCs w:val="20"/>
      </w:rPr>
      <w:t xml:space="preserve"> of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09F3CF8" w14:textId="77777777" w:rsidR="00ED298F" w:rsidRDefault="003705A8">
    <w:pPr>
      <w:widowControl w:val="0"/>
      <w:tabs>
        <w:tab w:val="center" w:pos="4621"/>
        <w:tab w:val="right" w:pos="9134"/>
      </w:tabs>
      <w:autoSpaceDE w:val="0"/>
      <w:autoSpaceDN w:val="0"/>
      <w:adjustRightInd w:val="0"/>
      <w:spacing w:after="0" w:line="240" w:lineRule="auto"/>
      <w:ind w:left="127" w:right="127"/>
      <w:rPr>
        <w:rFonts w:ascii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020F" w14:textId="77777777" w:rsidR="00ED298F" w:rsidRDefault="003705A8">
    <w:pPr>
      <w:widowControl w:val="0"/>
      <w:tabs>
        <w:tab w:val="center" w:pos="4621"/>
        <w:tab w:val="right" w:pos="9134"/>
      </w:tabs>
      <w:autoSpaceDE w:val="0"/>
      <w:autoSpaceDN w:val="0"/>
      <w:adjustRightInd w:val="0"/>
      <w:spacing w:after="0" w:line="240" w:lineRule="auto"/>
      <w:ind w:left="127" w:right="127"/>
      <w:rPr>
        <w:rFonts w:ascii="Arial" w:hAnsi="Arial" w:cs="Arial"/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31"/>
      <w:gridCol w:w="1943"/>
    </w:tblGrid>
    <w:tr w:rsidR="00ED298F" w14:paraId="627B85B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8931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14:paraId="13A8CCA6" w14:textId="77777777" w:rsidR="00ED298F" w:rsidRDefault="003705A8">
          <w:pPr>
            <w:widowControl w:val="0"/>
            <w:autoSpaceDE w:val="0"/>
            <w:autoSpaceDN w:val="0"/>
            <w:adjustRightInd w:val="0"/>
            <w:spacing w:after="0" w:line="240" w:lineRule="auto"/>
            <w:ind w:left="108" w:right="108"/>
            <w:rPr>
              <w:rFonts w:ascii="Arial" w:hAnsi="Arial" w:cs="Arial"/>
              <w:color w:val="000000"/>
              <w:sz w:val="20"/>
              <w:szCs w:val="20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HIST1001: Europe and the World</w:t>
          </w:r>
        </w:p>
        <w:p w14:paraId="4DBFB4BA" w14:textId="77777777" w:rsidR="00ED298F" w:rsidRDefault="003705A8">
          <w:pPr>
            <w:widowControl w:val="0"/>
            <w:autoSpaceDE w:val="0"/>
            <w:autoSpaceDN w:val="0"/>
            <w:adjustRightInd w:val="0"/>
            <w:spacing w:after="0" w:line="240" w:lineRule="auto"/>
            <w:ind w:left="108" w:right="108"/>
            <w:rPr>
              <w:rFonts w:ascii="Arial" w:hAnsi="Arial" w:cs="Arial"/>
              <w:color w:val="000000"/>
              <w:sz w:val="20"/>
              <w:szCs w:val="20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Callaghan Semester 2 - 2021</w:t>
          </w:r>
        </w:p>
      </w:tc>
      <w:tc>
        <w:tcPr>
          <w:tcW w:w="194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8514CB" w14:textId="5CC02C90" w:rsidR="00ED298F" w:rsidRDefault="003705A8">
          <w:pPr>
            <w:widowControl w:val="0"/>
            <w:autoSpaceDE w:val="0"/>
            <w:autoSpaceDN w:val="0"/>
            <w:adjustRightInd w:val="0"/>
            <w:spacing w:after="0" w:line="240" w:lineRule="auto"/>
            <w:ind w:left="108" w:right="108"/>
            <w:rPr>
              <w:rFonts w:ascii="Arial" w:hAnsi="Arial" w:cs="Arial"/>
              <w:color w:val="000000"/>
              <w:sz w:val="20"/>
              <w:szCs w:val="20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4894E883" wp14:editId="2E71BF2F">
                <wp:extent cx="933450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7C497E4" w14:textId="77777777" w:rsidR="00ED298F" w:rsidRDefault="003705A8">
    <w:pPr>
      <w:widowControl w:val="0"/>
      <w:pBdr>
        <w:bottom w:val="single" w:sz="4" w:space="1" w:color="auto"/>
      </w:pBdr>
      <w:tabs>
        <w:tab w:val="center" w:pos="4621"/>
        <w:tab w:val="right" w:pos="9134"/>
      </w:tabs>
      <w:autoSpaceDE w:val="0"/>
      <w:autoSpaceDN w:val="0"/>
      <w:adjustRightInd w:val="0"/>
      <w:spacing w:after="0" w:line="240" w:lineRule="auto"/>
      <w:ind w:left="127" w:right="127"/>
      <w:rPr>
        <w:rFonts w:ascii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45003" w14:textId="77777777" w:rsidR="00ED298F" w:rsidRDefault="003705A8">
    <w:pPr>
      <w:widowControl w:val="0"/>
      <w:autoSpaceDE w:val="0"/>
      <w:autoSpaceDN w:val="0"/>
      <w:adjustRightInd w:val="0"/>
      <w:spacing w:after="0" w:line="240" w:lineRule="auto"/>
      <w:ind w:left="127" w:right="127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A8"/>
    <w:rsid w:val="00072C50"/>
    <w:rsid w:val="003705A8"/>
    <w:rsid w:val="00A3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9823"/>
  <w15:chartTrackingRefBased/>
  <w15:docId w15:val="{E2BBEB7C-4B0D-4315-91D0-45E3FA92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5A8"/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5A8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core.newcastle.edu.au/iii/encore/plus/C__S%28World%20War%20I%29%20%28Lenin%29%20%28Wilson%29__P2__Orightresult__U__X0?lang=eng&amp;link=http%3A%2F%2Fezproxy.newcastle.edu.au%2Flogin%3Furl%3Dhttp%3A%2F%2Fsearch.ebscohost.com%2Flogin.aspx%3Fdirect%3Dtrue%26site%3Deds-live%26db%3Df5h%26AN%3D9507273185&amp;suite=cobal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core.newcastle.edu.au/iii/encore/plus/C__S%28Russian%20Revolution%29%20%28China%29%20f%3Ax__Orightresult__U__X0?lang=eng&amp;link=http%3A%2F%2Fezproxy.newcastle.edu.au%2Flogin%3Furl%3Dhttp%3A%2F%2Fsearch.ebscohost.com%2Flogin.aspx%3Fdirect%3Dtrue%26site%3Deds-live%26db%3Dbsu%26AN%3D125084902&amp;suite=cobalt" TargetMode="External"/><Relationship Id="rId10" Type="http://schemas.openxmlformats.org/officeDocument/2006/relationships/footer" Target="footer2.xml"/><Relationship Id="rId4" Type="http://schemas.openxmlformats.org/officeDocument/2006/relationships/hyperlink" Target="http://webdoc.sub.gwdg.de/ebook/p/2005/history_cooperative/www.historycooperative.org/proceedings/seascapes/rediker.html" TargetMode="Externa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3504</Words>
  <Characters>19975</Characters>
  <Application>Microsoft Office Word</Application>
  <DocSecurity>0</DocSecurity>
  <Lines>166</Lines>
  <Paragraphs>46</Paragraphs>
  <ScaleCrop>false</ScaleCrop>
  <Company/>
  <LinksUpToDate>false</LinksUpToDate>
  <CharactersWithSpaces>23433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Davis</dc:creator>
  <cp:keywords/>
  <dc:description/>
  <cp:lastModifiedBy>Sacha Davis</cp:lastModifiedBy>
  <cp:revision>1</cp:revision>
  <dcterms:created xsi:type="dcterms:W3CDTF">2021-07-07T03:46:00Z</dcterms:created>
  <dcterms:modified xsi:type="dcterms:W3CDTF">2021-07-07T03:46:00Z</dcterms:modified>
</cp:coreProperties>
</file>