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B3A5C"/>
          <w:sz w:val="52"/>
        </w:rPr>
        <w:t>Inventory Object Counter</w:t>
      </w:r>
    </w:p>
    <w:p>
      <w:pPr>
        <w:pStyle w:val="Normal"/>
        <w:jc w:val="center"/>
        <w:rPr/>
      </w:pPr>
      <w:r>
        <w:rPr>
          <w:color w:val="2E75B6"/>
          <w:sz w:val="32"/>
        </w:rPr>
        <w:t>Model Comparison Report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B3A5C"/>
          <w:sz w:val="30"/>
        </w:rPr>
        <w:t>1. Per-Class Detection Counts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Object Class</w:t>
            </w:r>
          </w:p>
        </w:tc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Model v1</w:t>
            </w:r>
          </w:p>
        </w:tc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Model v2</w:t>
            </w:r>
          </w:p>
        </w:tc>
        <w:tc>
          <w:tcPr>
            <w:tcW w:w="2350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Change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Desk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21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+3  ↑ better recall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Office Chair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26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28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+2  ↑ better recall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Pedestal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-2  ↓ fewer false positives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Bookshelf / Cabinet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-2  ↓ fewer false positives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+2  ↑ better recall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C0392B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Did not had monitor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Mouse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+3  ↑ 2× better recall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Printer / Scanner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-1  ↓ fewer false positives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666666"/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B3A5C"/>
                <w:kern w:val="0"/>
                <w:sz w:val="20"/>
                <w:szCs w:val="22"/>
                <w:lang w:val="en-US" w:eastAsia="en-US" w:bidi="ar-SA"/>
              </w:rPr>
              <w:t>TOTAL RAW TRACKS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B3A5C"/>
                <w:kern w:val="0"/>
                <w:sz w:val="20"/>
                <w:szCs w:val="22"/>
                <w:lang w:val="en-US" w:eastAsia="en-US" w:bidi="ar-SA"/>
              </w:rPr>
              <w:t>82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B3A5C"/>
                <w:kern w:val="0"/>
                <w:sz w:val="20"/>
                <w:szCs w:val="22"/>
                <w:lang w:val="en-US" w:eastAsia="en-US" w:bidi="ar-SA"/>
              </w:rPr>
              <w:t>93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75B6"/>
                <w:kern w:val="0"/>
                <w:sz w:val="20"/>
                <w:szCs w:val="22"/>
                <w:lang w:val="en-US" w:eastAsia="en-US" w:bidi="ar-SA"/>
              </w:rPr>
              <w:t>+11  (13% more detections)</w:t>
            </w:r>
          </w:p>
        </w:tc>
      </w:tr>
    </w:tbl>
    <w:p>
      <w:pPr>
        <w:pStyle w:val="Normal"/>
        <w:rPr>
          <w:i/>
          <w:i/>
          <w:color w:val="444444"/>
          <w:sz w:val="20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B3A5C"/>
          <w:sz w:val="30"/>
        </w:rPr>
        <w:t>2. Inference Quality</w:t>
      </w:r>
    </w:p>
    <w:p>
      <w:pPr>
        <w:pStyle w:val="Normal"/>
        <w:rPr/>
      </w:pPr>
      <w:r>
        <w:rPr>
          <w:i/>
          <w:color w:val="666666"/>
          <w:sz w:val="20"/>
        </w:rPr>
        <w:t>Confidence &amp; tracking stability on the client office walkthrough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Model v1</w:t>
            </w:r>
          </w:p>
        </w:tc>
        <w:tc>
          <w:tcPr>
            <w:tcW w:w="2351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Model v2</w:t>
            </w:r>
          </w:p>
        </w:tc>
        <w:tc>
          <w:tcPr>
            <w:tcW w:w="2350" w:type="dxa"/>
            <w:tcBorders/>
            <w:shd w:fill="1B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Avg detection confidence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0.51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+9pp — boxes are more certain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Classes detected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C0392B"/>
                <w:kern w:val="0"/>
                <w:sz w:val="20"/>
                <w:szCs w:val="22"/>
                <w:lang w:val="en-US" w:eastAsia="en-US" w:bidi="ar-SA"/>
              </w:rPr>
              <w:t>8 / 20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8</w:t>
            </w: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/ 20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Did not have monitor in the dataset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ID switches (ByteTrack)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~34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~21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Stronger features → fewer ID swaps</w:t>
            </w:r>
          </w:p>
        </w:tc>
      </w:tr>
      <w:tr>
        <w:trPr/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False positive rate (est.)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12%</w:t>
            </w:r>
          </w:p>
        </w:tc>
        <w:tc>
          <w:tcPr>
            <w:tcW w:w="2351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7%</w:t>
            </w:r>
          </w:p>
        </w:tc>
        <w:tc>
          <w:tcPr>
            <w:tcW w:w="2350" w:type="dxa"/>
            <w:tcBorders/>
            <w:shd w:fill="F8F9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Better class boundary learning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Avg inference time / frame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28 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27 ms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803E"/>
                <w:kern w:val="0"/>
                <w:sz w:val="20"/>
                <w:szCs w:val="22"/>
                <w:lang w:val="en-US" w:eastAsia="en-US" w:bidi="ar-SA"/>
              </w:rPr>
              <w:t>Marginally faster on same GPU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i/>
          <w:i/>
          <w:color w:val="666666"/>
          <w:sz w:val="18"/>
        </w:rPr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3333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168</Words>
  <Characters>750</Characters>
  <CharactersWithSpaces>858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2026-04-01T00:53:51Z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