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69EB"/>
        </w:rPr>
        <w:t>TrustLife Group Health Insurance Policy</w:t>
      </w:r>
    </w:p>
    <w:p>
      <w:r>
        <w:t>Policy Number: TL-GHI-2024-7890</w:t>
      </w:r>
    </w:p>
    <w:p>
      <w:r>
        <w:t>Effective Date: 1 January 2024</w:t>
      </w:r>
    </w:p>
    <w:p>
      <w:r>
        <w:t>Policyholder: ACME Corporation</w:t>
      </w:r>
    </w:p>
    <w:p/>
    <w:p>
      <w:pPr>
        <w:pStyle w:val="Heading2"/>
      </w:pPr>
      <w:r>
        <w:t>Section 1: Overview</w:t>
      </w:r>
    </w:p>
    <w:p>
      <w:r>
        <w:t>This Group Health Insurance Policy ('Policy') is issued by TrustLife Insurance Limited to ACME Corporation ('Employer') for the benefit of eligible employees and their registered dependants. The Policy is governed by the Insurance Act 2015 and the terms and conditions set out herein.</w:t>
      </w:r>
    </w:p>
    <w:p>
      <w:pPr>
        <w:pStyle w:val="Heading2"/>
      </w:pPr>
      <w:r>
        <w:t>Section 2: Coverage Limits</w:t>
      </w:r>
    </w:p>
    <w:p>
      <w:r>
        <w:t>2.1 Annual Coverage Limit</w:t>
        <w:br/>
        <w:t>Each insured employee is entitled to health insurance coverage up to a maximum of INR 500,000 (Indian Rupees Five Lakhs) per policy year. This limit applies to the aggregate of all eligible medical expenses incurred by the employee and registered dependants within the same policy year.</w:t>
      </w:r>
    </w:p>
    <w:p>
      <w:r>
        <w:t>2.2 Individual Sub-limits</w:t>
        <w:br/>
        <w:t>The following sub-limits apply within the overall INR 500,000 limit:</w:t>
        <w:br/>
        <w:t>- Hospitalisation (room &amp; board): INR 5,000 per day, up to 30 days per year.</w:t>
        <w:br/>
        <w:t>- ICU charges: INR 10,000 per day, up to 15 days per year.</w:t>
        <w:br/>
        <w:t>- Day-care procedures: INR 50,000 per procedure.</w:t>
        <w:br/>
        <w:t>- Pre- and post-hospitalisation: 30 days before and 60 days after discharge.</w:t>
        <w:br/>
        <w:t>- Ambulance charges: INR 2,000 per event.</w:t>
      </w:r>
    </w:p>
    <w:p>
      <w:r>
        <w:t>2.3 Outpatient Benefits</w:t>
        <w:br/>
        <w:t>Outpatient consultations and diagnostics are covered up to INR 15,000 per year per insured individual, subject to a copayment of 20% per visit.</w:t>
      </w:r>
    </w:p>
    <w:p>
      <w:pPr>
        <w:pStyle w:val="Heading2"/>
      </w:pPr>
      <w:r>
        <w:t>Section 3: Exclusions</w:t>
      </w:r>
    </w:p>
    <w:p>
      <w:r>
        <w:t>The following are not covered under this Policy:</w:t>
        <w:br/>
        <w:t>- Cosmetic or aesthetic treatments.</w:t>
        <w:br/>
        <w:t>- Self-inflicted injuries.</w:t>
        <w:br/>
        <w:t>- Experimental or unproven treatments.</w:t>
        <w:br/>
        <w:t>- Dental treatment (unless arising from an accident).</w:t>
        <w:br/>
        <w:t>- Vision correction (spectacles, contact lenses, LASIK).</w:t>
        <w:br/>
        <w:t>- Pre-existing conditions not disclosed at enrolment (first 12 months only).</w:t>
        <w:br/>
        <w:t>- Substance abuse or addiction treatment.</w:t>
      </w:r>
    </w:p>
    <w:p>
      <w:pPr>
        <w:pStyle w:val="Heading2"/>
      </w:pPr>
      <w:r>
        <w:t>Section 4: Claims Procedure</w:t>
      </w:r>
    </w:p>
    <w:p>
      <w:r>
        <w:t>4.1 Cashless Claims</w:t>
        <w:br/>
        <w:t>Employees may avail cashless treatment at any of TrustLife's 3,000+ empanelled network hospitals. Present your TrustLife Health Card at the hospital's insurance desk. Pre-authorisation is required for planned admissions at least 48 hours in advance; for emergency admissions, notify TrustLife within 24 hours.</w:t>
      </w:r>
    </w:p>
    <w:p>
      <w:r>
        <w:t>4.2 Reimbursement Claims</w:t>
        <w:br/>
        <w:t>For treatment at non-network hospitals, the employee pays upfront and submits original bills, discharge summary, and claim form to HR within 30 days of discharge. Reimbursement is processed within 15 working days of receipt of complete documents.</w:t>
      </w:r>
    </w:p>
    <w:p>
      <w:pPr>
        <w:pStyle w:val="Heading2"/>
      </w:pPr>
      <w:r>
        <w:t>Section 5: Premium and Renewal</w:t>
      </w:r>
    </w:p>
    <w:p>
      <w:r>
        <w:t>The annual premium is fully borne by the Employer. The Policy renews automatically on 1 January each year subject to mutual agreement. Premium revision, if any, will be notified at least 60 days before renewal.</w:t>
      </w:r>
    </w:p>
    <w:p>
      <w:pPr>
        <w:pStyle w:val="Heading2"/>
      </w:pPr>
      <w:r>
        <w:t>Section 6: Contact Information</w:t>
      </w:r>
    </w:p>
    <w:p>
      <w:r>
        <w:t>For claims assistance: 1800-TL-CLAIM (toll-free, 24x7)</w:t>
        <w:br/>
        <w:t>Email: claims@trustlife.example.com</w:t>
        <w:br/>
        <w:t>Website: www.trustlife.example.com/employee-portal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