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sz w:val="24"/>
          <w:szCs w:val="24"/>
        </w:rPr>
      </w:pPr>
      <w:r w:rsidDel="00000000" w:rsidR="00000000" w:rsidRPr="00000000">
        <w:rPr>
          <w:rFonts w:ascii="Times New Roman" w:cs="Times New Roman" w:eastAsia="Times New Roman" w:hAnsi="Times New Roman"/>
          <w:sz w:val="52"/>
          <w:szCs w:val="52"/>
          <w:rtl w:val="0"/>
        </w:rPr>
        <w:t xml:space="preserve">Report</w:t>
      </w:r>
      <w:r w:rsidDel="00000000" w:rsidR="00000000" w:rsidRPr="00000000">
        <w:rPr>
          <w:b w:val="1"/>
          <w:bCs w:val="1"/>
          <w:sz w:val="24"/>
          <w:szCs w:val="24"/>
          <w:rtl w:val="0"/>
        </w:rPr>
        <w:br w:type="textWrapping"/>
        <w:t xml:space="preserve">Date of seminar</w:t>
      </w:r>
      <w:r w:rsidDel="00000000" w:rsidR="00000000" w:rsidRPr="00000000">
        <w:rPr>
          <w:sz w:val="24"/>
          <w:szCs w:val="24"/>
          <w:rtl w:val="0"/>
        </w:rPr>
        <w:t xml:space="preserve"> : 6-3-2026</w:t>
      </w:r>
    </w:p>
    <w:p w:rsidR="00000000" w:rsidDel="00000000" w:rsidP="00000000" w:rsidRDefault="00000000" w:rsidRPr="00000000" w14:paraId="00000002">
      <w:pPr>
        <w:spacing w:line="360" w:lineRule="auto"/>
        <w:rPr>
          <w:sz w:val="24"/>
          <w:szCs w:val="24"/>
        </w:rPr>
      </w:pPr>
      <w:r w:rsidDel="00000000" w:rsidR="00000000" w:rsidRPr="00000000">
        <w:rPr>
          <w:b w:val="1"/>
          <w:bCs w:val="1"/>
          <w:sz w:val="24"/>
          <w:szCs w:val="24"/>
          <w:rtl w:val="0"/>
        </w:rPr>
        <w:t xml:space="preserve">Speaker</w:t>
      </w:r>
      <w:r w:rsidDel="00000000" w:rsidR="00000000" w:rsidRPr="00000000">
        <w:rPr>
          <w:sz w:val="24"/>
          <w:szCs w:val="24"/>
          <w:rtl w:val="0"/>
        </w:rPr>
        <w:t xml:space="preserve"> : Dr Ye Jun</w:t>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b w:val="1"/>
          <w:bCs w:val="1"/>
          <w:sz w:val="24"/>
          <w:szCs w:val="24"/>
          <w:rtl w:val="0"/>
        </w:rPr>
        <w:t xml:space="preserve">Title of the presentation</w:t>
      </w:r>
      <w:r w:rsidDel="00000000" w:rsidR="00000000" w:rsidRPr="00000000">
        <w:rPr>
          <w:sz w:val="24"/>
          <w:szCs w:val="24"/>
          <w:rtl w:val="0"/>
        </w:rPr>
        <w:t xml:space="preserve"> - vQPU: Building Foundational Software Components for Hybrid Interfaces in Hybrid Quantum-Classical Computing</w:t>
      </w:r>
      <w:r w:rsidDel="00000000" w:rsidR="00000000" w:rsidRPr="00000000">
        <w:rPr>
          <w:rtl w:val="0"/>
        </w:rPr>
      </w:r>
    </w:p>
    <w:p w:rsidR="00000000" w:rsidDel="00000000" w:rsidP="00000000" w:rsidRDefault="00000000" w:rsidRPr="00000000" w14:paraId="0000000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seminar delivered by Dr. Ye Jun examines the growing bottleneck at the interface between high-level software abstractions and low-level hardware execution. As the field transitions toward hybrid quantum-classical computing (HQCC), engineering limitations have progressed beyond the traditional issues of qubit quality and noise. The new strategy today is to improve integration across the software–hardware stack. The work presented in this seminar addresses this gap by proposing a unified, framework-agnostic infrastructure that connects quantum algorithms to real device behavior. The central idea is that moving from high level/ gate-level abstractions and focussing more instead towards pulse-level and system-level modeling enables more accurate algorithm validation, improved scalability, and tighter hardware–software co-design. Two integrated components namely the EmuPlat platform and the QuanTempo simulation engine are proposed candidates for this job.</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EmuPlat is introduced as a full-stack quantum emulation platform capable of operating across different heterogeneous ecosystems such as Qiskit and CUDA-Q. Its core architectural contribution is a validated four-level intermediate representation which maps quantum programs through the hierarchy: circuit→gate→pulse→waveform. </w:t>
      </w:r>
      <w:r w:rsidDel="00000000" w:rsidR="00000000" w:rsidRPr="00000000">
        <w:rPr>
          <w:rtl w:val="0"/>
        </w:rPr>
      </w:r>
    </w:p>
    <w:p w:rsidR="00000000" w:rsidDel="00000000" w:rsidP="00000000" w:rsidRDefault="00000000" w:rsidRPr="00000000" w14:paraId="0000000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Starting from the circuit level, the compilation workflow begins with standard OpenQASM parsing, which is followed by transpilation into native gate sets. This is then further compiled into calibrated pulse sequences, and as the last step of this pipeline is waveform generation. Each stage incurs minimal latency, with total compilation times in the range of 2.8 ms to 10.2 ms, indicating that compilation overhead is negligible compared to simulation costs. Optimization techniques such as Virtual Z (VZ) gates are incorporated during compilation which reduces physical pulse operations and improves execution fidelity. </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Jun also mentions the inclusion of open-system modeling. The framework incorporates realistic physics via environment coupling through the Lindblad master equation dynamics. This  captures decoherence, dissipation, and leakage beyond the computational subspace. This step is particularly important for superconducting transmon systems, where operations are implemented through calibrated microwave pulses rather than idealized gates.</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scalability, the work introduces QuanTempo, a GPU-accelerated tensor network platform integrated as a backend within EmuPlat. QuanTempo supports popular Tensor Network representations such as MPS, MPO and TTN. Benchmark results demonstrate the effectiveness of this approach. In open-system simulations of the Heisenberg model under Lindbladian dynamics, conventional vectorized methods exhibit exponential memory scaling (~ O(4</w:t>
      </w:r>
      <w:r w:rsidDel="00000000" w:rsidR="00000000" w:rsidRPr="00000000">
        <w:rPr>
          <w:rFonts w:ascii="Times New Roman" w:cs="Times New Roman" w:eastAsia="Times New Roman" w:hAnsi="Times New Roman"/>
          <w:i w:val="1"/>
          <w:iCs w:val="1"/>
          <w:sz w:val="24"/>
          <w:szCs w:val="24"/>
          <w:vertAlign w:val="superscript"/>
          <w:rtl w:val="0"/>
        </w:rPr>
        <w:t xml:space="preserve">N</w:t>
      </w:r>
      <w:r w:rsidDel="00000000" w:rsidR="00000000" w:rsidRPr="00000000">
        <w:rPr>
          <w:rFonts w:ascii="Times New Roman" w:cs="Times New Roman" w:eastAsia="Times New Roman" w:hAnsi="Times New Roman"/>
          <w:sz w:val="24"/>
          <w:szCs w:val="24"/>
          <w:rtl w:val="0"/>
        </w:rPr>
        <w:t xml:space="preserve">)), restricting simulations to small system sizes (typically </w:t>
      </w:r>
      <w:r w:rsidDel="00000000" w:rsidR="00000000" w:rsidRPr="00000000">
        <w:rPr>
          <w:rFonts w:ascii="Times New Roman" w:cs="Times New Roman" w:eastAsia="Times New Roman" w:hAnsi="Times New Roman"/>
          <w:i w:val="1"/>
          <w:iCs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&lt;13). Here </w:t>
      </w:r>
      <w:r w:rsidDel="00000000" w:rsidR="00000000" w:rsidRPr="00000000">
        <w:rPr>
          <w:rFonts w:ascii="Times New Roman" w:cs="Times New Roman" w:eastAsia="Times New Roman" w:hAnsi="Times New Roman"/>
          <w:i w:val="1"/>
          <w:iCs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refers to the number of qubits. In contrast, QuanTempo achieves substantial speedups, approaching two orders of magnitude, highlighting the practical advantages of tensor network methods.</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validation is provided through quantum-inspired simulations of the Quantum Fourier Transform. Representing QFT as an MPO ansatz enables polynomial scaling, in contrast to the exponential complexity of classical FFT applied to full quantum states. A crossover is observed approximately around 16 to 18 qubits, beyond which the tensor-network approach becomes significantly more efficient, with large performance gains at higher system sizes. Furthermore, Bell state simulations achieve approximately 94% fidelity under full density matrix measures and around 99.9% population fidelity.</w:t>
      </w:r>
    </w:p>
    <w:p w:rsidR="00000000" w:rsidDel="00000000" w:rsidP="00000000" w:rsidRDefault="00000000" w:rsidRPr="00000000" w14:paraId="0000000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seminar concludes with several future directions, including integrating tensor networks with open-system dynamics in non-Markovian regimes, developing digital twin architectures for real-time hardware emulation, and incorporating AI-driven calibration methods such as reinforcement learning and transfer learning. The framework also points toward broader applications of quantum-inspired methods in optimization, quantum chemistry, and materials science.</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research focuses on AI-driven and quantum-inspired methods for combinatorial optimization, including variational techniques, statistical mechanics–based approaches, and hybrid quantum-classical models. The primary overlap with the speaker’s work lies in the interface between algorithm design and physical execution. While my work develops optimization frameworks and energy-based models, the vQPU and EmuPlat framework operate at the level where these abstractions are realized under hardware constraints. The emphasis on pulse-level modeling, open-system dynamics, and realistic control conditions directly connects to how such algorithms would perform on actual devices. This suitably aligns with my focus on algorithmic formulation and gave me valuable insight regarding hardware level validation.</w:t>
      </w:r>
    </w:p>
    <w:p w:rsidR="00000000" w:rsidDel="00000000" w:rsidP="00000000" w:rsidRDefault="00000000" w:rsidRPr="00000000" w14:paraId="0000000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research can benefit from this work by moving beyond idealized simulations toward physically grounded evaluation. Current methods are typically tested as simulatory  environments. EmuPlat provides a platform to evaluate these approaches under realistic noise, decoherence, and control limitations, offering a more accurate measure of robustness. Additionally, QuanTempo’s tensor network methods enable scalable analysis of larger systems, which is essential for understanding the behavior of optimization strategies beyond small-scale settings. Incorporating these tools would allow my work to evolve toward more reliable, hardware-aware models suitable for near-term quantum systems, therefore helping me develop algorithms and models that aren’t just good in theory but also functional in real life scenarios.</w:t>
      </w:r>
    </w:p>
    <w:p w:rsidR="00000000" w:rsidDel="00000000" w:rsidP="00000000" w:rsidRDefault="00000000" w:rsidRPr="00000000" w14:paraId="0000000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 Ronit Dutta [1010683] [PhD - SMT]</w:t>
      </w:r>
    </w:p>
    <w:sectPr>
      <w:pgSz w:h="15840" w:w="12240" w:orient="portrait"/>
      <w:pgMar w:bottom="1350" w:top="117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