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color w:val="7030a0"/>
          <w:sz w:val="24"/>
          <w:szCs w:val="24"/>
        </w:rPr>
      </w:pPr>
      <w:r>
        <w:rPr>
          <w:b w:val="1"/>
          <w:bCs w:val="1"/>
          <w:i w:val="0"/>
          <w:iCs w:val="0"/>
          <w:smallCaps w:val="0"/>
          <w:strike w:val="0"/>
          <w:color w:val="000000"/>
          <w:sz w:val="24"/>
          <w:szCs w:val="24"/>
          <w:u w:val="none"/>
          <w:shd w:fill="auto" w:val="clear"/>
          <w:vertAlign w:val="baseline"/>
          <w:rtl w:val="0"/>
        </w:rPr>
        <w:t>Obedience Is Not Safety: Evaluating Authority Confusion and Prompt Injection in AI Data Agents</w:t>
      </w:r>
      <w:r>
        <w:rPr>
          <w:rtl w:val="0"/>
        </w:rPr>
      </w:r>
    </w:p>
    <w:p w:rsidR="00000000" w:rsidDel="00000000" w:rsidP="00000000" w:rsidRDefault="00000000" w:rsidRPr="00000000" w14:paraId="00000002">
      <w:pPr>
        <w:jc w:val="center"/>
        <w:rPr>
          <w:b w:val="1"/>
          <w:bCs w:val="1"/>
          <w:smallCaps w:val="1"/>
          <w:sz w:val="24"/>
          <w:szCs w:val="24"/>
        </w:rPr>
      </w:pPr>
      <w:r>
        <w:rPr>
          <w:rtl w:val="0"/>
        </w:rPr>
      </w:r>
    </w:p>
    <w:p w:rsidR="00000000" w:rsidDel="00000000" w:rsidP="00000000" w:rsidRDefault="00000000" w:rsidRPr="00000000" w14:paraId="00000003">
      <w:pPr>
        <w:jc w:val="center"/>
        <w:rPr>
          <w:i w:val="1"/>
          <w:iCs w:val="1"/>
          <w:color w:val="7030a0"/>
          <w:sz w:val="24"/>
          <w:szCs w:val="24"/>
        </w:rPr>
      </w:pPr>
      <w:r>
        <w:rPr>
          <w:b/>
        </w:rPr>
        <w:t>Rashmikara R</w:t>
      </w:r>
      <w:r>
        <w:rPr>
          <w:b/>
          <w:vertAlign w:val="superscript"/>
        </w:rPr>
        <w:t>1</w:t>
      </w:r>
      <w:r>
        <w:rPr>
          <w:b/>
        </w:rPr>
        <w:t>, Jayathilake M</w:t>
      </w:r>
      <w:r>
        <w:rPr>
          <w:b/>
          <w:vertAlign w:val="superscript"/>
        </w:rPr>
        <w:t>2</w:t>
      </w:r>
    </w:p>
    <w:p w:rsidR="00000000" w:rsidDel="00000000" w:rsidP="00000000" w:rsidRDefault="00000000" w:rsidRPr="00000000" w14:paraId="00000004">
      <w:pPr>
        <w:jc w:val="center"/>
        <w:rPr>
          <w:i w:val="1"/>
          <w:iCs w:val="1"/>
          <w:sz w:val="20"/>
          <w:szCs w:val="20"/>
          <w:vertAlign w:val="superscript"/>
        </w:rPr>
      </w:pPr>
      <w:r>
        <w:rPr>
          <w:i/>
          <w:vertAlign w:val="superscript"/>
        </w:rPr>
        <w:t>1</w:t>
      </w:r>
      <w:r>
        <w:rPr>
          <w:i/>
        </w:rPr>
        <w:t>,</w:t>
      </w:r>
      <w:r>
        <w:rPr>
          <w:i/>
          <w:vertAlign w:val="superscript"/>
        </w:rPr>
        <w:t>2</w:t>
      </w:r>
      <w:r>
        <w:rPr>
          <w:i/>
        </w:rPr>
        <w:t>Lanka Nippon BizTech Institute, 278, High Level Road, Maharagama, Sri Lanka</w:t>
      </w:r>
    </w:p>
    <w:p w:rsidR="00000000" w:rsidDel="00000000" w:rsidP="00000000" w:rsidRDefault="00000000" w:rsidRPr="00000000" w14:paraId="00000005">
      <w:pPr>
        <w:jc w:val="center"/>
        <w:rPr>
          <w:i w:val="1"/>
          <w:iCs w:val="1"/>
          <w:color w:val="7030a0"/>
          <w:sz w:val="20"/>
          <w:szCs w:val="20"/>
        </w:rPr>
      </w:pPr>
      <w:r>
        <w:rPr>
          <w:i w:val="1"/>
          <w:iCs w:val="1"/>
          <w:sz w:val="20"/>
          <w:szCs w:val="20"/>
          <w:rtl w:val="0"/>
        </w:rPr>
        <w:t xml:space="preserve">*Correspondence E-mail: </w:t>
      </w:r>
      <w:hyperlink r:id="rId6">
        <w:r>
          <w:rPr>
            <w:i w:val="1"/>
            <w:iCs w:val="1"/>
            <w:color w:val="1155cc"/>
            <w:sz w:val="20"/>
            <w:szCs w:val="20"/>
            <w:u w:val="single"/>
            <w:rtl w:val="0"/>
          </w:rPr>
          <w:t xml:space="preserve">ronith.bsc.se05@edu.lnbti.lk</w:t>
        </w:r>
      </w:hyperlink>
      <w:r>
        <w:rPr>
          <w:i w:val="1"/>
          <w:iCs w:val="1"/>
          <w:sz w:val="20"/>
          <w:szCs w:val="20"/>
          <w:rtl w:val="0"/>
        </w:rPr>
        <w:t xml:space="preserve"> , Phone: +9477 366 4391</w:t>
      </w:r>
      <w:r>
        <w:rPr>
          <w:rtl w:val="0"/>
        </w:rPr>
      </w:r>
    </w:p>
    <w:p w:rsidR="00000000" w:rsidDel="00000000" w:rsidP="00000000" w:rsidRDefault="00000000" w:rsidRPr="00000000" w14:paraId="00000006">
      <w:pPr>
        <w:jc w:val="center"/>
        <w:rPr>
          <w:i w:val="1"/>
          <w:iCs w:val="1"/>
          <w:color w:val="7030a0"/>
          <w:sz w:val="20"/>
          <w:szCs w:val="20"/>
        </w:rPr>
      </w:pP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Natural-language AI data agents are increasingly used to translate business questions into SQL, analyse relational data, and present findings through conversational interfaces. Their reliability is commonly judged by query accuracy and response quality; however, a technically correct and professionally formatted answer may still result from an unauthorised or adversarial instruction. Existing text-to-SQL benchmarks, including Spider and BIRD, primarily measure task performance and provide limited evidence about whether data agents preserve role boundaries when confronted with false authority claims, prompt injection, or malicious instructions embedded in data. This study introduces DataAgent-SafeBench, a controlled evaluation framework for examining the gap between functional correctness and safe instruction handling. The benchmark comprises 120 cases across five synthetic database domains: university administration, retail sales, human resources, financial services, and logistics. Each case defines a relational schema, user role, permitted and prohibited fields, natural-language request, expected SQL or refusal, authorised output, and machine-readable scoring rules. The evaluation covers benign analytical requests, underspecified tasks, privilege escalation, direct prompt injection, indirect injection embedded in database content, system-prompt disclosure, hallucination traps, jailbreak attempts, and task escape. Three open model families were evaluated through NVIDIA NIM using a fixed data-agent prompt and two repetitions per case, producing 720 model-case evaluations. The results revealed a professionalism-safety mismatch: the model with the highest structured-output conformance also recorded the highest attack-success rate, while the strongest benign task performance did not consistently predict adversarial resilience. No evaluated open model disclosed the planted sensitive-data canaries, but substantial differences emerged in authority handling, refusal correctness, and resistance to injected instructions. Preliminary case studies involving Databricks AI/BI Genie and GPT-5.6 Sol further indicated that authority-confusion and jailbreak patterns may extend beyond smaller open models to production-oriented and frontier systems. These case studies are treated as bounded observations requiring controlled replication rather than general claims about either platform. DataAgent-SafeBench demonstrates that fluent, structured, and technically valid outputs should not be treated as evidence of authorised behaviour. The framework supports transparent comparison, reproducible testing, and the development of safer organisational data-agent controls.</w:t>
      </w:r>
    </w:p>
    <w:p w:rsidR="00000000" w:rsidDel="00000000" w:rsidP="00000000" w:rsidRDefault="00000000" w:rsidRPr="00000000" w14:paraId="00000008">
      <w:pPr>
        <w:ind w:right="567"/>
        <w:jc w:val="both"/>
        <w:rPr>
          <w:sz w:val="18"/>
          <w:szCs w:val="18"/>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Keywords: AI data agents; authority confusion; prompt injection; text-to-SQL; behavioural alignment</w:t>
      </w:r>
      <w:r>
        <w:rPr>
          <w:rtl w:val="0"/>
        </w:rPr>
      </w:r>
    </w:p>
    <w:sectPr>
      <w:footerReference r:id="rId7" w:type="default"/>
      <w:pgSz w:h="16840" w:w="11910" w:orient="portrait"/>
      <w:pgMar w:bottom="1740" w:top="1920" w:left="1275" w:right="566" w:header="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0"/>
      <w:ind w:left="144"/>
      <w:jc w:val="left"/>
    </w:pPr>
    <w:r>
      <w:drawing>
        <wp:inline>
          <wp:extent cx="3749039" cy="50537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749039" cy="505370"/>
                  </a:xfrm>
                  <a:prstGeom prst="rect"/>
                </pic:spPr>
              </pic:pic>
            </a:graphicData>
          </a:graphic>
        </wp:inline>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71" w:hanging="51.000000000000014"/>
    </w:pPr>
    <w:rPr>
      <w:b w:val="1"/>
      <w:bCs w:val="1"/>
      <w:sz w:val="30"/>
      <w:szCs w:val="30"/>
    </w:rPr>
  </w:style>
  <w:style w:type="paragraph" w:styleId="Heading2">
    <w:name w:val="heading 2"/>
    <w:basedOn w:val="Normal"/>
    <w:next w:val="Normal"/>
    <w:pPr>
      <w:ind w:left="165"/>
    </w:pPr>
    <w:rPr>
      <w:b w:val="1"/>
      <w:bCs w:val="1"/>
      <w:sz w:val="26"/>
      <w:szCs w:val="26"/>
      <w:u w:val="single"/>
    </w:rPr>
  </w:style>
  <w:style w:type="paragraph" w:styleId="Heading3">
    <w:name w:val="heading 3"/>
    <w:basedOn w:val="Normal"/>
    <w:next w:val="Normal"/>
    <w:pPr>
      <w:ind w:left="165"/>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nith.bsc.se05@edu.lnbti.lk" TargetMode="Externa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2025-10-08T00:00:00Z</vt:lpwstr>
  </property>
  <property fmtid="{D5CDD505-2E9C-101B-9397-08002B2CF9AE}" pid="4" name="Creator">
    <vt:lpwstr>Microsoft® Word for Microsoft 365</vt:lpwstr>
  </property>
  <property fmtid="{D5CDD505-2E9C-101B-9397-08002B2CF9AE}" pid="5" name="LastSaved">
    <vt:lpwstr>2026-04-30T00:00:00Z</vt:lpwstr>
  </property>
  <property fmtid="{D5CDD505-2E9C-101B-9397-08002B2CF9AE}" pid="6" name="Producer">
    <vt:lpwstr>Microsoft® Word for Microsoft 365</vt:lpwstr>
  </property>
  <property fmtid="{D5CDD505-2E9C-101B-9397-08002B2CF9AE}" pid="7" name="GrammarlyDocumentId">
    <vt:lpwstr>48263daa-df14-4465-8be9-20a6e272fb57</vt:lpwstr>
  </property>
</Properties>
</file>