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06 TECHNICAL DOSSIER</w:t>
      </w:r>
    </w:p>
    <w:p>
      <w:pPr>
        <w:keepNext/>
        <w:spacing w:after="120" w:before="0"/>
        <w:jc w:val="center"/>
      </w:pPr>
      <w:r>
        <w:rPr>
          <w:sz w:val="14"/>
        </w:rPr>
        <w:t>Capstone ICA (20 marks): CDIO Robotics Engineering &amp; MuJoCo Physics 10 · CSBS Techno-Economic Business Systems Analysis 5 · Studio Showcase &amp; Viva Voce 5</w:t>
        <w:br/>
        <w:t>EDITABLE REVIEW COPY — unsigned.</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06 · Autonomous Crawler Cleaning Robot for Inclined Rooftop Solar Panels</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https://github.com/sunny-nanade/NMIMS-MPSTME-MDRIIA-2026/tree/main/Group_06_Arush_Ronit_Harshvardhan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Group_06_Arush_Ronit_Harshvardhan/docs/MDRIIA_Group_06_Technical_Dossier.docx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Arush Ashish Patil</w:t>
            </w:r>
          </w:p>
        </w:tc>
        <w:tc>
          <w:tcPr>
            <w:tcW w:type="dxa" w:w="680"/>
          </w:tcPr>
          <w:p>
            <w:pPr>
              <w:keepNext/>
              <w:spacing w:after="0"/>
            </w:pPr>
            <w:r/>
            <w:r>
              <w:rPr>
                <w:b w:val="0"/>
                <w:i w:val="0"/>
                <w:color w:val="000000"/>
                <w:sz w:val="14"/>
              </w:rPr>
              <w:t>E048</w:t>
            </w:r>
          </w:p>
        </w:tc>
        <w:tc>
          <w:tcPr>
            <w:tcW w:type="dxa" w:w="1304"/>
          </w:tcPr>
          <w:p>
            <w:pPr>
              <w:keepNext/>
              <w:spacing w:after="0"/>
            </w:pPr>
            <w:r/>
            <w:r>
              <w:rPr>
                <w:b w:val="0"/>
                <w:i w:val="0"/>
                <w:color w:val="000000"/>
                <w:sz w:val="14"/>
              </w:rPr>
              <w:t>70362400013</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Tracked Crawler Chassis &amp; MuJoCo Adhesion Modeler</w:t>
            </w:r>
          </w:p>
        </w:tc>
      </w:tr>
      <w:tr>
        <w:trPr>
          <w:cantSplit/>
        </w:trPr>
        <w:tc>
          <w:tcPr>
            <w:tcW w:type="dxa" w:w="2154"/>
          </w:tcPr>
          <w:p>
            <w:pPr>
              <w:keepNext/>
              <w:spacing w:after="0"/>
            </w:pPr>
            <w:r/>
            <w:r>
              <w:rPr>
                <w:b/>
                <w:i w:val="0"/>
                <w:color w:val="000000"/>
                <w:sz w:val="14"/>
              </w:rPr>
              <w:t>Ronit Rajput</w:t>
            </w:r>
          </w:p>
        </w:tc>
        <w:tc>
          <w:tcPr>
            <w:tcW w:type="dxa" w:w="680"/>
          </w:tcPr>
          <w:p>
            <w:pPr>
              <w:keepNext/>
              <w:spacing w:after="0"/>
            </w:pPr>
            <w:r/>
            <w:r>
              <w:rPr>
                <w:b w:val="0"/>
                <w:i w:val="0"/>
                <w:color w:val="000000"/>
                <w:sz w:val="14"/>
              </w:rPr>
              <w:t>E052</w:t>
            </w:r>
          </w:p>
        </w:tc>
        <w:tc>
          <w:tcPr>
            <w:tcW w:type="dxa" w:w="1304"/>
          </w:tcPr>
          <w:p>
            <w:pPr>
              <w:keepNext/>
              <w:spacing w:after="0"/>
            </w:pPr>
            <w:r/>
            <w:r>
              <w:rPr>
                <w:b w:val="0"/>
                <w:i w:val="0"/>
                <w:color w:val="000000"/>
                <w:sz w:val="14"/>
              </w:rPr>
              <w:t>70362400001</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Waterless Rotary Brush Actuation &amp; Cleaning Efficiency Engineer</w:t>
            </w:r>
          </w:p>
        </w:tc>
      </w:tr>
      <w:tr>
        <w:trPr>
          <w:cantSplit/>
        </w:trPr>
        <w:tc>
          <w:tcPr>
            <w:tcW w:type="dxa" w:w="2154"/>
          </w:tcPr>
          <w:p>
            <w:pPr>
              <w:spacing w:after="0"/>
            </w:pPr>
            <w:r/>
            <w:r>
              <w:rPr>
                <w:b/>
                <w:i w:val="0"/>
                <w:color w:val="000000"/>
                <w:sz w:val="14"/>
              </w:rPr>
              <w:t>Harshvardhan Sahi</w:t>
            </w:r>
          </w:p>
        </w:tc>
        <w:tc>
          <w:tcPr>
            <w:tcW w:type="dxa" w:w="680"/>
          </w:tcPr>
          <w:p>
            <w:pPr>
              <w:spacing w:after="0"/>
            </w:pPr>
            <w:r/>
            <w:r>
              <w:rPr>
                <w:b w:val="0"/>
                <w:i w:val="0"/>
                <w:color w:val="000000"/>
                <w:sz w:val="14"/>
              </w:rPr>
              <w:t>E058</w:t>
            </w:r>
          </w:p>
        </w:tc>
        <w:tc>
          <w:tcPr>
            <w:tcW w:type="dxa" w:w="1304"/>
          </w:tcPr>
          <w:p>
            <w:pPr>
              <w:spacing w:after="0"/>
            </w:pPr>
            <w:r/>
            <w:r>
              <w:rPr>
                <w:b w:val="0"/>
                <w:i w:val="0"/>
                <w:color w:val="000000"/>
                <w:sz w:val="14"/>
              </w:rPr>
              <w:t>70362400031</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Photovoltaic Degradation &amp; CapEx/OpEx Payback Analyst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an autonomous crawler cleaning robot simulated in MuJoCo recover soiling-induced energy losses (15-18% monthly) on inclined commercial rooftop solar arrays while reducing cleaning cycle operational expenditure compared to manual labor?</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Solar Panel Cleaning</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demonstrated strong local domain awareness (commercial rooftop solar installations in Mumbai). However, it lacked specific empirical parameters for monthly dust soiling attenuation and did not identify the robotic locomotion mechanism (tracked crawler, suction/vacuum adhesion, rotating microfiber brush) or the specific physics simulator.</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cantSplit/>
        </w:trPr>
        <w:tc>
          <w:tcPr>
            <w:tcW w:type="dxa" w:w="2778"/>
          </w:tcPr>
          <w:p>
            <w:pPr>
              <w:keepNext/>
              <w:spacing w:after="0"/>
            </w:pPr>
            <w:r/>
            <w:r>
              <w:rPr>
                <w:b w:val="0"/>
                <w:i w:val="0"/>
                <w:color w:val="000000"/>
                <w:sz w:val="14"/>
              </w:rPr>
              <w:t>A 100 kWp commercial rooftop PV array in Mumbai generates about 140,000 kWh annually.</w:t>
            </w:r>
          </w:p>
        </w:tc>
        <w:tc>
          <w:tcPr>
            <w:tcW w:type="dxa" w:w="2608"/>
          </w:tcPr>
          <w:p>
            <w:pPr>
              <w:keepNext/>
              <w:spacing w:after="0"/>
            </w:pPr>
            <w:r/>
            <w:r>
              <w:rPr>
                <w:b w:val="0"/>
                <w:i/>
                <w:color w:val="333333"/>
                <w:sz w:val="13"/>
              </w:rPr>
              <w:t>≈1,400 kWh/kWp/year is plausible. Confirm with a solar-resource tool or national data for Mumbai and cite it.</w:t>
            </w:r>
          </w:p>
        </w:tc>
        <w:tc>
          <w:tcPr>
            <w:tcW w:type="dxa" w:w="2438"/>
          </w:tcPr>
          <w:p>
            <w:pPr>
              <w:keepNext/>
              <w:spacing w:after="0"/>
            </w:pPr>
            <w:r/>
            <w:r>
              <w:rPr>
                <w:sz w:val="14"/>
              </w:rPr>
              <w:t xml:space="preserve">No verified site-specific yield source obtained; delete numerical Mumbai claim. No electrical PV model is implemented.</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keepNext/>
              <w:spacing w:after="0"/>
            </w:pPr>
            <w:r/>
            <w:r>
              <w:rPr>
                <w:b w:val="0"/>
                <w:i w:val="0"/>
                <w:color w:val="000000"/>
                <w:sz w:val="14"/>
              </w:rPr>
              <w:t>A 16% monthly soiling loss forfeits 22,400 kWh/year.</w:t>
            </w:r>
          </w:p>
        </w:tc>
        <w:tc>
          <w:tcPr>
            <w:tcW w:type="dxa" w:w="2608"/>
          </w:tcPr>
          <w:p>
            <w:pPr>
              <w:keepNext/>
              <w:spacing w:after="0"/>
            </w:pPr>
            <w:r/>
            <w:r>
              <w:rPr>
                <w:b w:val="0"/>
                <w:i/>
                <w:color w:val="333333"/>
                <w:sz w:val="13"/>
              </w:rPr>
              <w:t>Inconsistent: 22,400 kWh is 16% of the annual yield, i.e. an annual-average loss, not a monthly one. Soiling loss depends on the cleaning interval; find a primary Indian soiling study.</w:t>
            </w:r>
          </w:p>
        </w:tc>
        <w:tc>
          <w:tcPr>
            <w:tcW w:type="dxa" w:w="2438"/>
          </w:tcPr>
          <w:p>
            <w:pPr>
              <w:keepNext/>
              <w:spacing w:after="0"/>
            </w:pPr>
            <w:r/>
            <w:r>
              <w:rPr>
                <w:sz w:val="14"/>
              </w:rPr>
              <w:t xml:space="preserve">No verified primary monthly-loss source obtained. Monthly loss cannot be multiplied by annual generation as an annual-average loss; delete.</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spacing w:after="0"/>
            </w:pPr>
            <w:r/>
            <w:r>
              <w:rPr>
                <w:b w:val="0"/>
                <w:i w:val="0"/>
                <w:color w:val="000000"/>
                <w:sz w:val="14"/>
              </w:rPr>
              <w:t>Daily waterless cleaning increases net energy yield by 15.2% with CapEx payback within 8.6 months.</w:t>
            </w:r>
          </w:p>
        </w:tc>
        <w:tc>
          <w:tcPr>
            <w:tcW w:type="dxa" w:w="2608"/>
          </w:tcPr>
          <w:p>
            <w:pPr>
              <w:spacing w:after="0"/>
            </w:pPr>
            <w:r/>
            <w:r>
              <w:rPr>
                <w:b w:val="0"/>
                <w:i/>
                <w:color w:val="333333"/>
                <w:sz w:val="13"/>
              </w:rPr>
              <w:t>Must come from your own script output with sourced inputs, or be deleted.</w:t>
            </w:r>
          </w:p>
        </w:tc>
        <w:tc>
          <w:tcPr>
            <w:tcW w:type="dxa" w:w="2438"/>
          </w:tcPr>
          <w:p>
            <w:pPr>
              <w:spacing w:after="0"/>
            </w:pPr>
            <w:r/>
            <w:r>
              <w:rPr>
                <w:sz w:val="14"/>
              </w:rPr>
              <w:t xml:space="preserve">No measured PV electrical recovery or sourced commercial payback supports these numbers. Delete; replace with explicitly assumed dimensionless scenario in Section 3.</w:t>
            </w:r>
          </w:p>
        </w:tc>
        <w:tc>
          <w:tcPr>
            <w:tcW w:type="dxa" w:w="1304"/>
          </w:tcPr>
          <w:p>
            <w:pPr>
              <w:spacing w:after="0"/>
            </w:pPr>
            <w:r/>
            <w:r>
              <w:rPr>
                <w:sz w:val="14"/>
              </w:rPr>
              <w:t xml:space="preserve">No source found</w:t>
            </w:r>
          </w:p>
        </w:tc>
        <w:tc>
          <w:tcPr>
            <w:tcW w:type="dxa" w:w="1077"/>
          </w:tcPr>
          <w:p>
            <w:pPr>
              <w:spacing w:after="0"/>
            </w:pPr>
            <w:r/>
            <w:r>
              <w:rPr>
                <w:sz w:val="14"/>
              </w:rPr>
              <w:t xml:space="preserve">Delete</w:t>
            </w:r>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industrial robot/manipulator and integration. This fixed-panel cleaning mobile device is not an industrial manipulator; no conformity claim.</w:t>
            </w:r>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driverless industrial trucks. The selected fixed PV-bay cleaner is not an industrial truck; no conformity claim.</w:t>
            </w:r>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Industrial robot-system standard associated with ISO 10218; selected system is not an industrial manipulator. No compliance claim.</w:t>
            </w:r>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Medical electrical equipment; the PV cleaner has no medical use. No applicable medical requirement.</w:t>
            </w:r>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IEC 61215 / IEC 61730 (PV module qualification and safety) for allowable loads on the glass</w:t>
            </w:r>
          </w:p>
        </w:tc>
        <w:tc>
          <w:tcPr>
            <w:tcW w:type="dxa" w:w="1928"/>
          </w:tcPr>
          <w:p>
            <w:pPr>
              <w:spacing w:after="0"/>
            </w:pPr>
            <w:r/>
            <w:r>
              <w:rPr>
                <w:b w:val="0"/>
                <w:i/>
                <w:color w:val="333333"/>
                <w:sz w:val="13"/>
              </w:rPr>
              <w:t>Recommended: check it</w:t>
            </w:r>
          </w:p>
        </w:tc>
        <w:tc>
          <w:tcPr>
            <w:tcW w:type="dxa" w:w="1134"/>
          </w:tcPr>
          <w:p>
            <w:pPr>
              <w:spacing w:after="0"/>
            </w:pPr>
            <w:r/>
            <w:r>
              <w:rPr>
                <w:sz w:val="14"/>
              </w:rPr>
              <w:t xml:space="preserve">Partly</w:t>
            </w:r>
          </w:p>
        </w:tc>
        <w:tc>
          <w:tcPr>
            <w:tcW w:type="dxa" w:w="2891"/>
          </w:tcPr>
          <w:p>
            <w:pPr>
              <w:spacing w:after="0"/>
            </w:pPr>
            <w:r/>
            <w:r>
              <w:rPr>
                <w:sz w:val="14"/>
              </w:rPr>
              <w:t xml:space="preserve">IEC 61215 (PV module qualification) and IEC 61730 (module safety) are relevant to future module/cleaner compatibility. Licensed clauses and allowable local brush/wheel loads were not verified; no clause number, certified glass load or compliance is asserted.</w:t>
            </w:r>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r>
              <w:rPr>
                <w:sz w:val="14"/>
              </w:rPr>
              <w:t xml:space="preserve">Measured simulation baseline: waypoint + proportional wheel control; compare at equal 0–30 s exposure. Commercial reference: 120 person-hours/month is an assumption, not a site measurement.</w:t>
            </w:r>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r>
              <w:rPr>
                <w:sz w:val="14"/>
              </w:rPr>
              <w:t xml:space="preserve">Actual controller logs and frozen protocol; commercial assumptions in analytics/final_business_inputs.json. No Mumbai field survey or verified annual-yield figure.</w:t>
            </w:r>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r>
              <w:rPr>
                <w:sz w:val="14"/>
              </w:rPr>
              <w:t xml:space="preserve">Rooftop PV owner/operator and cleaning contractor; access, inspection, transfer and maintenance remain human responsibilities in the business scenario.</w:t>
            </w:r>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Crawler Cleaning Robot for Inclined Rooftop Solar Panels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r>
              <w:t>Group_06_Arush_Ronit_Harshvardhan/models/collection_cleaning_crawler.xml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Group_06_Arush_Ronit_Harshvardhan/src/crawler_cleaning_controller.py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r>
              <w:t>Final model: 0.002 s, five actuators (four driven rollers approximating tracks + one rotary brush). Brush capsule contact priority 2; separate stiff solid contact; zero-friction physical containment guards. See final parameter controls below.</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r>
              <w:t>Monitor actual RGB → persistent dirt trigger → sweep + requested bottom-edge task → image verification/revisit → return → settle → dock service. No endless loop on a clean scene.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r>
              <w:t>Rigid-body dynamics: M(q)q̈ + C(q,q̇)q̇ + g(q) = τ + Jᵀf. Ideal uphill no-slip bound: μmg cosθ ≥ mg sinθ, with Fadh=0. Wheel PI drives four roller motors; heading error creates differential wheel-speed references. Coverage is qualifying brush footprint / 24 m². Dust disappearance uses a contact-gated reduced-order removal model, not granular dust/airflow dynamics.</w:t>
            </w:r>
          </w:p>
        </w:tc>
      </w:tr>
    </w:tbl>
    <w:p>
      <w:pPr>
        <w:spacing w:after="40" w:before="0"/>
      </w:pPr>
    </w:p>
    <w:p>
      <w:pPr>
        <w:keepNext/>
        <w:spacing w:after="40" w:before="0"/>
      </w:pPr>
      <w:r>
        <w:t>Audit correction: inherited 16–16.8% soiling and 15.2–16.2% restoration constants are excluded from the final analysis; there is no PV electrical model.</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r>
              <w:rPr>
                <w:sz w:val="14"/>
              </w:rPr>
              <w:t xml:space="preserve">0.002 s; 500 Hz integration and logging</w:t>
            </w:r>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r>
              <w:rPr>
                <w:sz w:val="14"/>
              </w:rPr>
              <w:t xml:space="preserve">Rollers 1.2 / 0.005 / 0.0001; glass and brush 0.4 / 0.005 / 0.0001; brush contact priority 2. Guard friction is zero. These are model assumptions, not measured tyre/glass properties.</w:t>
            </w:r>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r>
              <w:rPr>
                <w:sz w:val="14"/>
              </w:rPr>
              <w:t xml:space="preserve">Brush/glass 0.02 s, 1 (soft bristle approximation); guide 0.01 s, 1; model default 0.005 s, 1. Rounded capsule contact was retained after replay rejected rigid-cylinder kicks. No coating-safety inference.</w:t>
            </w:r>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r>
              <w:rPr>
                <w:sz w:val="14"/>
              </w:rPr>
              <w:t xml:space="preserve">PI / PD</w:t>
            </w:r>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r>
              <w:rPr>
                <w:sz w:val="14"/>
              </w:rPr>
              <w:t xml:space="preserve">Wheel PI: Kp=0.8 N·m/(rad/s), Ki=0.5 N·m/rad, integral clamp ±3 rad, motor ±3 N·m. Heading 3 s⁻¹, yaw command ±1.2 rad/s. Shared incline/return regulator Kp=0.6, Ki=0.2; torque ±1 N·m, slew 4 N·m/s. Brush velocity target 15 rad/s, kv=0.1, torque ±1 N·m.</w:t>
            </w:r>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r>
              <w:rPr>
                <w:sz w:val="14"/>
              </w:rPr>
              <w:t xml:space="preserve">HOME_MONITOR → SETTLE/ALIGN → SWEEP; image-requested EDGE_CLEAN_BOTTOM; verification/revisit; RETURN_HOME → DOCKING → DOCK_SERVICE → DOCKED. Safety abort/timeout remain failed outcomes.</w:t>
            </w:r>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r>
              <w:t>models/collection_cleaning_crawler.xml</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Off-glass dock, fixed capsule brush, guide and tray; 8.5 kg and five actuators. Arush led AI-assisted file implementation; Ronit supported 3D modelling.</w:t>
            </w:r>
          </w:p>
        </w:tc>
      </w:tr>
      <w:tr>
        <w:trPr>
          <w:cantSplit/>
        </w:trPr>
        <w:tc>
          <w:tcPr>
            <w:tcW w:type="dxa" w:w="3061"/>
          </w:tcPr>
          <w:p>
            <w:pPr>
              <w:keepNext/>
              <w:spacing w:after="0"/>
            </w:pPr>
            <w:r/>
            <w:r>
              <w:rPr>
                <w:b w:val="0"/>
                <w:i w:val="0"/>
                <w:color w:val="000000"/>
                <w:sz w:val="14"/>
              </w:rPr>
              <w:t>src/crawler_cleaning_controller.py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Camera-triggered departure, PI tracking, bounded turns/return and 500 Hz logging. Arush led AI-assisted code implementation; team members supported development.</w:t>
            </w:r>
          </w:p>
        </w:tc>
      </w:tr>
      <w:tr>
        <w:trPr>
          <w:cantSplit/>
        </w:trPr>
        <w:tc>
          <w:tcPr>
            <w:tcW w:type="dxa" w:w="3061"/>
          </w:tcPr>
          <w:p>
            <w:r>
              <w:t>analytics/final_business_model.py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Measured-throughput business scenario, transfer labour and sensitivity. Arush led AI-assisted file implementation; Harshvardhan led business/economic inputs with Ronit supporting business modelling.</w:t>
            </w:r>
          </w:p>
        </w:tc>
      </w:tr>
      <w:tr>
        <w:trPr>
          <w:cantSplit/>
        </w:trPr>
        <w:tc>
          <w:tcPr>
            <w:tcW w:type="dxa" w:w="3061"/>
          </w:tcPr>
          <w:p>
            <w:pPr>
              <w:keepNext/>
              <w:spacing w:after="0"/>
            </w:pPr>
            <w:r/>
            <w:r>
              <w:rPr>
                <w:sz w:val="14"/>
              </w:rPr>
              <w:t xml:space="preserve">src/vision_mission.py + panel_vision.py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Rendered RGB observations, persistence, targeted revisits and independent residual scoring. Arush led AI-assisted implementation; navigation uses simulator pose.</w:t>
            </w:r>
          </w:p>
        </w:tc>
      </w:tr>
      <w:tr>
        <w:trPr>
          <w:cantSplit/>
        </w:trPr>
        <w:tc>
          <w:tcPr>
            <w:tcW w:type="dxa" w:w="3061"/>
          </w:tcPr>
          <w:p>
            <w:pPr>
              <w:spacing w:after="0"/>
            </w:pPr>
            <w:r/>
            <w:r>
              <w:rPr>
                <w:sz w:val="14"/>
              </w:rPr>
              <w:t xml:space="preserve">src/run_final_validation.py</w:t>
            </w:r>
          </w:p>
        </w:tc>
        <w:tc>
          <w:tcPr>
            <w:tcW w:type="dxa" w:w="1871"/>
          </w:tcPr>
          <w:p>
            <w:pPr>
              <w:spacing w:after="0"/>
            </w:pPr>
            <w:r>
              <w:rPr>
                <w:sz w:val="14"/>
              </w:rPr>
              <w:t>Modified by us</w:t>
            </w:r>
          </w:p>
        </w:tc>
        <w:tc>
          <w:tcPr>
            <w:tcW w:type="dxa" w:w="1587"/>
          </w:tcPr>
          <w:p>
            <w:pPr>
              <w:spacing w:after="0"/>
            </w:pPr>
            <w:r>
              <w:rPr>
                <w:sz w:val="14"/>
              </w:rPr>
              <w:t>E048</w:t>
            </w:r>
          </w:p>
        </w:tc>
        <w:tc>
          <w:tcPr>
            <w:tcW w:type="dxa" w:w="3685"/>
          </w:tcPr>
          <w:p>
            <w:pPr>
              <w:spacing w:after="0"/>
            </w:pPr>
            <w:r>
              <w:rPr>
                <w:sz w:val="14"/>
              </w:rPr>
              <w:t>Frozen 180 attempts over three inclinations with independent seeds, raw torque logs and source snapshots. Arush led AI-assisted implementation; team members supported the project.</w:t>
            </w:r>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Pr>
                <w:rFonts w:ascii="Consolas" w:hAnsi="Consolas"/>
                <w:sz w:val="16"/>
              </w:rPr>
              <w:t>src/crawler_cleaning_controller.py, lines 180–185</w:t>
              <w:br/>
              <w:t xml:space="preserve">                for i,j in enumerate(joints):</w:t>
              <w:br/>
              <w:t xml:space="preserve">                    e=speeds[i]-d.qvel[j]</w:t>
              <w:br/>
              <w:t xml:space="preserve">                    integral[i]=np.clip(integral[i]+e*dt,-3,3)</w:t>
              <w:br/>
              <w:t xml:space="preserve">                    d.ctrl[i]=np.clip(.8*e+(.5*integral[i] if variant=="proposed" else 0),-3,3)</w:t>
              <w:br/>
              <w:t xml:space="preserve">            d.ctrl[4]=15 if state in ('SWEEP','EDGE_CLEAN_BOTTOM') else 0</w:t>
              <w:br/>
              <w:t xml:space="preserve">            mujoco.mj_forward(m,d)</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
              <w:drawing>
                <wp:inline xmlns:a="http://schemas.openxmlformats.org/drawingml/2006/main" xmlns:pic="http://schemas.openxmlformats.org/drawingml/2006/picture">
                  <wp:extent cx="5212080" cy="1498473"/>
                  <wp:docPr id="1" name="Picture 1"/>
                  <wp:cNvGraphicFramePr>
                    <a:graphicFrameLocks noChangeAspect="1"/>
                  </wp:cNvGraphicFramePr>
                  <a:graphic>
                    <a:graphicData uri="http://schemas.openxmlformats.org/drawingml/2006/picture">
                      <pic:pic>
                        <pic:nvPicPr>
                          <pic:cNvPr id="0" name="free_body.png"/>
                          <pic:cNvPicPr/>
                        </pic:nvPicPr>
                        <pic:blipFill>
                          <a:blip r:embed="rId10"/>
                          <a:stretch>
                            <a:fillRect/>
                          </a:stretch>
                        </pic:blipFill>
                        <pic:spPr>
                          <a:xfrm>
                            <a:off x="0" y="0"/>
                            <a:ext cx="5212080" cy="1498473"/>
                          </a:xfrm>
                          <a:prstGeom prst="rect"/>
                        </pic:spPr>
                      </pic:pic>
                    </a:graphicData>
                  </a:graphic>
                </wp:inline>
              </w:drawing>
            </w:r>
          </w:p>
          <w:p>
            <w:r>
              <w:rPr>
                <w:sz w:val="14"/>
              </w:rPr>
              <w:t>Panel-tangent free-body idealisation; guard and brush contact are distinct from wheel normal load.</w:t>
            </w:r>
          </w:p>
          <w:p>
            <w:r>
              <w:t>m=8.5 kg, g=9.81 m/s², θ=20°: mg=83.385 N; mg sinθ=28.519 N; mg cosθ=78.355 N; ideal μmin=tan20°=0.364. No suction adhesion is simulated. These equilibrium values do not prove traction or glass safety. Actual brush normal load is brush_normal_N, guard load is guard_normal_N and panel velocities are vx/vy_panel_mps in raw CSV. Torque effort is Στ²Δt; positive mechanical work is ∫max(τq̇,0)dt. Electrical energy additionally requires declared efficiency and auxiliary-power assumptions.</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r>
              <w:t>Group_06_Arush_Ronit_Harshvardhan/analytics/final_business_model.py</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r>
              <w:t>Final operational scenario: one 24 m² tilted bay is cleaned after controlled RGB detection; manual transfer between bays is explicitly charged as human labour. No site-specific PV generation, water saving, electrical-yield recovery or commercial payback is established. The three inherited numerical claims in Section 1 are deleted.</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r>
              <w:t>Commercial inputs are explicitly labelled assumptions in final_business_inputs.json and varied in sensitivity.csv. Throughput/mechanical-work inputs come from the named actual simulation dataset. Modelled blower/auxiliary wattages and efficiency are assumptions; they are not electrical measurements.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E058.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cantSplit/>
        </w:trPr>
        <w:tc>
          <w:tcPr>
            <w:tcW w:type="dxa" w:w="1701"/>
          </w:tcPr>
          <w:p>
            <w:pPr>
              <w:keepNext/>
              <w:spacing w:after="0"/>
            </w:pPr>
            <w:r/>
            <w:r>
              <w:rPr>
                <w:b/>
                <w:i w:val="0"/>
                <w:color w:val="000000"/>
                <w:sz w:val="14"/>
              </w:rPr>
              <w:t>Labour reallocation H_reclaimed</w:t>
            </w:r>
          </w:p>
        </w:tc>
        <w:tc>
          <w:tcPr>
            <w:tcW w:type="dxa" w:w="3515"/>
          </w:tcPr>
          <w:p>
            <w:r>
              <w:t>Hreclaimed = H0 − [f·n·Ta/(3600p) + n·(ttransfer + (1−p)·trecovery/p)/3600 + Hmaintenance]. n=sections/month; Ta=mean attempt seconds; p=success fraction; f=supervision fraction; all transfer/recovery is human labour in the base scenario.</w:t>
            </w:r>
          </w:p>
        </w:tc>
        <w:tc>
          <w:tcPr>
            <w:tcW w:type="dxa" w:w="2835"/>
          </w:tcPr>
          <w:p>
            <w:pPr>
              <w:keepNext/>
              <w:spacing w:after="0"/>
            </w:pPr>
            <w:r/>
            <w:r>
              <w:rPr>
                <w:sz w:val="14"/>
              </w:rPr>
              <w:t xml:space="preserve">All 30 proposed attempts at 20°, failures retained. H0=120 h/month; 21 sections/day × 30 days; f=0.2; attempt mean 612.713 s; p=1; transfer=180 s/section fully human; recovery=180 s/failure fully human; maintenance=10 h/month. All commercial values are assumptions.</w:t>
            </w:r>
          </w:p>
        </w:tc>
        <w:tc>
          <w:tcPr>
            <w:tcW w:type="dxa" w:w="2154"/>
          </w:tcPr>
          <w:p>
            <w:pPr>
              <w:keepNext/>
              <w:spacing w:after="0"/>
            </w:pPr>
            <w:r/>
            <w:r>
              <w:rPr>
                <w:sz w:val="14"/>
              </w:rPr>
              <w:t xml:space="preserve">57.055 person-h/month; robot-related human effort 62.945 h/month (monitoring + transfer/recovery + maintenance).</w:t>
            </w:r>
          </w:p>
        </w:tc>
      </w:tr>
      <w:tr>
        <w:trPr>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r>
              <w:rPr>
                <w:sz w:val="14"/>
              </w:rPr>
              <w:t xml:space="preserve">Normalise one year of baseline labour cost to 1. CapEx ratio k=0.65; life L=5 years; annual saving ratio s=NCRI. All commercial inputs assumed. T=12k/s months; P=k/(L·s); undefined for s≤0.</w:t>
            </w:r>
          </w:p>
        </w:tc>
        <w:tc>
          <w:tcPr>
            <w:tcW w:type="dxa" w:w="2154"/>
          </w:tcPr>
          <w:p>
            <w:pPr>
              <w:keepNext/>
              <w:spacing w:after="0"/>
            </w:pPr>
            <w:r/>
            <w:r>
              <w:rPr>
                <w:sz w:val="14"/>
              </w:rPr>
              <w:t xml:space="preserve">T=20.522 months; P=0.34204 (dimensionless). Scenario output, not observed payback.</w:t>
            </w:r>
          </w:p>
        </w:tc>
      </w:tr>
      <w:tr>
        <w:trPr>
          <w:cantSplit/>
        </w:trPr>
        <w:tc>
          <w:tcPr>
            <w:tcW w:type="dxa" w:w="1701"/>
          </w:tcPr>
          <w:p>
            <w:pPr>
              <w:keepNext/>
              <w:spacing w:after="0"/>
            </w:pPr>
            <w:r/>
            <w:r>
              <w:rPr>
                <w:b/>
                <w:i w:val="0"/>
                <w:color w:val="000000"/>
                <w:sz w:val="14"/>
              </w:rPr>
              <w:t>Normalised Cost Reduction Index NCRI</w:t>
            </w:r>
          </w:p>
        </w:tc>
        <w:tc>
          <w:tcPr>
            <w:tcW w:type="dxa" w:w="3515"/>
          </w:tcPr>
          <w:p>
            <w:r>
              <w:t>NCRI = 1 − κ; κ = annual robot-system cost / annual manual baseline cost. Costs are normalised to one baseline year. NCRI can be negative; payback is undefined when annual savings ≤ 0.</w:t>
            </w:r>
          </w:p>
        </w:tc>
        <w:tc>
          <w:tcPr>
            <w:tcW w:type="dxa" w:w="2835"/>
          </w:tcPr>
          <w:p>
            <w:pPr>
              <w:keepNext/>
              <w:spacing w:after="0"/>
            </w:pPr>
            <w:r/>
            <w:r>
              <w:rPr>
                <w:sz w:val="14"/>
              </w:rPr>
              <w:t xml:space="preserve">κ=human-hours/H0 + annual energy cost ratio + 0.05 spares/battery + 0.03 consumables. Electrical estimate: positive simulated work/assumed 0.60 efficiency + 20 W modelled blower + 5 W electronics; two assumed 3 W cameras. Tariff ratio=0.0003 per kWh of one-year baseline cost.</w:t>
            </w:r>
          </w:p>
        </w:tc>
        <w:tc>
          <w:tcPr>
            <w:tcW w:type="dxa" w:w="2154"/>
          </w:tcPr>
          <w:p>
            <w:pPr>
              <w:keepNext/>
              <w:spacing w:after="0"/>
            </w:pPr>
            <w:r/>
            <w:r>
              <w:rPr>
                <w:sz w:val="14"/>
              </w:rPr>
              <w:t xml:space="preserve">κ=0.61993; NCRI=1−κ=0.38007. Estimated system energy 51.281 kWh/year under scenario assumptions; not measured electrical energy.</w:t>
            </w:r>
          </w:p>
        </w:tc>
      </w:tr>
      <w:tr>
        <w:trPr>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panel rows awaiting cleaning (λ per hour) served by one crawler (μ rows per hour).  ρ = λ / (c·μ) &lt; 1;  M/M/1: W_q = ρ / (μ − λ);  M/M/c: W_q = C(c, λ/μ) / (c·μ − λ) (Erlang C)</w:t>
            </w:r>
          </w:p>
        </w:tc>
        <w:tc>
          <w:tcPr>
            <w:tcW w:type="dxa" w:w="2835"/>
          </w:tcPr>
          <w:p>
            <w:pPr>
              <w:keepNext/>
              <w:spacing w:after="0"/>
            </w:pPr>
            <w:r/>
            <w:r>
              <w:rPr>
                <w:sz w:val="14"/>
              </w:rPr>
              <w:t xml:space="preserve">A section is one 24 m² bay, not a raster lane. λ=2.625 sections/h; μ=3600/[E(Tattempt)/p + (1−p)·180/p + 180]=4.54137 sections/h; c=1. Poisson arrivals/exponential service assumed.</w:t>
            </w:r>
          </w:p>
        </w:tc>
        <w:tc>
          <w:tcPr>
            <w:tcW w:type="dxa" w:w="2154"/>
          </w:tcPr>
          <w:p>
            <w:pPr>
              <w:keepNext/>
              <w:spacing w:after="0"/>
            </w:pPr>
            <w:r/>
            <w:r>
              <w:rPr>
                <w:sz w:val="14"/>
              </w:rPr>
              <w:t xml:space="preserve">ρ=0.57802; Wq=18.097 min if stable. Mean service 792.713 s. M/M/1 distribution assumptions are not validated by the simulator.</w:t>
            </w:r>
          </w:p>
        </w:tc>
      </w:tr>
      <w:tr>
        <w:trPr>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r>
              <w:rPr>
                <w:sz w:val="14"/>
              </w:rPr>
              <w:t xml:space="preserve">Eight inputs swept ±30%: supervision, baseline hours, CapEx, manual transfer, failure recovery, energy price ratio, maintenance and drive efficiency. Repeated independent retries are an assumption. See sensitivity.csv; no PV yield uplift is monetised.</w:t>
            </w:r>
          </w:p>
        </w:tc>
        <w:tc>
          <w:tcPr>
            <w:tcW w:type="dxa" w:w="2154"/>
          </w:tcPr>
          <w:p>
            <w:pPr>
              <w:spacing w:after="0"/>
            </w:pPr>
            <w:r/>
            <w:r>
              <w:rPr>
                <w:sz w:val="14"/>
              </w:rPr>
              <w:t xml:space="preserve">Break-even supervision fraction f=0.62536; maximum k for payback within assumed life=1.9004. Negative NCRI and unstable queues are retained, not converted to finite payback.</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r>
              <w:rPr>
                <w:sz w:val="14"/>
              </w:rPr>
              <w:t xml:space="preserve">M/M/1</w:t>
            </w:r>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r>
              <w:rPr>
                <w:sz w:val="14"/>
              </w:rPr>
              <w:t xml:space="preserve">λ=2.625 sections/h; μ=4.54137 sections/h; c=1; ρ=0.57802</w:t>
            </w:r>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r>
              <w:rPr>
                <w:sz w:val="14"/>
              </w:rPr>
              <w:t xml:space="preserve">20.5223 months; assumed scenario</w:t>
            </w:r>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cantSplit/>
        </w:trPr>
        <w:tc>
          <w:tcPr>
            <w:tcW w:type="dxa" w:w="1757"/>
          </w:tcPr>
          <w:p>
            <w:pPr>
              <w:keepNext/>
              <w:spacing w:after="0"/>
            </w:pPr>
            <w:r/>
            <w:r>
              <w:rPr>
                <w:b w:val="0"/>
                <w:i w:val="0"/>
                <w:color w:val="000000"/>
                <w:sz w:val="13"/>
              </w:rPr>
              <w:t>Crawler slides down-slope on dusty glass (loss of traction)</w:t>
            </w:r>
          </w:p>
        </w:tc>
        <w:tc>
          <w:tcPr>
            <w:tcW w:type="dxa" w:w="1474"/>
          </w:tcPr>
          <w:p>
            <w:pPr>
              <w:keepNext/>
              <w:spacing w:after="0"/>
            </w:pPr>
            <w:r/>
            <w:r>
              <w:rPr>
                <w:sz w:val="14"/>
              </w:rPr>
              <w:t xml:space="preserve">Fall/damage, interrupted work and human recovery.</w:t>
            </w:r>
          </w:p>
        </w:tc>
        <w:tc>
          <w:tcPr>
            <w:tcW w:type="dxa" w:w="709"/>
          </w:tcPr>
          <w:p>
            <w:pPr>
              <w:keepNext/>
              <w:spacing w:after="0"/>
            </w:pPr>
            <w:r/>
            <w:r>
              <w:rPr>
                <w:sz w:val="14"/>
              </w:rPr>
              <w:t xml:space="preserve">9</w:t>
            </w:r>
          </w:p>
        </w:tc>
        <w:tc>
          <w:tcPr>
            <w:tcW w:type="dxa" w:w="709"/>
          </w:tcPr>
          <w:p>
            <w:pPr>
              <w:keepNext/>
              <w:spacing w:after="0"/>
            </w:pPr>
            <w:r/>
            <w:r>
              <w:rPr>
                <w:sz w:val="14"/>
              </w:rPr>
              <w:t xml:space="preserve">4</w:t>
            </w:r>
          </w:p>
        </w:tc>
        <w:tc>
          <w:tcPr>
            <w:tcW w:type="dxa" w:w="709"/>
          </w:tcPr>
          <w:p>
            <w:pPr>
              <w:keepNext/>
              <w:spacing w:after="0"/>
            </w:pPr>
            <w:r/>
            <w:r>
              <w:rPr>
                <w:sz w:val="14"/>
              </w:rPr>
              <w:t xml:space="preserve">8</w:t>
            </w:r>
          </w:p>
        </w:tc>
        <w:tc>
          <w:tcPr>
            <w:tcW w:type="dxa" w:w="879"/>
          </w:tcPr>
          <w:p>
            <w:pPr>
              <w:keepNext/>
              <w:spacing w:after="0"/>
            </w:pPr>
            <w:r/>
            <w:r>
              <w:rPr>
                <w:sz w:val="14"/>
              </w:rPr>
              <w:t xml:space="preserve">288</w:t>
            </w:r>
          </w:p>
        </w:tc>
        <w:tc>
          <w:tcPr>
            <w:tcW w:type="dxa" w:w="1701"/>
          </w:tcPr>
          <w:p>
            <w:pPr>
              <w:keepNext/>
              <w:spacing w:after="0"/>
            </w:pPr>
            <w:r/>
            <w:r>
              <w:rPr>
                <w:sz w:val="14"/>
              </w:rPr>
              <w:t xml:space="preserve">Physical containment guard, bounded return drive, attitude/height stop and logged guard load; guards remain part of the safety model. Post D=3 credits simulation fault detection only.</w:t>
            </w:r>
          </w:p>
        </w:tc>
        <w:tc>
          <w:tcPr>
            <w:tcW w:type="dxa" w:w="879"/>
          </w:tcPr>
          <w:p>
            <w:pPr>
              <w:keepNext/>
              <w:spacing w:after="0"/>
            </w:pPr>
            <w:r/>
            <w:r>
              <w:rPr>
                <w:sz w:val="14"/>
              </w:rPr>
              <w:t xml:space="preserve">108</w:t>
            </w:r>
          </w:p>
        </w:tc>
        <w:tc>
          <w:tcPr>
            <w:tcW w:type="dxa" w:w="1106"/>
          </w:tcPr>
          <w:p>
            <w:pPr>
              <w:keepNext/>
              <w:spacing w:after="0"/>
            </w:pPr>
            <w:r/>
            <w:r>
              <w:rPr>
                <w:sz w:val="14"/>
              </w:rPr>
              <w:t xml:space="preserve">Both</w:t>
            </w:r>
          </w:p>
        </w:tc>
      </w:tr>
      <w:tr>
        <w:trPr>
          <w:cantSplit/>
        </w:trPr>
        <w:tc>
          <w:tcPr>
            <w:tcW w:type="dxa" w:w="1757"/>
          </w:tcPr>
          <w:p>
            <w:pPr>
              <w:keepNext/>
              <w:spacing w:after="0"/>
            </w:pPr>
            <w:r/>
            <w:r>
              <w:rPr>
                <w:b w:val="0"/>
                <w:i w:val="0"/>
                <w:color w:val="000000"/>
                <w:sz w:val="13"/>
              </w:rPr>
              <w:t>Brush scratches anti-reflective coating</w:t>
            </w:r>
          </w:p>
        </w:tc>
        <w:tc>
          <w:tcPr>
            <w:tcW w:type="dxa" w:w="1474"/>
          </w:tcPr>
          <w:p>
            <w:pPr>
              <w:keepNext/>
              <w:spacing w:after="0"/>
            </w:pPr>
            <w:r/>
            <w:r>
              <w:rPr>
                <w:sz w:val="14"/>
              </w:rPr>
              <w:t xml:space="preserve">Permanent PV damage and repair cost.</w:t>
            </w:r>
          </w:p>
        </w:tc>
        <w:tc>
          <w:tcPr>
            <w:tcW w:type="dxa" w:w="709"/>
          </w:tcPr>
          <w:p>
            <w:pPr>
              <w:keepNext/>
              <w:spacing w:after="0"/>
            </w:pPr>
            <w:r/>
            <w:r>
              <w:rPr>
                <w:sz w:val="14"/>
              </w:rPr>
              <w:t xml:space="preserve">8</w:t>
            </w:r>
          </w:p>
        </w:tc>
        <w:tc>
          <w:tcPr>
            <w:tcW w:type="dxa" w:w="709"/>
          </w:tcPr>
          <w:p>
            <w:pPr>
              <w:keepNext/>
              <w:spacing w:after="0"/>
            </w:pPr>
            <w:r/>
            <w:r>
              <w:rPr>
                <w:sz w:val="14"/>
              </w:rPr>
              <w:t xml:space="preserve">4</w:t>
            </w:r>
          </w:p>
        </w:tc>
        <w:tc>
          <w:tcPr>
            <w:tcW w:type="dxa" w:w="709"/>
          </w:tcPr>
          <w:p>
            <w:pPr>
              <w:keepNext/>
              <w:spacing w:after="0"/>
            </w:pPr>
            <w:r/>
            <w:r>
              <w:rPr>
                <w:sz w:val="14"/>
              </w:rPr>
              <w:t xml:space="preserve">9</w:t>
            </w:r>
          </w:p>
        </w:tc>
        <w:tc>
          <w:tcPr>
            <w:tcW w:type="dxa" w:w="879"/>
          </w:tcPr>
          <w:p>
            <w:pPr>
              <w:keepNext/>
              <w:spacing w:after="0"/>
            </w:pPr>
            <w:r/>
            <w:r>
              <w:rPr>
                <w:sz w:val="14"/>
              </w:rPr>
              <w:t xml:space="preserve">288</w:t>
            </w:r>
          </w:p>
        </w:tc>
        <w:tc>
          <w:tcPr>
            <w:tcW w:type="dxa" w:w="1701"/>
          </w:tcPr>
          <w:p>
            <w:pPr>
              <w:keepNext/>
              <w:spacing w:after="0"/>
            </w:pPr>
            <w:r/>
            <w:r>
              <w:rPr>
                <w:sz w:val="14"/>
              </w:rPr>
              <w:t xml:space="preserve">Rounded soft-contact brush and load logs support development. Coating wear, grit hardness and allowable local pressure are unvalidated. No reduction credited: post S/O/D unchanged.</w:t>
            </w:r>
          </w:p>
        </w:tc>
        <w:tc>
          <w:tcPr>
            <w:tcW w:type="dxa" w:w="879"/>
          </w:tcPr>
          <w:p>
            <w:pPr>
              <w:keepNext/>
              <w:spacing w:after="0"/>
            </w:pPr>
            <w:r/>
            <w:r>
              <w:rPr>
                <w:sz w:val="14"/>
              </w:rPr>
              <w:t xml:space="preserve">288</w:t>
            </w:r>
          </w:p>
        </w:tc>
        <w:tc>
          <w:tcPr>
            <w:tcW w:type="dxa" w:w="1106"/>
          </w:tcPr>
          <w:p>
            <w:pPr>
              <w:keepNext/>
              <w:spacing w:after="0"/>
            </w:pPr>
            <w:r/>
            <w:r>
              <w:rPr>
                <w:sz w:val="14"/>
              </w:rPr>
              <w:t xml:space="preserve">Not yet</w:t>
            </w:r>
          </w:p>
        </w:tc>
      </w:tr>
      <w:tr>
        <w:trPr>
          <w:cantSplit/>
        </w:trPr>
        <w:tc>
          <w:tcPr>
            <w:tcW w:type="dxa" w:w="1757"/>
          </w:tcPr>
          <w:p>
            <w:pPr>
              <w:keepNext/>
              <w:spacing w:after="0"/>
            </w:pPr>
            <w:r/>
            <w:r>
              <w:rPr>
                <w:sz w:val="14"/>
              </w:rPr>
              <w:t xml:space="preserve">RGB misses dirt or falsely declares clean</w:t>
            </w:r>
          </w:p>
        </w:tc>
        <w:tc>
          <w:tcPr>
            <w:tcW w:type="dxa" w:w="1474"/>
          </w:tcPr>
          <w:p>
            <w:pPr>
              <w:keepNext/>
              <w:spacing w:after="0"/>
            </w:pPr>
            <w:r/>
            <w:r>
              <w:rPr>
                <w:sz w:val="14"/>
              </w:rPr>
              <w:t xml:space="preserve">Residual dirt or wasted cleaning cycle.</w:t>
            </w:r>
          </w:p>
        </w:tc>
        <w:tc>
          <w:tcPr>
            <w:tcW w:type="dxa" w:w="709"/>
          </w:tcPr>
          <w:p>
            <w:pPr>
              <w:keepNext/>
              <w:spacing w:after="0"/>
            </w:pPr>
            <w:r/>
            <w:r>
              <w:rPr>
                <w:sz w:val="14"/>
              </w:rPr>
              <w:t xml:space="preserve">6</w:t>
            </w:r>
          </w:p>
        </w:tc>
        <w:tc>
          <w:tcPr>
            <w:tcW w:type="dxa" w:w="709"/>
          </w:tcPr>
          <w:p>
            <w:pPr>
              <w:keepNext/>
              <w:spacing w:after="0"/>
            </w:pPr>
            <w:r/>
            <w:r>
              <w:rPr>
                <w:sz w:val="14"/>
              </w:rPr>
              <w:t xml:space="preserve">5</w:t>
            </w:r>
          </w:p>
        </w:tc>
        <w:tc>
          <w:tcPr>
            <w:tcW w:type="dxa" w:w="709"/>
          </w:tcPr>
          <w:p>
            <w:pPr>
              <w:keepNext/>
              <w:spacing w:after="0"/>
            </w:pPr>
            <w:r/>
            <w:r>
              <w:rPr>
                <w:sz w:val="14"/>
              </w:rPr>
              <w:t xml:space="preserve">8</w:t>
            </w:r>
          </w:p>
        </w:tc>
        <w:tc>
          <w:tcPr>
            <w:tcW w:type="dxa" w:w="879"/>
          </w:tcPr>
          <w:p>
            <w:pPr>
              <w:keepNext/>
              <w:spacing w:after="0"/>
            </w:pPr>
            <w:r/>
            <w:r>
              <w:rPr>
                <w:sz w:val="14"/>
              </w:rPr>
              <w:t xml:space="preserve">240</w:t>
            </w:r>
          </w:p>
        </w:tc>
        <w:tc>
          <w:tcPr>
            <w:tcW w:type="dxa" w:w="1701"/>
          </w:tcPr>
          <w:p>
            <w:pPr>
              <w:keepNext/>
              <w:spacing w:after="0"/>
            </w:pPr>
            <w:r/>
            <w:r>
              <w:rPr>
                <w:sz w:val="14"/>
              </w:rPr>
              <w:t xml:space="preserve">Persistent two-frame image trigger; actual camera feeds; independent final residual check rejects false-clean development cases. Post D=3 is offline evaluation detectability, not field camera reliability.</w:t>
            </w:r>
          </w:p>
        </w:tc>
        <w:tc>
          <w:tcPr>
            <w:tcW w:type="dxa" w:w="879"/>
          </w:tcPr>
          <w:p>
            <w:pPr>
              <w:keepNext/>
              <w:spacing w:after="0"/>
            </w:pPr>
            <w:r/>
            <w:r>
              <w:rPr>
                <w:sz w:val="14"/>
              </w:rPr>
              <w:t xml:space="preserve">90</w:t>
            </w:r>
          </w:p>
        </w:tc>
        <w:tc>
          <w:tcPr>
            <w:tcW w:type="dxa" w:w="1106"/>
          </w:tcPr>
          <w:p>
            <w:pPr>
              <w:keepNext/>
              <w:spacing w:after="0"/>
            </w:pPr>
            <w:r/>
            <w:r>
              <w:rPr>
                <w:sz w:val="14"/>
              </w:rPr>
              <w:t xml:space="preserve">Both</w:t>
            </w:r>
          </w:p>
        </w:tc>
      </w:tr>
      <w:tr>
        <w:trPr>
          <w:cantSplit/>
        </w:trPr>
        <w:tc>
          <w:tcPr>
            <w:tcW w:type="dxa" w:w="1757"/>
          </w:tcPr>
          <w:p>
            <w:pPr>
              <w:keepNext/>
              <w:spacing w:after="0"/>
            </w:pPr>
            <w:r/>
            <w:r>
              <w:rPr>
                <w:sz w:val="14"/>
              </w:rPr>
              <w:t xml:space="preserve">Large solid escapes or jams the guide</w:t>
            </w:r>
          </w:p>
        </w:tc>
        <w:tc>
          <w:tcPr>
            <w:tcW w:type="dxa" w:w="1474"/>
          </w:tcPr>
          <w:p>
            <w:pPr>
              <w:keepNext/>
              <w:spacing w:after="0"/>
            </w:pPr>
            <w:r/>
            <w:r>
              <w:rPr>
                <w:sz w:val="14"/>
              </w:rPr>
              <w:t xml:space="preserve">Unsafe ejection, jam or incomplete mission.</w:t>
            </w:r>
          </w:p>
        </w:tc>
        <w:tc>
          <w:tcPr>
            <w:tcW w:type="dxa" w:w="709"/>
          </w:tcPr>
          <w:p>
            <w:pPr>
              <w:keepNext/>
              <w:spacing w:after="0"/>
            </w:pPr>
            <w:r/>
            <w:r>
              <w:rPr>
                <w:sz w:val="14"/>
              </w:rPr>
              <w:t xml:space="preserve">7</w:t>
            </w:r>
          </w:p>
        </w:tc>
        <w:tc>
          <w:tcPr>
            <w:tcW w:type="dxa" w:w="709"/>
          </w:tcPr>
          <w:p>
            <w:pPr>
              <w:keepNext/>
              <w:spacing w:after="0"/>
            </w:pPr>
            <w:r/>
            <w:r>
              <w:rPr>
                <w:sz w:val="14"/>
              </w:rPr>
              <w:t xml:space="preserve">4</w:t>
            </w:r>
          </w:p>
        </w:tc>
        <w:tc>
          <w:tcPr>
            <w:tcW w:type="dxa" w:w="709"/>
          </w:tcPr>
          <w:p>
            <w:pPr>
              <w:keepNext/>
              <w:spacing w:after="0"/>
            </w:pPr>
            <w:r/>
            <w:r>
              <w:rPr>
                <w:sz w:val="14"/>
              </w:rPr>
              <w:t xml:space="preserve">7</w:t>
            </w:r>
          </w:p>
        </w:tc>
        <w:tc>
          <w:tcPr>
            <w:tcW w:type="dxa" w:w="879"/>
          </w:tcPr>
          <w:p>
            <w:pPr>
              <w:keepNext/>
              <w:spacing w:after="0"/>
            </w:pPr>
            <w:r/>
            <w:r>
              <w:rPr>
                <w:sz w:val="14"/>
              </w:rPr>
              <w:t xml:space="preserve">196</w:t>
            </w:r>
          </w:p>
        </w:tc>
        <w:tc>
          <w:tcPr>
            <w:tcW w:type="dxa" w:w="1701"/>
          </w:tcPr>
          <w:p>
            <w:pPr>
              <w:keepNext/>
              <w:spacing w:after="0"/>
            </w:pPr>
            <w:r/>
            <w:r>
              <w:rPr>
                <w:sz w:val="14"/>
              </w:rPr>
              <w:t xml:space="preserve">Permanent tray, fixed guide and actual solid/contact logs; success requires final retention. Applies only to the tested lower-strip corridor. Post D=3 credits final logged check.</w:t>
            </w:r>
          </w:p>
        </w:tc>
        <w:tc>
          <w:tcPr>
            <w:tcW w:type="dxa" w:w="879"/>
          </w:tcPr>
          <w:p>
            <w:pPr>
              <w:keepNext/>
              <w:spacing w:after="0"/>
            </w:pPr>
            <w:r/>
            <w:r>
              <w:rPr>
                <w:sz w:val="14"/>
              </w:rPr>
              <w:t xml:space="preserve">84</w:t>
            </w:r>
          </w:p>
        </w:tc>
        <w:tc>
          <w:tcPr>
            <w:tcW w:type="dxa" w:w="1106"/>
          </w:tcPr>
          <w:p>
            <w:pPr>
              <w:keepNext/>
              <w:spacing w:after="0"/>
            </w:pPr>
            <w:r/>
            <w:r>
              <w:rPr>
                <w:sz w:val="14"/>
              </w:rPr>
              <w:t xml:space="preserve">Both</w:t>
            </w:r>
          </w:p>
        </w:tc>
      </w:tr>
      <w:tr>
        <w:trPr>
          <w:cantSplit/>
        </w:trPr>
        <w:tc>
          <w:tcPr>
            <w:tcW w:type="dxa" w:w="1757"/>
          </w:tcPr>
          <w:p>
            <w:pPr>
              <w:spacing w:after="0"/>
            </w:pPr>
            <w:r/>
            <w:r>
              <w:rPr>
                <w:sz w:val="14"/>
              </w:rPr>
              <w:t xml:space="preserve">Dock transfer/accounting fault</w:t>
            </w:r>
          </w:p>
        </w:tc>
        <w:tc>
          <w:tcPr>
            <w:tcW w:type="dxa" w:w="1474"/>
          </w:tcPr>
          <w:p>
            <w:pPr>
              <w:spacing w:after="0"/>
            </w:pPr>
            <w:r/>
            <w:r>
              <w:rPr>
                <w:sz w:val="14"/>
              </w:rPr>
              <w:t xml:space="preserve">Dirt inventory error or missed service.</w:t>
            </w:r>
          </w:p>
        </w:tc>
        <w:tc>
          <w:tcPr>
            <w:tcW w:type="dxa" w:w="709"/>
          </w:tcPr>
          <w:p>
            <w:pPr>
              <w:spacing w:after="0"/>
            </w:pPr>
            <w:r/>
            <w:r>
              <w:rPr>
                <w:sz w:val="14"/>
              </w:rPr>
              <w:t xml:space="preserve">5</w:t>
            </w:r>
          </w:p>
        </w:tc>
        <w:tc>
          <w:tcPr>
            <w:tcW w:type="dxa" w:w="709"/>
          </w:tcPr>
          <w:p>
            <w:pPr>
              <w:spacing w:after="0"/>
            </w:pPr>
            <w:r/>
            <w:r>
              <w:rPr>
                <w:sz w:val="14"/>
              </w:rPr>
              <w:t xml:space="preserve">4</w:t>
            </w:r>
          </w:p>
        </w:tc>
        <w:tc>
          <w:tcPr>
            <w:tcW w:type="dxa" w:w="709"/>
          </w:tcPr>
          <w:p>
            <w:pPr>
              <w:spacing w:after="0"/>
            </w:pPr>
            <w:r/>
            <w:r>
              <w:rPr>
                <w:sz w:val="14"/>
              </w:rPr>
              <w:t xml:space="preserve">7</w:t>
            </w:r>
          </w:p>
        </w:tc>
        <w:tc>
          <w:tcPr>
            <w:tcW w:type="dxa" w:w="879"/>
          </w:tcPr>
          <w:p>
            <w:pPr>
              <w:spacing w:after="0"/>
            </w:pPr>
            <w:r/>
            <w:r>
              <w:rPr>
                <w:sz w:val="14"/>
              </w:rPr>
              <w:t xml:space="preserve">140</w:t>
            </w:r>
          </w:p>
        </w:tc>
        <w:tc>
          <w:tcPr>
            <w:tcW w:type="dxa" w:w="1701"/>
          </w:tcPr>
          <w:p>
            <w:pPr>
              <w:spacing w:after="0"/>
            </w:pPr>
            <w:r/>
            <w:r>
              <w:rPr>
                <w:sz w:val="14"/>
              </w:rPr>
              <w:t xml:space="preserve">Settled docking, 8 s modelled service, explicit mass balance and charge-energy counters. Post D=3 credits software checks; no airflow, connector or battery hardware reliability claim.</w:t>
            </w:r>
          </w:p>
        </w:tc>
        <w:tc>
          <w:tcPr>
            <w:tcW w:type="dxa" w:w="879"/>
          </w:tcPr>
          <w:p>
            <w:pPr>
              <w:spacing w:after="0"/>
            </w:pPr>
            <w:r/>
            <w:r>
              <w:rPr>
                <w:sz w:val="14"/>
              </w:rPr>
              <w:t xml:space="preserve">60</w:t>
            </w:r>
          </w:p>
        </w:tc>
        <w:tc>
          <w:tcPr>
            <w:tcW w:type="dxa" w:w="1106"/>
          </w:tcPr>
          <w:p>
            <w:pPr>
              <w:spacing w:after="0"/>
            </w:pPr>
            <w:r/>
            <w:r>
              <w:rPr>
                <w:sz w:val="14"/>
              </w:rPr>
              <w:t xml:space="preserve">Both</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097280"/>
                  <wp:docPr id="2" name="Picture 2"/>
                  <wp:cNvGraphicFramePr>
                    <a:graphicFrameLocks noChangeAspect="1"/>
                  </wp:cNvGraphicFramePr>
                  <a:graphic>
                    <a:graphicData uri="http://schemas.openxmlformats.org/drawingml/2006/picture">
                      <pic:pic>
                        <pic:nvPicPr>
                          <pic:cNvPr id="0" name="business_sensitivity.png"/>
                          <pic:cNvPicPr/>
                        </pic:nvPicPr>
                        <pic:blipFill>
                          <a:blip r:embed="rId11"/>
                          <a:stretch>
                            <a:fillRect/>
                          </a:stretch>
                        </pic:blipFill>
                        <pic:spPr>
                          <a:xfrm>
                            <a:off x="0" y="0"/>
                            <a:ext cx="2880360" cy="1097280"/>
                          </a:xfrm>
                          <a:prstGeom prst="rect"/>
                        </pic:spPr>
                      </pic:pic>
                    </a:graphicData>
                  </a:graphic>
                </wp:inline>
              </w:drawing>
            </w:r>
          </w:p>
          <w:p>
            <w:r>
              <w:rPr>
                <w:sz w:val="14"/>
              </w:rPr>
              <w:t>Dimensionless commercial assumptions; no observed cost-saving claim.</w:t>
            </w:r>
          </w:p>
        </w:tc>
        <w:tc>
          <w:tcPr>
            <w:tcW w:type="dxa" w:w="5102"/>
            <w:shd w:val="clear" w:color="auto" w:fill="F2F2F2"/>
          </w:tcPr>
          <w:p>
            <w:r/>
            <w:r>
              <w:drawing>
                <wp:inline xmlns:a="http://schemas.openxmlformats.org/drawingml/2006/main" xmlns:pic="http://schemas.openxmlformats.org/drawingml/2006/picture">
                  <wp:extent cx="2880360" cy="1097280"/>
                  <wp:docPr id="3" name="Picture 3"/>
                  <wp:cNvGraphicFramePr>
                    <a:graphicFrameLocks noChangeAspect="1"/>
                  </wp:cNvGraphicFramePr>
                  <a:graphic>
                    <a:graphicData uri="http://schemas.openxmlformats.org/drawingml/2006/picture">
                      <pic:pic>
                        <pic:nvPicPr>
                          <pic:cNvPr id="0" name="queue_and_labour.png"/>
                          <pic:cNvPicPr/>
                        </pic:nvPicPr>
                        <pic:blipFill>
                          <a:blip r:embed="rId12"/>
                          <a:stretch>
                            <a:fillRect/>
                          </a:stretch>
                        </pic:blipFill>
                        <pic:spPr>
                          <a:xfrm>
                            <a:off x="0" y="0"/>
                            <a:ext cx="2880360" cy="1097280"/>
                          </a:xfrm>
                          <a:prstGeom prst="rect"/>
                        </pic:spPr>
                      </pic:pic>
                    </a:graphicData>
                  </a:graphic>
                </wp:inline>
              </w:drawing>
            </w:r>
          </w:p>
          <w:p>
            <w:r>
              <w:rPr>
                <w:sz w:val="14"/>
              </w:rPr>
              <w:t>Queue distribution assumed; transfer and maintenance count as human labour.</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r>
              <w:t>Revised evaluation: N=30/controller/tilt at 10°,20°,30° (180 full attempts), initial pose/soil-layout variation, complete-cycle success, footprint, motion/load, simulated mechanical work. Primary controller comparison: common first-30-second tracking RMSE. PV electrical restoration and measured electrical Wh/m² are not available.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boustrophedon (zig-zag) sweep path vs MuJoCo crawler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Group_06_Arush_Ronit_Harshvardhan/analytics/*_real_trials.csv,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E052.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r>
              <w:rPr>
                <w:sz w:val="14"/>
              </w:rPr>
              <w:t xml:space="preserve">Final collection model: waypoint reference + P wheel control versus segment lookahead + PI. Same camera pipeline, fixed brush/guide, mission route, guard, safety and shared incline/return regulator. Primary endpoint is common 0–30 s RMSE; all attempts continue through full mission/abort/1000 s.</w:t>
            </w:r>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r>
              <w:rPr>
                <w:sz w:val="14"/>
              </w:rPr>
              <w:t xml:space="preserve">30 independent runs/controller/tilt; 10°,20°,30°; 180 full-mission attempts. All failures retained. Table below: prespecified nominal 20°; all conditions in Appendix A.</w:t>
            </w:r>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r>
              <w:rPr>
                <w:sz w:val="14"/>
              </w:rPr>
              <w:t xml:space="preserve">Initial x/y independent U(−0.01,+0.01) m; dust shape/offset RNG independent through logged debris_seed; clusters and 120 g lower-strip corridor fixed. Dry friction fixed. Seeds/distributions frozen before execution.</w:t>
            </w:r>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r>
              <w:rPr>
                <w:sz w:val="14"/>
              </w:rPr>
              <w:t xml:space="preserve">500 Hz; each 0.002 s integration sample. XZ compresses CSV; final batch serialises numbers to 9 significant digits.</w:t>
            </w:r>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r>
              <w:rPr>
                <w:sz w:val="14"/>
              </w:rPr>
              <w:t xml:space="preserve">analytics/final_validation_v1/tilt_{10,20,30}/{baseline,proposed}_{seed}/telemetry.csv.xz; summary.csv, protocol.json, statistics.json and trace_audit.json. A run, not a 500 Hz sample, is the unit of inference.</w:t>
            </w:r>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0.100061 ± 0.0012</w:t>
            </w:r>
          </w:p>
        </w:tc>
        <w:tc>
          <w:tcPr>
            <w:tcW w:type="dxa" w:w="1757"/>
          </w:tcPr>
          <w:p>
            <w:pPr>
              <w:keepNext/>
              <w:spacing w:after="0"/>
            </w:pPr>
            <w:r/>
            <w:r>
              <w:rPr>
                <w:sz w:val="14"/>
              </w:rPr>
              <w:t xml:space="preserve">0.0118225 ± 0.000166</w:t>
            </w:r>
          </w:p>
        </w:tc>
        <w:tc>
          <w:tcPr>
            <w:tcW w:type="dxa" w:w="1757"/>
          </w:tcPr>
          <w:p>
            <w:pPr>
              <w:keepNext/>
              <w:spacing w:after="0"/>
            </w:pPr>
            <w:r/>
            <w:r>
              <w:rPr>
                <w:sz w:val="14"/>
              </w:rPr>
              <w:t xml:space="preserve">m; common 0–30 s</w:t>
            </w:r>
          </w:p>
        </w:tc>
        <w:tc>
          <w:tcPr>
            <w:tcW w:type="dxa" w:w="1871"/>
          </w:tcPr>
          <w:p>
            <w:pPr>
              <w:keepNext/>
              <w:spacing w:after="0"/>
            </w:pPr>
            <w:r/>
            <w:r>
              <w:rPr>
                <w:sz w:val="14"/>
              </w:rPr>
              <w:t xml:space="preserve">Lower is better</w:t>
            </w:r>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30.5728 ± 0.162</w:t>
            </w:r>
          </w:p>
        </w:tc>
        <w:tc>
          <w:tcPr>
            <w:tcW w:type="dxa" w:w="1757"/>
          </w:tcPr>
          <w:p>
            <w:pPr>
              <w:keepNext/>
              <w:spacing w:after="0"/>
            </w:pPr>
            <w:r/>
            <w:r>
              <w:rPr>
                <w:sz w:val="14"/>
              </w:rPr>
              <w:t xml:space="preserve">31.1333 ± 0.201</w:t>
            </w:r>
          </w:p>
        </w:tc>
        <w:tc>
          <w:tcPr>
            <w:tcW w:type="dxa" w:w="1757"/>
          </w:tcPr>
          <w:p>
            <w:pPr>
              <w:keepNext/>
              <w:spacing w:after="0"/>
            </w:pPr>
            <w:r/>
            <w:r>
              <w:rPr>
                <w:sz w:val="14"/>
              </w:rPr>
              <w:t xml:space="preserve">N²·m²·s; 0–30 s</w:t>
            </w:r>
          </w:p>
        </w:tc>
        <w:tc>
          <w:tcPr>
            <w:tcW w:type="dxa" w:w="1871"/>
          </w:tcPr>
          <w:p>
            <w:pPr>
              <w:keepNext/>
              <w:spacing w:after="0"/>
            </w:pPr>
            <w:r/>
            <w:r>
              <w:rPr>
                <w:sz w:val="14"/>
              </w:rPr>
              <w:t xml:space="preserve">Lower is better</w:t>
            </w:r>
          </w:p>
        </w:tc>
      </w:tr>
      <w:tr>
        <w:trPr>
          <w:cantSplit/>
        </w:trPr>
        <w:tc>
          <w:tcPr>
            <w:tcW w:type="dxa" w:w="2041"/>
          </w:tcPr>
          <w:p>
            <w:pPr>
              <w:spacing w:after="0"/>
            </w:pPr>
            <w:r/>
            <w:r>
              <w:rPr>
                <w:sz w:val="14"/>
              </w:rPr>
              <w:t xml:space="preserve">Complete safe, camera-clean, solid-retained, serviced home cycle</w:t>
            </w:r>
          </w:p>
        </w:tc>
        <w:tc>
          <w:tcPr>
            <w:tcW w:type="dxa" w:w="1020"/>
          </w:tcPr>
          <w:p>
            <w:pPr>
              <w:spacing w:after="0"/>
            </w:pPr>
            <w:r/>
            <w:r>
              <w:rPr>
                <w:sz w:val="14"/>
              </w:rPr>
              <w:t xml:space="preserve">30 per controller at 20°</w:t>
            </w:r>
          </w:p>
        </w:tc>
        <w:tc>
          <w:tcPr>
            <w:tcW w:type="dxa" w:w="1757"/>
          </w:tcPr>
          <w:p>
            <w:pPr>
              <w:spacing w:after="0"/>
            </w:pPr>
            <w:r/>
            <w:r>
              <w:rPr>
                <w:sz w:val="14"/>
              </w:rPr>
              <w:t xml:space="preserve">30/30 (100.00%)</w:t>
            </w:r>
          </w:p>
        </w:tc>
        <w:tc>
          <w:tcPr>
            <w:tcW w:type="dxa" w:w="1757"/>
          </w:tcPr>
          <w:p>
            <w:pPr>
              <w:spacing w:after="0"/>
            </w:pPr>
            <w:r/>
            <w:r>
              <w:rPr>
                <w:sz w:val="14"/>
              </w:rPr>
              <w:t xml:space="preserve">30/30 (100.00%)</w:t>
            </w:r>
          </w:p>
        </w:tc>
        <w:tc>
          <w:tcPr>
            <w:tcW w:type="dxa" w:w="1757"/>
          </w:tcPr>
          <w:p>
            <w:pPr>
              <w:spacing w:after="0"/>
            </w:pPr>
            <w:r/>
            <w:r>
              <w:rPr>
                <w:sz w:val="14"/>
              </w:rPr>
              <w:t xml:space="preserve">completion fraction</w:t>
            </w:r>
          </w:p>
        </w:tc>
        <w:tc>
          <w:tcPr>
            <w:tcW w:type="dxa" w:w="1871"/>
          </w:tcPr>
          <w:p>
            <w:pPr>
              <w:spacing w:after="0"/>
            </w:pPr>
            <w:r/>
            <w:r>
              <w:rPr>
                <w:sz w:val="14"/>
              </w:rPr>
              <w:t xml:space="preserve">Higher is better</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r>
              <w:rPr>
                <w:sz w:val="14"/>
              </w:rPr>
              <w:t xml:space="preserve">Welch's t-test</w:t>
            </w:r>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r>
              <w:rPr>
                <w:sz w:val="14"/>
              </w:rPr>
              <w:t xml:space="preserve">20°: t=-400.1377, df=30.11906, p=1.127902e-57; Holm-adjusted p=1.127902e-57 across 3 tilt comparisons.</w:t>
            </w:r>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r>
              <w:rPr>
                <w:sz w:val="14"/>
              </w:rPr>
              <w:t xml:space="preserve">-103.3151; pooled SD; proposed minus baseline</w:t>
            </w:r>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r>
              <w:rPr>
                <w:sz w:val="14"/>
              </w:rPr>
              <w:t xml:space="preserve">[-0.08868864868975783, -0.08778807408256452] m for proposed minus baseline. Run-level Welch interval; other conditions in Appendix A.</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975104"/>
                  <wp:docPr id="4" name="Picture 4"/>
                  <wp:cNvGraphicFramePr>
                    <a:graphicFrameLocks noChangeAspect="1"/>
                  </wp:cNvGraphicFramePr>
                  <a:graphic>
                    <a:graphicData uri="http://schemas.openxmlformats.org/drawingml/2006/picture">
                      <pic:pic>
                        <pic:nvPicPr>
                          <pic:cNvPr id="0" name="representative_trajectories.png"/>
                          <pic:cNvPicPr/>
                        </pic:nvPicPr>
                        <pic:blipFill>
                          <a:blip r:embed="rId13"/>
                          <a:stretch>
                            <a:fillRect/>
                          </a:stretch>
                        </pic:blipFill>
                        <pic:spPr>
                          <a:xfrm>
                            <a:off x="0" y="0"/>
                            <a:ext cx="2880360" cy="1975104"/>
                          </a:xfrm>
                          <a:prstGeom prst="rect"/>
                        </pic:spPr>
                      </pic:pic>
                    </a:graphicData>
                  </a:graphic>
                </wp:inline>
              </w:drawing>
            </w:r>
          </w:p>
          <w:p>
            <w:r>
              <w:rPr>
                <w:sz w:val="14"/>
              </w:rPr>
              <w:t>Prespecified first seeds at 20°; raw logs retained at 500 Hz.</w:t>
            </w:r>
          </w:p>
        </w:tc>
        <w:tc>
          <w:tcPr>
            <w:tcW w:type="dxa" w:w="5102"/>
            <w:shd w:val="clear" w:color="auto" w:fill="F2F2F2"/>
          </w:tcPr>
          <w:p>
            <w:r/>
            <w:r>
              <w:drawing>
                <wp:inline xmlns:a="http://schemas.openxmlformats.org/drawingml/2006/main" xmlns:pic="http://schemas.openxmlformats.org/drawingml/2006/picture">
                  <wp:extent cx="2880360" cy="1099774"/>
                  <wp:docPr id="5" name="Picture 5"/>
                  <wp:cNvGraphicFramePr>
                    <a:graphicFrameLocks noChangeAspect="1"/>
                  </wp:cNvGraphicFramePr>
                  <a:graphic>
                    <a:graphicData uri="http://schemas.openxmlformats.org/drawingml/2006/picture">
                      <pic:pic>
                        <pic:nvPicPr>
                          <pic:cNvPr id="0" name="tracking_and_effort.png"/>
                          <pic:cNvPicPr/>
                        </pic:nvPicPr>
                        <pic:blipFill>
                          <a:blip r:embed="rId14"/>
                          <a:stretch>
                            <a:fillRect/>
                          </a:stretch>
                        </pic:blipFill>
                        <pic:spPr>
                          <a:xfrm>
                            <a:off x="0" y="0"/>
                            <a:ext cx="2880360" cy="1099774"/>
                          </a:xfrm>
                          <a:prstGeom prst="rect"/>
                        </pic:spPr>
                      </pic:pic>
                    </a:graphicData>
                  </a:graphic>
                </wp:inline>
              </w:drawing>
            </w:r>
          </w:p>
          <w:p>
            <w:r>
              <w:rPr>
                <w:sz w:val="14"/>
              </w:rPr>
              <w:t>All final conditions; 30 independent attempts per controller/tilt.</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r>
              <w:rPr>
                <w:sz w:val="14"/>
              </w:rPr>
              <w:t xml:space="preserve">Yes</w:t>
            </w:r>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r>
              <w:rPr>
                <w:sz w:val="14"/>
              </w:rPr>
              <w:t xml:space="preserve">Yes</w:t>
            </w:r>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r>
              <w:rPr>
                <w:sz w:val="14"/>
              </w:rPr>
              <w:t xml:space="preserve">Not supplied</w:t>
            </w:r>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r>
              <w:rPr>
                <w:sz w:val="14"/>
              </w:rPr>
              <w:t xml:space="preserve">Simulation segment: 03:21.52, including visible cameras and the business graph. Face introduction, conclusion and final edited presentation have not been supplied.</w:t>
            </w:r>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r>
              <w:rPr>
                <w:sz w:val="14"/>
              </w:rPr>
              <w:t xml:space="preserve">Yes</w:t>
            </w:r>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r>
              <w:rPr>
                <w:sz w:val="14"/>
              </w:rPr>
              <w:t xml:space="preserve">Not verified</w:t>
            </w:r>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cantSplit/>
        </w:trPr>
        <w:tc>
          <w:tcPr>
            <w:tcW w:type="dxa" w:w="680"/>
          </w:tcPr>
          <w:p>
            <w:pPr>
              <w:keepNext/>
              <w:spacing w:after="0"/>
            </w:pPr>
            <w:r/>
            <w:r>
              <w:rPr>
                <w:b w:val="0"/>
                <w:i w:val="0"/>
                <w:color w:val="000000"/>
                <w:sz w:val="15"/>
              </w:rPr>
              <w:t>AI-01</w:t>
            </w:r>
          </w:p>
        </w:tc>
        <w:tc>
          <w:tcPr>
            <w:tcW w:type="dxa" w:w="1191"/>
          </w:tcPr>
          <w:p>
            <w:pPr>
              <w:keepNext/>
              <w:spacing w:after="0"/>
            </w:pPr>
            <w:r/>
            <w:r>
              <w:rPr>
                <w:sz w:val="14"/>
              </w:rPr>
              <w:t xml:space="preserve">ChatGPT</w:t>
            </w:r>
          </w:p>
        </w:tc>
        <w:tc>
          <w:tcPr>
            <w:tcW w:type="dxa" w:w="2381"/>
          </w:tcPr>
          <w:p>
            <w:pPr>
              <w:keepNext/>
              <w:spacing w:after="0"/>
            </w:pPr>
            <w:r/>
            <w:r>
              <w:rPr>
                <w:sz w:val="14"/>
              </w:rPr>
              <w:t xml:space="preserve">Conditional import mujoco.viewer inside mission was expected to work, but shadowed the module name and raised UnboundLocalError before model construction.</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Use from mujoco import viewer as mj_viewer. Actual mission/integration tests execute model construction. See docs/AI_AUDIT.md and controller import. Development audit candidate: members must review before claiming personal verification.</w:t>
            </w:r>
          </w:p>
        </w:tc>
        <w:tc>
          <w:tcPr>
            <w:tcW w:type="dxa" w:w="1417"/>
          </w:tcPr>
          <w:p>
            <w:pPr>
              <w:keepNext/>
              <w:spacing w:after="0"/>
            </w:pPr>
            <w:r/>
            <w:r>
              <w:rPr>
                <w:sz w:val="14"/>
              </w:rPr>
              <w:t xml:space="preserve">Wrong code / MuJoCo API</w:t>
            </w:r>
          </w:p>
        </w:tc>
        <w:tc>
          <w:tcPr>
            <w:tcW w:type="dxa" w:w="964"/>
          </w:tcPr>
          <w:p>
            <w:pPr>
              <w:keepNext/>
              <w:spacing w:after="0"/>
            </w:pPr>
            <w:r/>
            <w:r>
              <w:rPr>
                <w:sz w:val="14"/>
              </w:rPr>
              <w:t xml:space="preserve">Corrected</w:t>
            </w:r>
          </w:p>
        </w:tc>
      </w:tr>
      <w:tr>
        <w:trPr>
          <w:cantSplit/>
        </w:trPr>
        <w:tc>
          <w:tcPr>
            <w:tcW w:type="dxa" w:w="680"/>
          </w:tcPr>
          <w:p>
            <w:pPr>
              <w:keepNext/>
              <w:spacing w:after="0"/>
            </w:pPr>
            <w:r/>
            <w:r>
              <w:rPr>
                <w:b w:val="0"/>
                <w:i w:val="0"/>
                <w:color w:val="000000"/>
                <w:sz w:val="15"/>
              </w:rPr>
              <w:t>AI-02</w:t>
            </w:r>
          </w:p>
        </w:tc>
        <w:tc>
          <w:tcPr>
            <w:tcW w:type="dxa" w:w="1191"/>
          </w:tcPr>
          <w:p>
            <w:pPr>
              <w:keepNext/>
              <w:spacing w:after="0"/>
            </w:pPr>
            <w:r/>
            <w:r>
              <w:rPr>
                <w:sz w:val="14"/>
              </w:rPr>
              <w:t xml:space="preserve">ChatGPT</w:t>
            </w:r>
          </w:p>
        </w:tc>
        <w:tc>
          <w:tcPr>
            <w:tcW w:type="dxa" w:w="2381"/>
          </w:tcPr>
          <w:p>
            <w:pPr>
              <w:keepNext/>
              <w:spacing w:after="0"/>
            </w:pPr>
            <w:r/>
            <w:r>
              <w:rPr>
                <w:sz w:val="14"/>
              </w:rPr>
              <w:t xml:space="preserve">RMS distance to the next waypoint was initially labelled path-tracking RMSE.</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Measure distance to the active segment using projection; tests/test_geometry_economics.py checks a 0.2 m perpendicular error. Time-indexed tracking is not claimed. Development audit candidate: members must review before claiming personal verification.</w:t>
            </w:r>
          </w:p>
        </w:tc>
        <w:tc>
          <w:tcPr>
            <w:tcW w:type="dxa" w:w="1417"/>
          </w:tcPr>
          <w:p>
            <w:pPr>
              <w:keepNext/>
              <w:spacing w:after="0"/>
            </w:pPr>
            <w:r/>
            <w:r>
              <w:rPr>
                <w:sz w:val="14"/>
              </w:rPr>
              <w:t xml:space="preserve">Wrong number or statistic</w:t>
            </w:r>
          </w:p>
        </w:tc>
        <w:tc>
          <w:tcPr>
            <w:tcW w:type="dxa" w:w="964"/>
          </w:tcPr>
          <w:p>
            <w:pPr>
              <w:keepNext/>
              <w:spacing w:after="0"/>
            </w:pPr>
            <w:r/>
            <w:r>
              <w:rPr>
                <w:sz w:val="14"/>
              </w:rPr>
              <w:t xml:space="preserve">Corrected</w:t>
            </w:r>
          </w:p>
        </w:tc>
      </w:tr>
      <w:tr>
        <w:trPr>
          <w:cantSplit/>
        </w:trPr>
        <w:tc>
          <w:tcPr>
            <w:tcW w:type="dxa" w:w="680"/>
          </w:tcPr>
          <w:p>
            <w:pPr>
              <w:spacing w:after="0"/>
            </w:pPr>
            <w:r/>
            <w:r>
              <w:rPr>
                <w:b w:val="0"/>
                <w:i w:val="0"/>
                <w:color w:val="000000"/>
                <w:sz w:val="15"/>
              </w:rPr>
              <w:t>AI-03</w:t>
            </w:r>
          </w:p>
        </w:tc>
        <w:tc>
          <w:tcPr>
            <w:tcW w:type="dxa" w:w="1191"/>
          </w:tcPr>
          <w:p>
            <w:pPr>
              <w:spacing w:after="0"/>
            </w:pPr>
            <w:r/>
            <w:r>
              <w:rPr>
                <w:sz w:val="14"/>
              </w:rPr>
              <w:t xml:space="preserve">ChatGPT</w:t>
            </w:r>
          </w:p>
        </w:tc>
        <w:tc>
          <w:tcPr>
            <w:tcW w:type="dxa" w:w="2381"/>
          </w:tcPr>
          <w:p>
            <w:pPr>
              <w:spacing w:after="0"/>
            </w:pPr>
            <w:r/>
            <w:r>
              <w:rPr>
                <w:sz w:val="14"/>
              </w:rPr>
              <w:t xml:space="preserve">Computing source hashes at run completion could label an earlier executed model with later edits.</w:t>
            </w:r>
          </w:p>
        </w:tc>
        <w:tc>
          <w:tcPr>
            <w:tcW w:type="dxa" w:w="1474"/>
          </w:tcPr>
          <w:p>
            <w:pPr>
              <w:spacing w:after="0"/>
            </w:pPr>
            <w:r/>
            <w:r>
              <w:rPr>
                <w:sz w:val="14"/>
              </w:rPr>
              <w:t xml:space="preserve">Ran / tested the code or simulation</w:t>
            </w:r>
          </w:p>
        </w:tc>
        <w:tc>
          <w:tcPr>
            <w:tcW w:type="dxa" w:w="2098"/>
          </w:tcPr>
          <w:p>
            <w:pPr>
              <w:spacing w:after="0"/>
            </w:pPr>
            <w:r/>
            <w:r>
              <w:rPr>
                <w:sz w:val="14"/>
              </w:rPr>
              <w:t xml:space="preserve">Capture hashes at launch and preserve immutable source snapshots. Final batch protocol records launch hashes; executed source is frozen. See docs/AI_AUDIT.md. Development audit candidate: members must review before claiming personal verification.</w:t>
            </w:r>
          </w:p>
        </w:tc>
        <w:tc>
          <w:tcPr>
            <w:tcW w:type="dxa" w:w="1417"/>
          </w:tcPr>
          <w:p>
            <w:pPr>
              <w:spacing w:after="0"/>
            </w:pPr>
            <w:r/>
            <w:r>
              <w:rPr>
                <w:sz w:val="14"/>
              </w:rPr>
              <w:t xml:space="preserve">Wrong code / MuJoCo API</w:t>
            </w:r>
          </w:p>
        </w:tc>
        <w:tc>
          <w:tcPr>
            <w:tcW w:type="dxa" w:w="964"/>
          </w:tcPr>
          <w:p>
            <w:pPr>
              <w:spacing w:after="0"/>
            </w:pPr>
            <w:r/>
            <w:r>
              <w:rPr>
                <w:sz w:val="14"/>
              </w:rPr>
              <w:t xml:space="preserve">Corrected</w:t>
            </w:r>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cantSplit/>
        </w:trPr>
        <w:tc>
          <w:tcPr>
            <w:tcW w:type="dxa" w:w="2154"/>
          </w:tcPr>
          <w:p>
            <w:pPr>
              <w:keepNext/>
              <w:spacing w:after="0"/>
            </w:pPr>
            <w:r/>
            <w:r>
              <w:rPr>
                <w:b w:val="0"/>
                <w:i w:val="0"/>
                <w:color w:val="000000"/>
                <w:sz w:val="14"/>
              </w:rPr>
              <w:t>Group 07: Autonomous Mobile Manipulator for Hospital Housekeeping &amp; Patient-Room Clutter Clearing</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1474"/>
          </w:tcPr>
          <w:p>
            <w:pPr>
              <w:keepNext/>
              <w:spacing w:after="0"/>
            </w:pPr>
            <w:r>
              <w:rPr>
                <w:sz w:val="14"/>
              </w:rPr>
              <w:t>—</w:t>
            </w:r>
          </w:p>
        </w:tc>
        <w:tc>
          <w:tcPr>
            <w:tcW w:type="dxa" w:w="2891"/>
          </w:tcPr>
          <w:p>
            <w:pPr>
              <w:keepNext/>
              <w:spacing w:after="0"/>
            </w:pPr>
            <w:r/>
            <w:r>
              <w:rPr>
                <w:sz w:val="14"/>
              </w:rPr>
              <w:t xml:space="preserve">How does the mobile manipulator detect contact with a patient or unexpected obstacle and stop safely?</w:t>
            </w:r>
          </w:p>
        </w:tc>
      </w:tr>
      <w:tr>
        <w:trPr>
          <w:cantSplit/>
        </w:trPr>
        <w:tc>
          <w:tcPr>
            <w:tcW w:type="dxa" w:w="2154"/>
          </w:tcPr>
          <w:p>
            <w:pPr>
              <w:spacing w:after="0"/>
            </w:pPr>
            <w:r/>
            <w:r>
              <w:rPr>
                <w:b w:val="0"/>
                <w:i w:val="0"/>
                <w:color w:val="000000"/>
                <w:sz w:val="14"/>
              </w:rPr>
              <w:t>Group 12: Autonomous Pipeline Surveillance UAV</w:t>
            </w:r>
          </w:p>
        </w:tc>
        <w:tc>
          <w:tcPr>
            <w:tcW w:type="dxa" w:w="737"/>
          </w:tcPr>
          <w:p>
            <w:pPr>
              <w:spacing w:after="0"/>
            </w:pPr>
            <w:r>
              <w:rPr>
                <w:sz w:val="14"/>
              </w:rPr>
            </w:r>
          </w:p>
        </w:tc>
        <w:tc>
          <w:tcPr>
            <w:tcW w:type="dxa" w:w="737"/>
          </w:tcPr>
          <w:p>
            <w:pPr>
              <w:spacing w:after="0"/>
            </w:pPr>
            <w:r>
              <w:rPr>
                <w:sz w:val="14"/>
              </w:rPr>
            </w:r>
          </w:p>
        </w:tc>
        <w:tc>
          <w:tcPr>
            <w:tcW w:type="dxa" w:w="737"/>
          </w:tcPr>
          <w:p>
            <w:pPr>
              <w:spacing w:after="0"/>
            </w:pPr>
            <w:r>
              <w:rPr>
                <w:sz w:val="14"/>
              </w:rPr>
            </w:r>
          </w:p>
        </w:tc>
        <w:tc>
          <w:tcPr>
            <w:tcW w:type="dxa" w:w="737"/>
          </w:tcPr>
          <w:p>
            <w:pPr>
              <w:spacing w:after="0"/>
            </w:pPr>
            <w:r>
              <w:rPr>
                <w:sz w:val="14"/>
              </w:rPr>
            </w:r>
          </w:p>
        </w:tc>
        <w:tc>
          <w:tcPr>
            <w:tcW w:type="dxa" w:w="737"/>
          </w:tcPr>
          <w:p>
            <w:pPr>
              <w:spacing w:after="0"/>
            </w:pPr>
            <w:r>
              <w:rPr>
                <w:sz w:val="14"/>
              </w:rPr>
            </w:r>
          </w:p>
        </w:tc>
        <w:tc>
          <w:tcPr>
            <w:tcW w:type="dxa" w:w="1474"/>
          </w:tcPr>
          <w:p>
            <w:pPr>
              <w:spacing w:after="0"/>
            </w:pPr>
            <w:r>
              <w:rPr>
                <w:sz w:val="14"/>
              </w:rPr>
            </w:r>
          </w:p>
        </w:tc>
        <w:tc>
          <w:tcPr>
            <w:tcW w:type="dxa" w:w="2891"/>
          </w:tcPr>
          <w:p>
            <w:pPr>
              <w:spacing w:after="0"/>
            </w:pPr>
            <w:r/>
            <w:r>
              <w:rPr>
                <w:sz w:val="14"/>
              </w:rPr>
              <w:t xml:space="preserve">How is an apparent pipeline defect distinguished from a shadow, and how is detection confidence validated?</w:t>
            </w:r>
          </w:p>
        </w:tc>
      </w:tr>
    </w:tbl>
    <w:p>
      <w:r>
        <w:rPr>
          <w:sz w:val="14"/>
        </w:rPr>
        <w:t>*Group 07: provisional full-mark scores supplied by the student as an overall assessment, without a verified video timestamp. The student also gives Group 10 excellent feedback and full marks overall; that additional feedback does not replace the assigned Group 12 review. Group 12 has not yet been assessed.</w:t>
      </w:r>
    </w:p>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cantSplit/>
        </w:trPr>
        <w:tc>
          <w:tcPr>
            <w:tcW w:type="dxa" w:w="1701"/>
          </w:tcPr>
          <w:p>
            <w:pPr>
              <w:keepNext/>
              <w:spacing w:after="0"/>
            </w:pPr>
            <w:r/>
            <w:r>
              <w:rPr>
                <w:b w:val="0"/>
                <w:i w:val="0"/>
                <w:color w:val="000000"/>
                <w:sz w:val="14"/>
              </w:rPr>
              <w:t>Arush Ashish Patil (E048)</w:t>
            </w:r>
          </w:p>
        </w:tc>
        <w:tc>
          <w:tcPr>
            <w:tcW w:type="dxa" w:w="850"/>
          </w:tcPr>
          <w:p>
            <w:pPr>
              <w:keepNext/>
              <w:spacing w:after="0"/>
            </w:pPr>
            <w:r>
              <w:rPr>
                <w:sz w:val="14"/>
              </w:rPr>
              <w:t>≈20 h*</w:t>
            </w:r>
          </w:p>
        </w:tc>
        <w:tc>
          <w:tcPr>
            <w:tcW w:type="dxa" w:w="1247"/>
          </w:tcPr>
          <w:p>
            <w:pPr>
              <w:keepNext/>
              <w:spacing w:after="0"/>
            </w:pPr>
            <w:r>
              <w:rPr>
                <w:sz w:val="14"/>
              </w:rPr>
            </w:r>
          </w:p>
        </w:tc>
        <w:tc>
          <w:tcPr>
            <w:tcW w:type="dxa" w:w="1304"/>
          </w:tcPr>
          <w:p>
            <w:pPr>
              <w:keepNext/>
              <w:spacing w:after="0"/>
            </w:pPr>
            <w:r>
              <w:rPr>
                <w:sz w:val="14"/>
              </w:rPr>
            </w:r>
          </w:p>
        </w:tc>
        <w:tc>
          <w:tcPr>
            <w:tcW w:type="dxa" w:w="1474"/>
          </w:tcPr>
          <w:p>
            <w:pPr>
              <w:keepNext/>
              <w:spacing w:after="0"/>
            </w:pPr>
            <w:r>
              <w:rPr>
                <w:sz w:val="14"/>
              </w:rPr>
              <w:t>Lead implementation: model XML; crawler_cleaning_controller.py; vision_mission.py; panel_vision.py; run_final_validation.py; final_business_model.py. AI-assisted.</w:t>
            </w:r>
          </w:p>
        </w:tc>
        <w:tc>
          <w:tcPr>
            <w:tcW w:type="dxa" w:w="1020"/>
          </w:tcPr>
          <w:p>
            <w:pPr>
              <w:keepNext/>
              <w:spacing w:after="0"/>
            </w:pPr>
            <w:r>
              <w:rPr>
                <w:sz w:val="14"/>
              </w:rPr>
            </w:r>
          </w:p>
        </w:tc>
        <w:tc>
          <w:tcPr>
            <w:tcW w:type="dxa" w:w="1304"/>
          </w:tcPr>
          <w:p>
            <w:pPr>
              <w:keepNext/>
              <w:spacing w:after="0"/>
            </w:pPr>
            <w:r>
              <w:rPr>
                <w:sz w:val="14"/>
              </w:rPr>
            </w:r>
          </w:p>
        </w:tc>
        <w:tc>
          <w:tcPr>
            <w:tcW w:type="dxa" w:w="1304"/>
          </w:tcPr>
          <w:p>
            <w:pPr>
              <w:keepNext/>
              <w:spacing w:after="0"/>
            </w:pPr>
            <w:r>
              <w:rPr>
                <w:sz w:val="14"/>
              </w:rPr>
            </w:r>
          </w:p>
        </w:tc>
      </w:tr>
      <w:tr>
        <w:trPr>
          <w:cantSplit/>
        </w:trPr>
        <w:tc>
          <w:tcPr>
            <w:tcW w:type="dxa" w:w="1701"/>
          </w:tcPr>
          <w:p>
            <w:pPr>
              <w:keepNext/>
              <w:spacing w:after="0"/>
            </w:pPr>
            <w:r/>
            <w:r>
              <w:rPr>
                <w:b w:val="0"/>
                <w:i w:val="0"/>
                <w:color w:val="000000"/>
                <w:sz w:val="14"/>
              </w:rPr>
              <w:t>Ronit Rajput (E052)</w:t>
            </w:r>
          </w:p>
        </w:tc>
        <w:tc>
          <w:tcPr>
            <w:tcW w:type="dxa" w:w="850"/>
          </w:tcPr>
          <w:p>
            <w:pPr>
              <w:keepNext/>
              <w:spacing w:after="0"/>
            </w:pPr>
            <w:r>
              <w:rPr>
                <w:sz w:val="14"/>
              </w:rPr>
              <w:t>≈17 h*</w:t>
            </w:r>
          </w:p>
        </w:tc>
        <w:tc>
          <w:tcPr>
            <w:tcW w:type="dxa" w:w="1247"/>
          </w:tcPr>
          <w:p>
            <w:pPr>
              <w:keepNext/>
              <w:spacing w:after="0"/>
            </w:pPr>
            <w:r>
              <w:rPr>
                <w:sz w:val="14"/>
              </w:rPr>
            </w:r>
          </w:p>
        </w:tc>
        <w:tc>
          <w:tcPr>
            <w:tcW w:type="dxa" w:w="1304"/>
          </w:tcPr>
          <w:p>
            <w:pPr>
              <w:keepNext/>
              <w:spacing w:after="0"/>
            </w:pPr>
            <w:r>
              <w:rPr>
                <w:sz w:val="14"/>
              </w:rPr>
            </w:r>
          </w:p>
        </w:tc>
        <w:tc>
          <w:tcPr>
            <w:tcW w:type="dxa" w:w="1474"/>
          </w:tcPr>
          <w:p>
            <w:pPr>
              <w:keepNext/>
              <w:spacing w:after="0"/>
            </w:pPr>
            <w:r>
              <w:rPr>
                <w:sz w:val="14"/>
              </w:rPr>
              <w:t>Supported model-file development and business-model inputs; Arush led script implementation.</w:t>
            </w:r>
          </w:p>
        </w:tc>
        <w:tc>
          <w:tcPr>
            <w:tcW w:type="dxa" w:w="1020"/>
          </w:tcPr>
          <w:p>
            <w:pPr>
              <w:keepNext/>
              <w:spacing w:after="0"/>
            </w:pPr>
            <w:r>
              <w:rPr>
                <w:sz w:val="14"/>
              </w:rPr>
            </w:r>
          </w:p>
        </w:tc>
        <w:tc>
          <w:tcPr>
            <w:tcW w:type="dxa" w:w="1304"/>
          </w:tcPr>
          <w:p>
            <w:pPr>
              <w:keepNext/>
              <w:spacing w:after="0"/>
            </w:pPr>
            <w:r>
              <w:rPr>
                <w:sz w:val="14"/>
              </w:rPr>
            </w:r>
          </w:p>
        </w:tc>
        <w:tc>
          <w:tcPr>
            <w:tcW w:type="dxa" w:w="1304"/>
          </w:tcPr>
          <w:p>
            <w:pPr>
              <w:keepNext/>
              <w:spacing w:after="0"/>
            </w:pPr>
            <w:r>
              <w:rPr>
                <w:sz w:val="14"/>
              </w:rPr>
            </w:r>
          </w:p>
        </w:tc>
      </w:tr>
      <w:tr>
        <w:trPr>
          <w:cantSplit/>
        </w:trPr>
        <w:tc>
          <w:tcPr>
            <w:tcW w:type="dxa" w:w="1701"/>
          </w:tcPr>
          <w:p>
            <w:pPr>
              <w:spacing w:after="0"/>
            </w:pPr>
            <w:r/>
            <w:r>
              <w:rPr>
                <w:b w:val="0"/>
                <w:i w:val="0"/>
                <w:color w:val="000000"/>
                <w:sz w:val="14"/>
              </w:rPr>
              <w:t>Harshvardhan Sahi (E058)</w:t>
            </w:r>
          </w:p>
        </w:tc>
        <w:tc>
          <w:tcPr>
            <w:tcW w:type="dxa" w:w="850"/>
          </w:tcPr>
          <w:p>
            <w:pPr>
              <w:spacing w:after="0"/>
            </w:pPr>
            <w:r>
              <w:rPr>
                <w:sz w:val="14"/>
              </w:rPr>
              <w:t>≈17 h*</w:t>
            </w:r>
          </w:p>
        </w:tc>
        <w:tc>
          <w:tcPr>
            <w:tcW w:type="dxa" w:w="1247"/>
          </w:tcPr>
          <w:p>
            <w:pPr>
              <w:spacing w:after="0"/>
            </w:pPr>
            <w:r>
              <w:rPr>
                <w:sz w:val="14"/>
              </w:rPr>
            </w:r>
          </w:p>
        </w:tc>
        <w:tc>
          <w:tcPr>
            <w:tcW w:type="dxa" w:w="1304"/>
          </w:tcPr>
          <w:p>
            <w:pPr>
              <w:spacing w:after="0"/>
            </w:pPr>
            <w:r>
              <w:rPr>
                <w:sz w:val="14"/>
              </w:rPr>
            </w:r>
          </w:p>
        </w:tc>
        <w:tc>
          <w:tcPr>
            <w:tcW w:type="dxa" w:w="1474"/>
          </w:tcPr>
          <w:p>
            <w:pPr>
              <w:spacing w:after="0"/>
            </w:pPr>
            <w:r>
              <w:rPr>
                <w:sz w:val="14"/>
              </w:rPr>
              <w:t>Led business/economic inputs for final_business_model.py; Arush led script implementation.</w:t>
            </w:r>
          </w:p>
        </w:tc>
        <w:tc>
          <w:tcPr>
            <w:tcW w:type="dxa" w:w="1020"/>
          </w:tcPr>
          <w:p>
            <w:pPr>
              <w:spacing w:after="0"/>
            </w:pPr>
            <w:r>
              <w:rPr>
                <w:sz w:val="14"/>
              </w:rPr>
            </w:r>
          </w:p>
        </w:tc>
        <w:tc>
          <w:tcPr>
            <w:tcW w:type="dxa" w:w="1304"/>
          </w:tcPr>
          <w:p>
            <w:pPr>
              <w:spacing w:after="0"/>
            </w:pPr>
            <w:r>
              <w:rPr>
                <w:sz w:val="14"/>
              </w:rPr>
            </w:r>
          </w:p>
        </w:tc>
        <w:tc>
          <w:tcPr>
            <w:tcW w:type="dxa" w:w="1304"/>
          </w:tcPr>
          <w:p>
            <w:pPr>
              <w:spacing w:after="0"/>
            </w:pPr>
            <w:r>
              <w:rPr>
                <w:sz w:val="14"/>
              </w:rPr>
            </w:r>
          </w:p>
        </w:tc>
      </w:tr>
    </w:tbl>
    <w:p>
      <w:r>
        <w:rPr>
          <w:sz w:val="14"/>
        </w:rPr>
        <w:t>*Approximate retrospective contribution estimates supplied by the student: Arush 20 hours, Ronit 17 hours and Harshvardhan 17 hours. These are estimates rather than timesheet totals.</w:t>
      </w:r>
    </w:p>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cantSplit/>
        </w:trPr>
        <w:tc>
          <w:tcPr>
            <w:tcW w:type="dxa" w:w="1701"/>
          </w:tcPr>
          <w:p>
            <w:pPr>
              <w:keepNext/>
              <w:spacing w:after="0"/>
            </w:pPr>
            <w:r/>
            <w:r>
              <w:rPr>
                <w:b w:val="0"/>
                <w:i w:val="0"/>
                <w:color w:val="000000"/>
                <w:sz w:val="14"/>
              </w:rPr>
              <w:t>Arush Ashish Patil (E048)</w:t>
            </w:r>
          </w:p>
        </w:tc>
        <w:tc>
          <w:tcPr>
            <w:tcW w:type="dxa" w:w="1474"/>
          </w:tcPr>
          <w:p>
            <w:pPr>
              <w:keepNext/>
              <w:spacing w:after="0"/>
            </w:pPr>
            <w:r>
              <w:rPr>
                <w:sz w:val="14"/>
              </w:rPr>
              <w:t>Yes</w:t>
            </w:r>
          </w:p>
        </w:tc>
        <w:tc>
          <w:tcPr>
            <w:tcW w:type="dxa" w:w="3515"/>
          </w:tcPr>
          <w:p>
            <w:pPr>
              <w:keepNext/>
              <w:spacing w:after="0"/>
            </w:pPr>
            <w:r>
              <w:rPr>
                <w:sz w:val="14"/>
              </w:rPr>
              <w:t>Learning MuJoCo end-to-end: modelling robots, writing MuJoCo/Python simulation scripts and building a functioning digital prototype for business demonstrations.</w:t>
            </w:r>
          </w:p>
        </w:tc>
        <w:tc>
          <w:tcPr>
            <w:tcW w:type="dxa" w:w="3515"/>
          </w:tcPr>
          <w:p>
            <w:pPr>
              <w:keepNext/>
              <w:spacing w:after="0"/>
            </w:pPr>
            <w:r>
              <w:rPr>
                <w:sz w:val="14"/>
              </w:rPr>
              <w:t>No changes suggested; the teaching and guidance were effective.</w:t>
            </w:r>
          </w:p>
        </w:tc>
      </w:tr>
      <w:tr>
        <w:trPr>
          <w:cantSplit/>
        </w:trPr>
        <w:tc>
          <w:tcPr>
            <w:tcW w:type="dxa" w:w="1701"/>
          </w:tcPr>
          <w:p>
            <w:pPr>
              <w:keepNext/>
              <w:spacing w:after="0"/>
            </w:pPr>
            <w:r/>
            <w:r>
              <w:rPr>
                <w:b w:val="0"/>
                <w:i w:val="0"/>
                <w:color w:val="000000"/>
                <w:sz w:val="14"/>
              </w:rPr>
              <w:t>Ronit Rajput (E052)</w:t>
            </w:r>
          </w:p>
        </w:tc>
        <w:tc>
          <w:tcPr>
            <w:tcW w:type="dxa" w:w="1474"/>
          </w:tcPr>
          <w:p>
            <w:pPr>
              <w:keepNext/>
              <w:spacing w:after="0"/>
            </w:pPr>
            <w:r>
              <w:rPr>
                <w:sz w:val="14"/>
              </w:rPr>
              <w:t>Yes</w:t>
            </w:r>
          </w:p>
        </w:tc>
        <w:tc>
          <w:tcPr>
            <w:tcW w:type="dxa" w:w="3515"/>
          </w:tcPr>
          <w:p>
            <w:pPr>
              <w:keepNext/>
              <w:spacing w:after="0"/>
            </w:pPr>
            <w:r>
              <w:rPr>
                <w:sz w:val="14"/>
              </w:rPr>
              <w:t>Learning MuJoCo end-to-end: modelling robots, writing MuJoCo/Python simulation scripts and building a functioning digital prototype for business demonstrations.</w:t>
            </w:r>
          </w:p>
        </w:tc>
        <w:tc>
          <w:tcPr>
            <w:tcW w:type="dxa" w:w="3515"/>
          </w:tcPr>
          <w:p>
            <w:pPr>
              <w:keepNext/>
              <w:spacing w:after="0"/>
            </w:pPr>
            <w:r>
              <w:rPr>
                <w:sz w:val="14"/>
              </w:rPr>
              <w:t>No changes suggested; the teaching and guidance were effective.</w:t>
            </w:r>
          </w:p>
        </w:tc>
      </w:tr>
      <w:tr>
        <w:trPr>
          <w:cantSplit/>
        </w:trPr>
        <w:tc>
          <w:tcPr>
            <w:tcW w:type="dxa" w:w="1701"/>
          </w:tcPr>
          <w:p>
            <w:pPr>
              <w:spacing w:after="0"/>
            </w:pPr>
            <w:r/>
            <w:r>
              <w:rPr>
                <w:b w:val="0"/>
                <w:i w:val="0"/>
                <w:color w:val="000000"/>
                <w:sz w:val="14"/>
              </w:rPr>
              <w:t>Harshvardhan Sahi (E058)</w:t>
            </w:r>
          </w:p>
        </w:tc>
        <w:tc>
          <w:tcPr>
            <w:tcW w:type="dxa" w:w="1474"/>
          </w:tcPr>
          <w:p>
            <w:pPr>
              <w:spacing w:after="0"/>
            </w:pPr>
            <w:r>
              <w:rPr>
                <w:sz w:val="14"/>
              </w:rPr>
              <w:t>Yes</w:t>
            </w:r>
          </w:p>
        </w:tc>
        <w:tc>
          <w:tcPr>
            <w:tcW w:type="dxa" w:w="3515"/>
          </w:tcPr>
          <w:p>
            <w:pPr>
              <w:spacing w:after="0"/>
            </w:pPr>
            <w:r>
              <w:rPr>
                <w:sz w:val="14"/>
              </w:rPr>
              <w:t>Learning MuJoCo end-to-end: modelling robots, writing MuJoCo/Python simulation scripts and building a functioning digital prototype for business demonstrations.</w:t>
            </w:r>
          </w:p>
        </w:tc>
        <w:tc>
          <w:tcPr>
            <w:tcW w:type="dxa" w:w="3515"/>
          </w:tcPr>
          <w:p>
            <w:pPr>
              <w:spacing w:after="0"/>
            </w:pPr>
            <w:r>
              <w:rPr>
                <w:sz w:val="14"/>
              </w:rPr>
              <w:t>No changes suggested; the teaching and guidance were effective.</w:t>
            </w:r>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IEEE INDICON   ·   B: IEEE CASE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cantSplit/>
        </w:trPr>
        <w:tc>
          <w:tcPr>
            <w:tcW w:type="dxa" w:w="2268"/>
          </w:tcPr>
          <w:p>
            <w:pPr>
              <w:keepNext/>
              <w:spacing w:after="0"/>
            </w:pPr>
            <w:r/>
            <w:r>
              <w:rPr>
                <w:b w:val="0"/>
                <w:i w:val="0"/>
                <w:color w:val="000000"/>
                <w:sz w:val="15"/>
              </w:rPr>
              <w:t>Arush Ashish Patil (E048)</w:t>
            </w:r>
          </w:p>
        </w:tc>
        <w:tc>
          <w:tcPr>
            <w:tcW w:type="dxa" w:w="1247"/>
          </w:tcPr>
          <w:p>
            <w:pPr>
              <w:keepNext/>
              <w:spacing w:after="0"/>
            </w:pPr>
            <w:r>
              <w:rPr>
                <w:sz w:val="14"/>
              </w:rPr>
            </w:r>
          </w:p>
        </w:tc>
        <w:tc>
          <w:tcPr>
            <w:tcW w:type="dxa" w:w="1247"/>
          </w:tcPr>
          <w:p>
            <w:pPr>
              <w:keepNext/>
              <w:spacing w:after="0"/>
            </w:pPr>
            <w:r>
              <w:rPr>
                <w:sz w:val="14"/>
              </w:rPr>
            </w:r>
          </w:p>
        </w:tc>
        <w:tc>
          <w:tcPr>
            <w:tcW w:type="dxa" w:w="1247"/>
          </w:tcPr>
          <w:p>
            <w:pPr>
              <w:keepNext/>
              <w:spacing w:after="0"/>
            </w:pPr>
            <w:r>
              <w:rPr>
                <w:sz w:val="14"/>
              </w:rPr>
            </w:r>
          </w:p>
        </w:tc>
        <w:tc>
          <w:tcPr>
            <w:tcW w:type="dxa" w:w="2211"/>
          </w:tcPr>
          <w:p>
            <w:r>
              <w:rPr>
                <w:highlight w:val="yellow"/>
              </w:rPr>
              <w:t>SIGN PERSONALLY</w:t>
            </w:r>
          </w:p>
        </w:tc>
        <w:tc>
          <w:tcPr>
            <w:tcW w:type="dxa" w:w="1984"/>
          </w:tcPr>
          <w:p>
            <w:pPr>
              <w:keepNext/>
              <w:spacing w:after="0"/>
            </w:pPr>
            <w:r>
              <w:rPr>
                <w:sz w:val="14"/>
              </w:rPr>
            </w:r>
          </w:p>
        </w:tc>
      </w:tr>
      <w:tr>
        <w:trPr>
          <w:cantSplit/>
        </w:trPr>
        <w:tc>
          <w:tcPr>
            <w:tcW w:type="dxa" w:w="2268"/>
          </w:tcPr>
          <w:p>
            <w:pPr>
              <w:keepNext/>
              <w:spacing w:after="0"/>
            </w:pPr>
            <w:r/>
            <w:r>
              <w:rPr>
                <w:b w:val="0"/>
                <w:i w:val="0"/>
                <w:color w:val="000000"/>
                <w:sz w:val="15"/>
              </w:rPr>
              <w:t>Ronit Rajput (E052)</w:t>
            </w:r>
          </w:p>
        </w:tc>
        <w:tc>
          <w:tcPr>
            <w:tcW w:type="dxa" w:w="1247"/>
          </w:tcPr>
          <w:p>
            <w:pPr>
              <w:keepNext/>
              <w:spacing w:after="0"/>
            </w:pPr>
            <w:r>
              <w:rPr>
                <w:sz w:val="14"/>
              </w:rPr>
            </w:r>
          </w:p>
        </w:tc>
        <w:tc>
          <w:tcPr>
            <w:tcW w:type="dxa" w:w="1247"/>
          </w:tcPr>
          <w:p>
            <w:pPr>
              <w:keepNext/>
              <w:spacing w:after="0"/>
            </w:pPr>
            <w:r>
              <w:rPr>
                <w:sz w:val="14"/>
              </w:rPr>
            </w:r>
          </w:p>
        </w:tc>
        <w:tc>
          <w:tcPr>
            <w:tcW w:type="dxa" w:w="1247"/>
          </w:tcPr>
          <w:p>
            <w:pPr>
              <w:keepNext/>
              <w:spacing w:after="0"/>
            </w:pPr>
            <w:r>
              <w:rPr>
                <w:sz w:val="14"/>
              </w:rPr>
            </w:r>
          </w:p>
        </w:tc>
        <w:tc>
          <w:tcPr>
            <w:tcW w:type="dxa" w:w="2211"/>
          </w:tcPr>
          <w:p>
            <w:r>
              <w:rPr>
                <w:highlight w:val="yellow"/>
              </w:rPr>
              <w:t>SIGN PERSONALLY</w:t>
            </w:r>
          </w:p>
        </w:tc>
        <w:tc>
          <w:tcPr>
            <w:tcW w:type="dxa" w:w="1984"/>
          </w:tcPr>
          <w:p>
            <w:pPr>
              <w:keepNext/>
              <w:spacing w:after="0"/>
            </w:pPr>
            <w:r>
              <w:rPr>
                <w:sz w:val="14"/>
              </w:rPr>
            </w:r>
          </w:p>
        </w:tc>
      </w:tr>
      <w:tr>
        <w:trPr>
          <w:cantSplit/>
        </w:trPr>
        <w:tc>
          <w:tcPr>
            <w:tcW w:type="dxa" w:w="2268"/>
          </w:tcPr>
          <w:p>
            <w:pPr>
              <w:spacing w:after="0"/>
            </w:pPr>
            <w:r/>
            <w:r>
              <w:rPr>
                <w:b w:val="0"/>
                <w:i w:val="0"/>
                <w:color w:val="000000"/>
                <w:sz w:val="15"/>
              </w:rPr>
              <w:t>Harshvardhan Sahi (E058)</w:t>
            </w:r>
          </w:p>
        </w:tc>
        <w:tc>
          <w:tcPr>
            <w:tcW w:type="dxa" w:w="1247"/>
          </w:tcPr>
          <w:p>
            <w:pPr>
              <w:spacing w:after="0"/>
            </w:pPr>
            <w:r>
              <w:rPr>
                <w:sz w:val="14"/>
              </w:rPr>
            </w:r>
          </w:p>
        </w:tc>
        <w:tc>
          <w:tcPr>
            <w:tcW w:type="dxa" w:w="1247"/>
          </w:tcPr>
          <w:p>
            <w:pPr>
              <w:spacing w:after="0"/>
            </w:pPr>
            <w:r>
              <w:rPr>
                <w:sz w:val="14"/>
              </w:rPr>
            </w:r>
          </w:p>
        </w:tc>
        <w:tc>
          <w:tcPr>
            <w:tcW w:type="dxa" w:w="1247"/>
          </w:tcPr>
          <w:p>
            <w:pPr>
              <w:spacing w:after="0"/>
            </w:pPr>
            <w:r>
              <w:rPr>
                <w:sz w:val="14"/>
              </w:rPr>
            </w:r>
          </w:p>
        </w:tc>
        <w:tc>
          <w:tcPr>
            <w:tcW w:type="dxa" w:w="2211"/>
          </w:tcPr>
          <w:p>
            <w:r>
              <w:rPr>
                <w:highlight w:val="yellow"/>
              </w:rPr>
              <w:t>SIGN PERSONALLY</w:t>
            </w:r>
          </w:p>
        </w:tc>
        <w:tc>
          <w:tcPr>
            <w:tcW w:type="dxa" w:w="1984"/>
          </w:tcPr>
          <w:p>
            <w:pPr>
              <w:spacing w:after="0"/>
            </w:pPr>
            <w:r>
              <w:rPr>
                <w:sz w:val="14"/>
              </w:rPr>
            </w:r>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p>
      <w:r>
        <w:br w:type="page"/>
      </w:r>
    </w:p>
    <w:p>
      <w:pPr>
        <w:pStyle w:val="Heading1"/>
      </w:pPr>
      <w:r>
        <w:t>Appendix A · Evidence scope and final evaluation</w:t>
      </w:r>
    </w:p>
    <w:p>
      <w:r>
        <w:rPr>
          <w:sz w:val="14"/>
        </w:rPr>
        <w:t>Technical sections are populated from the completed frozen validation and reproducible business scenario. This copy uses ordinary editable text. Personal entries and peer-video reviews must be completed from the members’ answers and the actual videos before submission.</w:t>
      </w:r>
    </w:p>
    <w:p>
      <w:r>
        <w:t>Validated development movie (not independent statistical replication): CLEAN_AND_HOME at 610.858 simulated seconds; 32/32 selected irregular deposits below the residual threshold; qualifying whole-panel footprint 89.97917% (the exact-90% flag is false). Maximum rise above initial normal height 0.408684 mm; maximum tilt 0.093728°. Physical 120 g block leaves glass and is retained by the permanent tray. Initial dust inventory 4 g; final station 3.985638 g; residual glass 14.3625 mg; mass balance error 8.67e-19 kg. Final recording and headless nominal telemetry match exactly.</w:t>
      </w:r>
    </w:p>
    <w:tbl>
      <w:tblPr>
        <w:tblStyle w:val="TableGrid"/>
        <w:tblW w:type="auto" w:w="0"/>
        <w:tblLook w:firstColumn="1" w:firstRow="1" w:lastColumn="0" w:lastRow="0" w:noHBand="0" w:noVBand="1" w:val="04A0"/>
      </w:tblPr>
      <w:tblGrid>
        <w:gridCol w:w="1701"/>
        <w:gridCol w:w="1701"/>
        <w:gridCol w:w="1701"/>
        <w:gridCol w:w="1701"/>
        <w:gridCol w:w="1701"/>
        <w:gridCol w:w="1701"/>
      </w:tblGrid>
      <w:tr>
        <w:trPr>
          <w:cantSplit/>
        </w:trPr>
        <w:tc>
          <w:tcPr>
            <w:tcW w:type="dxa" w:w="1701"/>
          </w:tcPr>
          <w:p>
            <w:r>
              <w:t>Tilt</w:t>
            </w:r>
          </w:p>
        </w:tc>
        <w:tc>
          <w:tcPr>
            <w:tcW w:type="dxa" w:w="1701"/>
          </w:tcPr>
          <w:p>
            <w:r>
              <w:t>Controller</w:t>
            </w:r>
          </w:p>
        </w:tc>
        <w:tc>
          <w:tcPr>
            <w:tcW w:type="dxa" w:w="1701"/>
          </w:tcPr>
          <w:p>
            <w:r>
              <w:t>Complete cycles</w:t>
            </w:r>
          </w:p>
        </w:tc>
        <w:tc>
          <w:tcPr>
            <w:tcW w:type="dxa" w:w="1701"/>
          </w:tcPr>
          <w:p>
            <w:r>
              <w:t>0–30 s RMSE mean ± SD (m)</w:t>
            </w:r>
          </w:p>
        </w:tc>
        <w:tc>
          <w:tcPr>
            <w:tcW w:type="dxa" w:w="1701"/>
          </w:tcPr>
          <w:p>
            <w:r>
              <w:t>Coverage mean (%)</w:t>
            </w:r>
          </w:p>
        </w:tc>
        <w:tc>
          <w:tcPr>
            <w:tcW w:type="dxa" w:w="1701"/>
          </w:tcPr>
          <w:p>
            <w:r>
              <w:t>Observed duration mean (s)</w:t>
            </w:r>
          </w:p>
        </w:tc>
      </w:tr>
      <w:tr>
        <w:trPr>
          <w:cantSplit/>
        </w:trPr>
        <w:tc>
          <w:tcPr>
            <w:tcW w:type="dxa" w:w="1701"/>
          </w:tcPr>
          <w:p>
            <w:r>
              <w:t>10.0°</w:t>
            </w:r>
          </w:p>
        </w:tc>
        <w:tc>
          <w:tcPr>
            <w:tcW w:type="dxa" w:w="1701"/>
          </w:tcPr>
          <w:p>
            <w:r>
              <w:t>baseline</w:t>
            </w:r>
          </w:p>
        </w:tc>
        <w:tc>
          <w:tcPr>
            <w:tcW w:type="dxa" w:w="1701"/>
          </w:tcPr>
          <w:p>
            <w:r>
              <w:t>30/30</w:t>
            </w:r>
          </w:p>
        </w:tc>
        <w:tc>
          <w:tcPr>
            <w:tcW w:type="dxa" w:w="1701"/>
          </w:tcPr>
          <w:p>
            <w:r>
              <w:t>0.0463282 ± 0.000453</w:t>
            </w:r>
          </w:p>
        </w:tc>
        <w:tc>
          <w:tcPr>
            <w:tcW w:type="dxa" w:w="1701"/>
          </w:tcPr>
          <w:p>
            <w:r>
              <w:t>88.3802</w:t>
            </w:r>
          </w:p>
        </w:tc>
        <w:tc>
          <w:tcPr>
            <w:tcW w:type="dxa" w:w="1701"/>
          </w:tcPr>
          <w:p>
            <w:r>
              <w:t>620.954</w:t>
            </w:r>
          </w:p>
        </w:tc>
      </w:tr>
      <w:tr>
        <w:trPr>
          <w:cantSplit/>
        </w:trPr>
        <w:tc>
          <w:tcPr>
            <w:tcW w:type="dxa" w:w="1701"/>
          </w:tcPr>
          <w:p>
            <w:r>
              <w:t>10.0°</w:t>
            </w:r>
          </w:p>
        </w:tc>
        <w:tc>
          <w:tcPr>
            <w:tcW w:type="dxa" w:w="1701"/>
          </w:tcPr>
          <w:p>
            <w:r>
              <w:t>proposed</w:t>
            </w:r>
          </w:p>
        </w:tc>
        <w:tc>
          <w:tcPr>
            <w:tcW w:type="dxa" w:w="1701"/>
          </w:tcPr>
          <w:p>
            <w:r>
              <w:t>30/30</w:t>
            </w:r>
          </w:p>
        </w:tc>
        <w:tc>
          <w:tcPr>
            <w:tcW w:type="dxa" w:w="1701"/>
          </w:tcPr>
          <w:p>
            <w:r>
              <w:t>0.00372785 ± 0.000159</w:t>
            </w:r>
          </w:p>
        </w:tc>
        <w:tc>
          <w:tcPr>
            <w:tcW w:type="dxa" w:w="1701"/>
          </w:tcPr>
          <w:p>
            <w:r>
              <w:t>89.976</w:t>
            </w:r>
          </w:p>
        </w:tc>
        <w:tc>
          <w:tcPr>
            <w:tcW w:type="dxa" w:w="1701"/>
          </w:tcPr>
          <w:p>
            <w:r>
              <w:t>610.025</w:t>
            </w:r>
          </w:p>
        </w:tc>
      </w:tr>
      <w:tr>
        <w:trPr>
          <w:cantSplit/>
        </w:trPr>
        <w:tc>
          <w:tcPr>
            <w:tcW w:type="dxa" w:w="1701"/>
          </w:tcPr>
          <w:p>
            <w:r>
              <w:t>20.0°</w:t>
            </w:r>
          </w:p>
        </w:tc>
        <w:tc>
          <w:tcPr>
            <w:tcW w:type="dxa" w:w="1701"/>
          </w:tcPr>
          <w:p>
            <w:r>
              <w:t>baseline</w:t>
            </w:r>
          </w:p>
        </w:tc>
        <w:tc>
          <w:tcPr>
            <w:tcW w:type="dxa" w:w="1701"/>
          </w:tcPr>
          <w:p>
            <w:r>
              <w:t>30/30</w:t>
            </w:r>
          </w:p>
        </w:tc>
        <w:tc>
          <w:tcPr>
            <w:tcW w:type="dxa" w:w="1701"/>
          </w:tcPr>
          <w:p>
            <w:r>
              <w:t>0.100061 ± 0.0012</w:t>
            </w:r>
          </w:p>
        </w:tc>
        <w:tc>
          <w:tcPr>
            <w:tcW w:type="dxa" w:w="1701"/>
          </w:tcPr>
          <w:p>
            <w:r>
              <w:t>86.4955</w:t>
            </w:r>
          </w:p>
        </w:tc>
        <w:tc>
          <w:tcPr>
            <w:tcW w:type="dxa" w:w="1701"/>
          </w:tcPr>
          <w:p>
            <w:r>
              <w:t>747.538</w:t>
            </w:r>
          </w:p>
        </w:tc>
      </w:tr>
      <w:tr>
        <w:trPr>
          <w:cantSplit/>
        </w:trPr>
        <w:tc>
          <w:tcPr>
            <w:tcW w:type="dxa" w:w="1701"/>
          </w:tcPr>
          <w:p>
            <w:r>
              <w:t>20.0°</w:t>
            </w:r>
          </w:p>
        </w:tc>
        <w:tc>
          <w:tcPr>
            <w:tcW w:type="dxa" w:w="1701"/>
          </w:tcPr>
          <w:p>
            <w:r>
              <w:t>proposed</w:t>
            </w:r>
          </w:p>
        </w:tc>
        <w:tc>
          <w:tcPr>
            <w:tcW w:type="dxa" w:w="1701"/>
          </w:tcPr>
          <w:p>
            <w:r>
              <w:t>30/30</w:t>
            </w:r>
          </w:p>
        </w:tc>
        <w:tc>
          <w:tcPr>
            <w:tcW w:type="dxa" w:w="1701"/>
          </w:tcPr>
          <w:p>
            <w:r>
              <w:t>0.0118225 ± 0.000166</w:t>
            </w:r>
          </w:p>
        </w:tc>
        <w:tc>
          <w:tcPr>
            <w:tcW w:type="dxa" w:w="1701"/>
          </w:tcPr>
          <w:p>
            <w:r>
              <w:t>89.9885</w:t>
            </w:r>
          </w:p>
        </w:tc>
        <w:tc>
          <w:tcPr>
            <w:tcW w:type="dxa" w:w="1701"/>
          </w:tcPr>
          <w:p>
            <w:r>
              <w:t>612.713</w:t>
            </w:r>
          </w:p>
        </w:tc>
      </w:tr>
      <w:tr>
        <w:trPr>
          <w:cantSplit/>
        </w:trPr>
        <w:tc>
          <w:tcPr>
            <w:tcW w:type="dxa" w:w="1701"/>
          </w:tcPr>
          <w:p>
            <w:r>
              <w:t>30.0°</w:t>
            </w:r>
          </w:p>
        </w:tc>
        <w:tc>
          <w:tcPr>
            <w:tcW w:type="dxa" w:w="1701"/>
          </w:tcPr>
          <w:p>
            <w:r>
              <w:t>baseline</w:t>
            </w:r>
          </w:p>
        </w:tc>
        <w:tc>
          <w:tcPr>
            <w:tcW w:type="dxa" w:w="1701"/>
          </w:tcPr>
          <w:p>
            <w:r>
              <w:t>30/30</w:t>
            </w:r>
          </w:p>
        </w:tc>
        <w:tc>
          <w:tcPr>
            <w:tcW w:type="dxa" w:w="1701"/>
          </w:tcPr>
          <w:p>
            <w:r>
              <w:t>0.165154 ± 0.00114</w:t>
            </w:r>
          </w:p>
        </w:tc>
        <w:tc>
          <w:tcPr>
            <w:tcW w:type="dxa" w:w="1701"/>
          </w:tcPr>
          <w:p>
            <w:r>
              <w:t>86.2146</w:t>
            </w:r>
          </w:p>
        </w:tc>
        <w:tc>
          <w:tcPr>
            <w:tcW w:type="dxa" w:w="1701"/>
          </w:tcPr>
          <w:p>
            <w:r>
              <w:t>937.735</w:t>
            </w:r>
          </w:p>
        </w:tc>
      </w:tr>
      <w:tr>
        <w:trPr>
          <w:cantSplit/>
        </w:trPr>
        <w:tc>
          <w:tcPr>
            <w:tcW w:type="dxa" w:w="1701"/>
          </w:tcPr>
          <w:p>
            <w:r>
              <w:t>30.0°</w:t>
            </w:r>
          </w:p>
        </w:tc>
        <w:tc>
          <w:tcPr>
            <w:tcW w:type="dxa" w:w="1701"/>
          </w:tcPr>
          <w:p>
            <w:r>
              <w:t>proposed</w:t>
            </w:r>
          </w:p>
        </w:tc>
        <w:tc>
          <w:tcPr>
            <w:tcW w:type="dxa" w:w="1701"/>
          </w:tcPr>
          <w:p>
            <w:r>
              <w:t>30/30</w:t>
            </w:r>
          </w:p>
        </w:tc>
        <w:tc>
          <w:tcPr>
            <w:tcW w:type="dxa" w:w="1701"/>
          </w:tcPr>
          <w:p>
            <w:r>
              <w:t>0.0290058 ± 0.000328</w:t>
            </w:r>
          </w:p>
        </w:tc>
        <w:tc>
          <w:tcPr>
            <w:tcW w:type="dxa" w:w="1701"/>
          </w:tcPr>
          <w:p>
            <w:r>
              <w:t>90.0024</w:t>
            </w:r>
          </w:p>
        </w:tc>
        <w:tc>
          <w:tcPr>
            <w:tcW w:type="dxa" w:w="1701"/>
          </w:tcPr>
          <w:p>
            <w:r>
              <w:t>867.773</w:t>
            </w:r>
          </w:p>
        </w:tc>
      </w:tr>
    </w:tbl>
    <w:p>
      <w:r>
        <w:t>10.0°: proposed−baseline Δ=-0.04260033 m; 95% CI [-0.04277804142081319, -0.04242262545673142]; Welch t=-486.1776, df=35.99813, p=2.579979e-70, Holm p=7.739937e-70, Cohen d=-125.5305. Completion Fisher p=1.</w:t>
      </w:r>
    </w:p>
    <w:p>
      <w:r>
        <w:t>20.0°: proposed−baseline Δ=-0.08823836 m; 95% CI [-0.08868864868975783, -0.08778807408256452]; Welch t=-400.1377, df=30.11906, p=1.127902e-57, Holm p=1.127902e-57, Cohen d=-103.3151. Completion Fisher p=1.</w:t>
      </w:r>
    </w:p>
    <w:p>
      <w:r>
        <w:t>30.0°: proposed−baseline Δ=-0.1361482 m; 95% CI [-0.13658916472867358, -0.1357072431479235]; Welch t=-627.6386, df=33.74324, p=3.260053e-70, Holm p=7.739937e-70, Cohen d=-162.0556. Completion Fisher p=1.</w:t>
      </w:r>
    </w:p>
    <w:p>
      <w:r>
        <w:t>Full-run observed RMSE, effort and duration have differing exposure when a run aborts or times out; they are secondary descriptive metrics. All attempts, statuses, independent seeds, raw data and source snapshots are retained. Completion Wilson intervals and raw-trace audits are in statistics.json/trace_audit.json. No controller is declared superior solely because its mean is smaller; use the reported test and scope.</w:t>
      </w:r>
    </w:p>
    <w:p>
      <w:r>
        <w:drawing>
          <wp:inline xmlns:a="http://schemas.openxmlformats.org/drawingml/2006/main" xmlns:pic="http://schemas.openxmlformats.org/drawingml/2006/picture">
            <wp:extent cx="5943600" cy="2269375"/>
            <wp:docPr id="6" name="Picture 6"/>
            <wp:cNvGraphicFramePr>
              <a:graphicFrameLocks noChangeAspect="1"/>
            </wp:cNvGraphicFramePr>
            <a:graphic>
              <a:graphicData uri="http://schemas.openxmlformats.org/drawingml/2006/picture">
                <pic:pic>
                  <pic:nvPicPr>
                    <pic:cNvPr id="0" name="completion_and_coverage.png"/>
                    <pic:cNvPicPr/>
                  </pic:nvPicPr>
                  <pic:blipFill>
                    <a:blip r:embed="rId15"/>
                    <a:stretch>
                      <a:fillRect/>
                    </a:stretch>
                  </pic:blipFill>
                  <pic:spPr>
                    <a:xfrm>
                      <a:off x="0" y="0"/>
                      <a:ext cx="5943600" cy="2269375"/>
                    </a:xfrm>
                    <a:prstGeom prst="rect"/>
                  </pic:spPr>
                </pic:pic>
              </a:graphicData>
            </a:graphic>
          </wp:inline>
        </w:drawing>
      </w:r>
    </w:p>
    <w:p>
      <w:pPr>
        <w:pStyle w:val="Heading2"/>
      </w:pPr>
      <w:r>
        <w:t>Engineering limitations and interpretation</w:t>
      </w:r>
    </w:p>
    <w:p>
      <w:r>
        <w:t>Real RGB images drive contamination detection, persistence, targeted slowdowns/revisits and the departure decision. Navigation uses simulator ground-truth pose. Controlled colour/lighting segmentation is not a trained general debris detector. Two actual overhead sensor cameras and the onboard camera have visible equipment representations; scenery is isolated from validated sensor RGB. Clean/subthreshold development tests remain at home. General coloured/wet/shadowed dirt and arbitrary solid collection are unvalidated.</w:t>
      </w:r>
    </w:p>
    <w:p>
      <w:r>
        <w:t>Dust removal is a contact-gated exponential layer/mass proxy, transferred to a modelled onboard bin and then station; there is no CFD vacuum or granular dust transport. The larger block has actual gravity/collision pushing, but its release corridor is prescribed. Four driven rollers approximate tracks. Zero-friction physical guards provide containment; they are not proof of real-world grip or safe operation on an unguarded panel. Soft contact permits small penetration. Scratch, wear, motor, battery, structural mounting and electrical charging safety require hardware tests. The modelled 30 W dock service credits energy over eight seconds; it is not a demonstrated full recharge.</w:t>
      </w:r>
    </w:p>
    <w:p>
      <w:r>
        <w:t>FMEA scores are ordinal engineering judgements, not fitted failure rates. Severity and occurrence stay unchanged; any post-RPN reduction credits only the specified code/logged evaluation detection. No reduction is credited to untested coating protection. The business case assumes one cleaner repeatedly services separately transferred 24 m² bays. 504 m²/day is a workload scenario, not an inferred 100 kWp plant. Energy efficiency/auxiliary loads are assumptions; PV electrical yield is neither simulated nor monetised.</w:t>
      </w:r>
    </w:p>
    <w:p>
      <w:pPr>
        <w:pStyle w:val="Heading1"/>
      </w:pPr>
      <w:r>
        <w:t>Appendix B · References and source verification</w:t>
      </w:r>
    </w:p>
    <w:p>
      <w:r>
        <w:t>The five entries below have bibliographic metadata verified in official or author-maintained software repositories. This does not imply access to all full articles or verification of a numerical PV-loss claim. The original authorised title is preserved as a question; its 15–18% phrase is not established by this work. See submission/source_audit/source_access.json for pinned commits, hashes and access scope.</w:t>
      </w:r>
    </w:p>
    <w:p>
      <w:r>
        <w:t>[1] E. Todorov, T. Erez and Y. Tassa, “MuJoCo: A physics engine for model-based control,” IROS, pp. 5026–5033, 2012. DOI: 10.1109/IROS.2012.6386109. MuJoCo simulator context; developer README citation metadata verified.</w:t>
      </w:r>
    </w:p>
    <w:p>
      <w:r>
        <w:t>[2] W. F. Holmgren, C. W. Hansen and M. A. Mikofski, “pvlib python: a python package for modeling solar energy systems,” JOSS 3(29), 884, 2018. DOI: 10.21105/joss.00884. PV modelling software context; official README metadata, not a PV-yield calculation in this project.</w:t>
      </w:r>
    </w:p>
    <w:p>
      <w:r>
        <w:t>[3] K. S. Anderson et al., “pvlib python: 2023 project update,” JOSS 8(92), 5994, 2023. DOI: 10.21105/joss.05994. PV modelling context; official README metadata verified.</w:t>
      </w:r>
    </w:p>
    <w:p>
      <w:r>
        <w:t>[4] M. G. Deceglie, L. Micheli and M. Muller, “Quantifying Soiling Loss Directly From PV Yield,” IEEE Journal of Photovoltaics 8(2), pp. 547–551, 2018. DOI: 10.1109/JPHOTOV.2017.2784682. Yield-based soiling measurement is separate from a dust-removal proxy; author-maintained rdtools README metadata only, full article not accessed.</w:t>
      </w:r>
    </w:p>
    <w:p>
      <w:r>
        <w:t>[5] D. C. Jordan et al., “Robust PV Degradation Methodology and Application,” IEEE Journal of Photovoltaics 8(2), pp. 525–531, 2018. DOI: 10.1109/JPHOTOV.2017.2779779. Yield/degradation analysis context; author-maintained rdtools README metadata only, full article not accessed.</w:t>
      </w:r>
    </w:p>
    <w:p>
      <w:r>
        <w:t>MuJoCo developer documentation (official source, pinned in source_access.json): contact friction coefficients, geom priority and solref/solimp interpretation. IEC 61215/61730 licensed clauses were not accessed; no invented clause or certified glass-load limit is used. Historical literature scaffolds and SIMULATED_* starter outputs are excluded from final evidence.</w:t>
      </w:r>
    </w:p>
    <w:p>
      <w:pPr>
        <w:pStyle w:val="Heading1"/>
      </w:pPr>
      <w:r>
        <w:t>Appendix C · Reproduction and remaining team actions</w:t>
      </w:r>
    </w:p>
    <w:p>
      <w:r>
        <w:rPr>
          <w:sz w:val="14"/>
        </w:rPr>
        <w:t xml:space="preserve">From the group directory, use the pinned Python environment in requirements.txt. Headless execution requires MUJOCO_GL=egl before importing MuJoCo. Commands: submission/REPRODUCE.md. Raw final CSVs use XZ. This derivative uses ordinary editable text; original controls and choices remain in the preserved faculty Word form. Every original choice and answer is recorded in the companion FIELD_AUDIT.json.</w:t>
      </w:r>
    </w:p>
    <w:p>
      <w:r>
        <w:rPr>
          <w:sz w:val="14"/>
        </w:rPr>
        <w:t>Before submission, confirm the personal entries, complete the actual assigned video reviews, insert the final team video URL and obtain each member’s own signature. Faculty and Teams submission are separate.</w:t>
      </w:r>
    </w:p>
    <w:p>
      <w:r>
        <w:rPr>
          <w:sz w:val="14"/>
        </w:rPr>
        <w:t>Team contributions</w:t>
      </w:r>
    </w:p>
    <w:p>
      <w:r>
        <w:rPr>
          <w:sz w:val="14"/>
        </w:rPr>
        <w:t>Arush (E048) led the 3D modelling, coding, file implementation and MuJoCo simulation. Ronit (E052) supported 3D modelling and business modelling. Harshvardhan (E058) focused on business modelling and economics. The members worked together on weekends over approximately two months. Software development was AI-assisted.</w:t>
      </w:r>
    </w:p>
    <w:p>
      <w:r>
        <w:rPr>
          <w:sz w:val="14"/>
        </w:rPr>
        <w:t xml:space="preserve">Current demonstration: submission/complete_camera_video_v1/Group06_Complete_Simulation_With_Cameras.mp4 (3:21.52). The companion three-person narration script is ready, but actual face/voice footage and a published LinkedIn URL have not been supplied.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06 · Commit the filled .docx + .pdf to Group_06_Arush_Ronit_Harshvardhan/docs/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